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A927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方正小标宋简体" w:hAnsi="方正小标宋简体" w:eastAsia="方正小标宋简体" w:cs="方正小标宋简体"/>
          <w:b w:val="0"/>
          <w:bCs w:val="0"/>
          <w:sz w:val="44"/>
          <w:szCs w:val="44"/>
          <w:highlight w:val="none"/>
          <w:shd w:val="clear" w:color="auto" w:fill="FFFFFF"/>
          <w:lang w:val="en-US" w:eastAsia="zh-CN"/>
        </w:rPr>
      </w:pPr>
      <w:r>
        <w:rPr>
          <w:rFonts w:hint="eastAsia" w:ascii="方正小标宋简体" w:hAnsi="方正小标宋简体" w:eastAsia="方正小标宋简体" w:cs="方正小标宋简体"/>
          <w:b w:val="0"/>
          <w:bCs w:val="0"/>
          <w:sz w:val="44"/>
          <w:szCs w:val="44"/>
          <w:highlight w:val="none"/>
          <w:shd w:val="clear" w:color="auto" w:fill="FFFFFF"/>
          <w:lang w:val="en-US" w:eastAsia="zh-CN"/>
        </w:rPr>
        <w:t>黑水县疾病预防控制中心</w:t>
      </w:r>
    </w:p>
    <w:p w14:paraId="28603E9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方正小标宋简体" w:hAnsi="方正小标宋简体" w:eastAsia="方正小标宋简体" w:cs="方正小标宋简体"/>
          <w:b w:val="0"/>
          <w:bCs w:val="0"/>
          <w:sz w:val="44"/>
          <w:szCs w:val="44"/>
          <w:highlight w:val="none"/>
          <w:shd w:val="clear" w:color="auto" w:fill="FFFFFF"/>
          <w:lang w:val="en-US" w:eastAsia="zh-CN"/>
        </w:rPr>
      </w:pPr>
      <w:r>
        <w:rPr>
          <w:rFonts w:hint="eastAsia" w:ascii="方正小标宋简体" w:hAnsi="方正小标宋简体" w:eastAsia="方正小标宋简体" w:cs="方正小标宋简体"/>
          <w:b w:val="0"/>
          <w:bCs w:val="0"/>
          <w:sz w:val="44"/>
          <w:szCs w:val="44"/>
          <w:highlight w:val="none"/>
          <w:shd w:val="clear" w:color="auto" w:fill="FFFFFF"/>
          <w:lang w:val="en-US" w:eastAsia="zh-CN"/>
        </w:rPr>
        <w:t>黑水县9岁-14岁女孩国产二价宫颈</w:t>
      </w:r>
    </w:p>
    <w:p w14:paraId="4FFE3F5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方正小标宋简体" w:hAnsi="方正小标宋简体" w:eastAsia="方正小标宋简体" w:cs="方正小标宋简体"/>
          <w:b w:val="0"/>
          <w:bCs w:val="0"/>
          <w:sz w:val="44"/>
          <w:szCs w:val="44"/>
          <w:highlight w:val="none"/>
          <w:shd w:val="clear" w:color="auto" w:fill="FFFFFF"/>
          <w:lang w:val="en-US" w:eastAsia="zh-CN"/>
        </w:rPr>
      </w:pPr>
      <w:r>
        <w:rPr>
          <w:rFonts w:hint="eastAsia" w:ascii="方正小标宋简体" w:hAnsi="方正小标宋简体" w:eastAsia="方正小标宋简体" w:cs="方正小标宋简体"/>
          <w:b w:val="0"/>
          <w:bCs w:val="0"/>
          <w:sz w:val="44"/>
          <w:szCs w:val="44"/>
          <w:highlight w:val="none"/>
          <w:shd w:val="clear" w:color="auto" w:fill="FFFFFF"/>
          <w:lang w:val="en-US" w:eastAsia="zh-CN"/>
        </w:rPr>
        <w:t>疫苗免费接种项目绩效评价报告</w:t>
      </w:r>
    </w:p>
    <w:p w14:paraId="388DDE62">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eastAsia="宋体" w:cs="Times New Roman"/>
          <w:color w:val="auto"/>
          <w:kern w:val="2"/>
          <w:sz w:val="32"/>
          <w:szCs w:val="32"/>
          <w:highlight w:val="none"/>
          <w:lang w:val="zh-CN" w:eastAsia="zh-CN" w:bidi="ar-SA"/>
        </w:rPr>
      </w:pPr>
    </w:p>
    <w:p w14:paraId="0626F0E5">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14:paraId="16D5A8E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47CAEF0D">
      <w:pPr>
        <w:keepNext w:val="0"/>
        <w:keepLines w:val="0"/>
        <w:widowControl/>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根据州委、州政府2024年十大民生实事工作要求，结合州卫健委、州教育局等九部门《关于印发阿坝州加速消除宫颈癌行动实施方案（2023-2030年）的通知》（阿州卫健发</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2023</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2号）文件部署</w:t>
      </w:r>
      <w:bookmarkStart w:id="0" w:name="_GoBack"/>
      <w:bookmarkEnd w:id="0"/>
      <w:r>
        <w:rPr>
          <w:rFonts w:hint="eastAsia" w:ascii="仿宋_GB2312" w:hAnsi="仿宋_GB2312" w:eastAsia="仿宋_GB2312" w:cs="仿宋_GB2312"/>
          <w:color w:val="000000"/>
          <w:kern w:val="0"/>
          <w:sz w:val="32"/>
          <w:szCs w:val="32"/>
          <w:lang w:val="en-US" w:eastAsia="zh-CN" w:bidi="ar"/>
        </w:rPr>
        <w:t>要求，迅速提升我州适龄女性人乳头瘤病毒（宫颈癌）疫苗接种率，有效预防和控制宫颈癌发生，切实保障女性身心健康与生命质量。</w:t>
      </w:r>
    </w:p>
    <w:p w14:paraId="46E67AC5">
      <w:pPr>
        <w:keepNext w:val="0"/>
        <w:keepLines w:val="0"/>
        <w:pageBreakBefore w:val="0"/>
        <w:numPr>
          <w:ilvl w:val="0"/>
          <w:numId w:val="1"/>
        </w:numPr>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14:paraId="01B98E67">
      <w:pPr>
        <w:keepNext w:val="0"/>
        <w:keepLines w:val="0"/>
        <w:widowControl/>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2025年完成9岁-14岁女孩免费接种国家二价宫颈癌疫苗项目工作，黑水县任务数：80人，</w:t>
      </w:r>
    </w:p>
    <w:p w14:paraId="49B7DFB2">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14:paraId="597F92E4">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资金下达依据：根据《2025年适龄女孩免费接种人乳头瘤病毒疫苗项目省级和州级补助资金》阿州财社（2025）62号；《黑水县卫生健康局关于解决宫颈癌疫苗采购资金及接种服务费的请示》黑卫健〔2025〕41号，下达我中心宫颈癌疫苗款5.29万元。</w:t>
      </w:r>
    </w:p>
    <w:p w14:paraId="75B5F2C1">
      <w:pPr>
        <w:keepNext w:val="0"/>
        <w:keepLines w:val="0"/>
        <w:widowControl/>
        <w:suppressLineNumbers w:val="0"/>
        <w:ind w:firstLine="640" w:firstLineChars="200"/>
        <w:jc w:val="left"/>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000000"/>
          <w:kern w:val="0"/>
          <w:sz w:val="32"/>
          <w:szCs w:val="32"/>
          <w:lang w:val="en-US" w:eastAsia="zh-CN" w:bidi="ar"/>
        </w:rPr>
        <w:t>项目开展实施方案依据:《关于印发阿坝州加速消除宫颈癌行动实施方案（2023-2030年）的通知》（阿州卫健发</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2023</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2号）。</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p>
    <w:p w14:paraId="69F62F3B">
      <w:pPr>
        <w:keepNext w:val="0"/>
        <w:keepLines w:val="0"/>
        <w:pageBreakBefore w:val="0"/>
        <w:numPr>
          <w:ilvl w:val="0"/>
          <w:numId w:val="1"/>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14:paraId="1FD50C79">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2025年度，我中心下达宫颈癌疫苗接种项目资金共计5.29万元，截至2025年12月31日，完成资金列支资金共计2.98万元，资金执行率达56.35%。</w:t>
      </w:r>
    </w:p>
    <w:p w14:paraId="73D8F6F3">
      <w:pPr>
        <w:spacing w:line="620" w:lineRule="exact"/>
        <w:ind w:firstLine="640" w:firstLineChars="200"/>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数量指标：9-14岁免费接种二价宫颈癌疫苗80人。</w:t>
      </w:r>
    </w:p>
    <w:p w14:paraId="6043DE6C">
      <w:pPr>
        <w:spacing w:line="62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时效指标：2025年12月底完成接种。</w:t>
      </w:r>
    </w:p>
    <w:p w14:paraId="59343394">
      <w:pPr>
        <w:spacing w:line="620" w:lineRule="exact"/>
        <w:ind w:firstLine="640" w:firstLineChars="200"/>
        <w:rPr>
          <w:rStyle w:val="11"/>
          <w:rFonts w:hint="eastAsia" w:ascii="仿宋_GB2312" w:hAnsi="仿宋_GB2312" w:eastAsia="仿宋_GB2312" w:cs="仿宋_GB2312"/>
          <w:color w:val="auto"/>
          <w:sz w:val="32"/>
          <w:szCs w:val="32"/>
          <w:lang w:eastAsia="zh-CN"/>
        </w:rPr>
      </w:pPr>
      <w:r>
        <w:rPr>
          <w:rFonts w:hint="eastAsia" w:ascii="仿宋_GB2312" w:hAnsi="Times New Roman" w:eastAsia="仿宋_GB2312" w:cs="Times New Roman"/>
          <w:sz w:val="32"/>
          <w:szCs w:val="32"/>
          <w:lang w:val="en-US" w:eastAsia="zh-CN"/>
        </w:rPr>
        <w:t>质量指标：全面接种无差错、无异常反应率</w:t>
      </w:r>
      <w:r>
        <w:rPr>
          <w:rStyle w:val="11"/>
          <w:rFonts w:hint="eastAsia" w:ascii="仿宋_GB2312" w:hAnsi="仿宋_GB2312" w:eastAsia="仿宋_GB2312" w:cs="仿宋_GB2312"/>
          <w:color w:val="auto"/>
          <w:sz w:val="32"/>
          <w:szCs w:val="32"/>
        </w:rPr>
        <w:t>≥</w:t>
      </w:r>
      <w:r>
        <w:rPr>
          <w:rStyle w:val="11"/>
          <w:rFonts w:hint="eastAsia" w:ascii="仿宋_GB2312" w:hAnsi="仿宋_GB2312" w:eastAsia="仿宋_GB2312" w:cs="仿宋_GB2312"/>
          <w:color w:val="auto"/>
          <w:sz w:val="32"/>
          <w:szCs w:val="32"/>
          <w:lang w:val="en-US" w:eastAsia="zh-CN"/>
        </w:rPr>
        <w:t>95%</w:t>
      </w:r>
      <w:r>
        <w:rPr>
          <w:rStyle w:val="11"/>
          <w:rFonts w:hint="eastAsia" w:ascii="仿宋_GB2312" w:hAnsi="仿宋_GB2312" w:eastAsia="仿宋_GB2312" w:cs="仿宋_GB2312"/>
          <w:color w:val="auto"/>
          <w:sz w:val="32"/>
          <w:szCs w:val="32"/>
          <w:lang w:eastAsia="zh-CN"/>
        </w:rPr>
        <w:t>。</w:t>
      </w:r>
    </w:p>
    <w:p w14:paraId="4E19BC90">
      <w:pPr>
        <w:widowControl w:val="0"/>
        <w:ind w:left="1060" w:leftChars="200" w:hanging="640" w:hangingChars="200"/>
        <w:jc w:val="both"/>
        <w:rPr>
          <w:rStyle w:val="11"/>
          <w:rFonts w:hint="eastAsia" w:ascii="仿宋_GB2312" w:hAnsi="仿宋_GB2312" w:eastAsia="仿宋_GB2312" w:cs="仿宋_GB2312"/>
          <w:color w:val="auto"/>
          <w:kern w:val="2"/>
          <w:sz w:val="32"/>
          <w:szCs w:val="32"/>
          <w:lang w:val="en-US" w:eastAsia="zh-CN" w:bidi="ar-SA"/>
        </w:rPr>
      </w:pPr>
      <w:r>
        <w:rPr>
          <w:rStyle w:val="11"/>
          <w:rFonts w:hint="eastAsia" w:ascii="仿宋_GB2312" w:hAnsi="仿宋_GB2312" w:eastAsia="仿宋_GB2312" w:cs="仿宋_GB2312"/>
          <w:color w:val="auto"/>
          <w:kern w:val="2"/>
          <w:sz w:val="32"/>
          <w:szCs w:val="32"/>
          <w:lang w:val="en-US" w:eastAsia="zh-CN" w:bidi="ar-SA"/>
        </w:rPr>
        <w:t xml:space="preserve"> 经济效益指标：减少接种对象经济负担。</w:t>
      </w:r>
    </w:p>
    <w:p w14:paraId="5C0836E5">
      <w:pPr>
        <w:rPr>
          <w:rStyle w:val="11"/>
          <w:rFonts w:hint="eastAsia" w:ascii="仿宋_GB2312" w:hAnsi="仿宋_GB2312" w:eastAsia="仿宋_GB2312" w:cs="仿宋_GB2312"/>
          <w:color w:val="auto"/>
          <w:sz w:val="32"/>
          <w:szCs w:val="32"/>
          <w:lang w:val="en-US" w:eastAsia="zh-CN"/>
        </w:rPr>
      </w:pPr>
      <w:r>
        <w:rPr>
          <w:rStyle w:val="11"/>
          <w:rFonts w:hint="eastAsia" w:ascii="仿宋_GB2312" w:hAnsi="仿宋_GB2312" w:eastAsia="仿宋_GB2312" w:cs="仿宋_GB2312"/>
          <w:color w:val="auto"/>
          <w:sz w:val="32"/>
          <w:szCs w:val="32"/>
          <w:lang w:val="en-US" w:eastAsia="zh-CN"/>
        </w:rPr>
        <w:t xml:space="preserve">    服务对象满意度指标:接种对象服务满意度</w:t>
      </w:r>
      <w:r>
        <w:rPr>
          <w:rStyle w:val="11"/>
          <w:rFonts w:hint="eastAsia" w:ascii="仿宋_GB2312" w:hAnsi="仿宋_GB2312" w:eastAsia="仿宋_GB2312" w:cs="仿宋_GB2312"/>
          <w:color w:val="auto"/>
          <w:sz w:val="32"/>
          <w:szCs w:val="32"/>
        </w:rPr>
        <w:t>≥</w:t>
      </w:r>
      <w:r>
        <w:rPr>
          <w:rStyle w:val="11"/>
          <w:rFonts w:hint="eastAsia" w:ascii="仿宋_GB2312" w:hAnsi="仿宋_GB2312" w:eastAsia="仿宋_GB2312" w:cs="仿宋_GB2312"/>
          <w:color w:val="auto"/>
          <w:sz w:val="32"/>
          <w:szCs w:val="32"/>
          <w:lang w:val="en-US" w:eastAsia="zh-CN"/>
        </w:rPr>
        <w:t>95%。</w:t>
      </w:r>
    </w:p>
    <w:p w14:paraId="321D06CF">
      <w:pPr>
        <w:ind w:firstLine="640" w:firstLineChars="200"/>
        <w:rPr>
          <w:rFonts w:hint="default" w:ascii="Times New Roman" w:hAnsi="Times New Roman" w:eastAsia="仿宋_GB2312" w:cs="Times New Roman"/>
          <w:sz w:val="32"/>
          <w:szCs w:val="32"/>
          <w:lang w:val="en-US" w:eastAsia="zh-CN"/>
        </w:rPr>
      </w:pPr>
      <w:r>
        <w:rPr>
          <w:rStyle w:val="11"/>
          <w:rFonts w:hint="eastAsia" w:ascii="仿宋_GB2312" w:hAnsi="仿宋_GB2312" w:eastAsia="仿宋_GB2312" w:cs="仿宋_GB2312"/>
          <w:color w:val="auto"/>
          <w:sz w:val="32"/>
          <w:szCs w:val="32"/>
          <w:lang w:val="en-US" w:eastAsia="zh-CN"/>
        </w:rPr>
        <w:t>成本指标：县财政投入疫苗费39283.3元。</w:t>
      </w:r>
    </w:p>
    <w:p w14:paraId="0D4A7D6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14:paraId="00527CF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（一）评价目的</w:t>
      </w:r>
    </w:p>
    <w:p w14:paraId="476EC6F3">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zh-CN" w:eastAsia="zh-CN"/>
        </w:rPr>
        <w:t>通过项目绩效自评，确定项目开展效果，项目开展内容是否达到上级部门下达的指标要求。</w:t>
      </w:r>
    </w:p>
    <w:p w14:paraId="33BF4CB9">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预设问题及评价重点</w:t>
      </w:r>
    </w:p>
    <w:p w14:paraId="5238320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按照绩效评价指标体系，中心从通用指标、专用指标及个性指标对项目开展了绩效评价工作。该项目资金支出使用全过程符合宫颈癌疫苗接种项目资金实施方案要求，全部用于宫颈癌疫苗接种项目</w:t>
      </w:r>
      <w:r>
        <w:rPr>
          <w:rFonts w:hint="eastAsia" w:ascii="Times New Roman" w:hAnsi="Times New Roman" w:eastAsia="仿宋_GB2312" w:cs="Times New Roman"/>
          <w:sz w:val="32"/>
          <w:szCs w:val="32"/>
          <w:lang w:val="en-US" w:eastAsia="zh-CN"/>
        </w:rPr>
        <w:t>，实施效果与预计效果相符。</w:t>
      </w:r>
    </w:p>
    <w:p w14:paraId="4F6D6C87">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评价选点</w:t>
      </w:r>
    </w:p>
    <w:p w14:paraId="754C56C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sz w:val="32"/>
          <w:szCs w:val="32"/>
          <w:lang w:val="zh-CN" w:eastAsia="zh-CN"/>
        </w:rPr>
        <w:t>项目绩效自评主要通过抽取</w:t>
      </w:r>
      <w:r>
        <w:rPr>
          <w:rFonts w:hint="eastAsia" w:ascii="Times New Roman" w:hAnsi="Times New Roman" w:eastAsia="仿宋_GB2312" w:cs="Times New Roman"/>
          <w:sz w:val="32"/>
          <w:szCs w:val="32"/>
          <w:lang w:val="en-US" w:eastAsia="zh-CN"/>
        </w:rPr>
        <w:t>2025年资金拨付凭证来进行自评工作，通过核查中心拨付凭证，确定了项目资金的确用于宫颈癌疫苗接种项目。</w:t>
      </w:r>
    </w:p>
    <w:p w14:paraId="06A1D1DB">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评价方法</w:t>
      </w:r>
    </w:p>
    <w:p w14:paraId="27DC13E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由于该专项资金主要用于涉及民生保障，资金用途明确。我中心采用单位自评法、实地勘察法对项目进行自评工作。</w:t>
      </w:r>
    </w:p>
    <w:p w14:paraId="22FC7DB3">
      <w:pPr>
        <w:keepNext w:val="0"/>
        <w:keepLines w:val="0"/>
        <w:pageBreakBefore w:val="0"/>
        <w:widowControl w:val="0"/>
        <w:numPr>
          <w:ilvl w:val="0"/>
          <w:numId w:val="2"/>
        </w:numPr>
        <w:kinsoku/>
        <w:wordWrap/>
        <w:overflowPunct/>
        <w:topLinePunct w:val="0"/>
        <w:autoSpaceDE/>
        <w:autoSpaceDN/>
        <w:bidi w:val="0"/>
        <w:spacing w:line="578"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评价组织</w:t>
      </w:r>
    </w:p>
    <w:p w14:paraId="364955C0">
      <w:pPr>
        <w:keepNext w:val="0"/>
        <w:keepLines w:val="0"/>
        <w:pageBreakBefore w:val="0"/>
        <w:widowControl w:val="0"/>
        <w:numPr>
          <w:ilvl w:val="0"/>
          <w:numId w:val="0"/>
        </w:numPr>
        <w:kinsoku/>
        <w:wordWrap/>
        <w:overflowPunct/>
        <w:topLinePunct w:val="0"/>
        <w:autoSpaceDE/>
        <w:autoSpaceDN/>
        <w:bidi w:val="0"/>
        <w:spacing w:line="578" w:lineRule="exact"/>
        <w:ind w:left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评价组人员构成如下：</w:t>
      </w:r>
    </w:p>
    <w:p w14:paraId="7C4C20E8">
      <w:pPr>
        <w:widowControl w:val="0"/>
        <w:ind w:left="0" w:leftChars="0" w:firstLine="640" w:firstLineChars="200"/>
        <w:jc w:val="both"/>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组长：</w:t>
      </w:r>
      <w:r>
        <w:rPr>
          <w:rFonts w:hint="eastAsia" w:ascii="Times New Roman" w:hAnsi="Times New Roman" w:eastAsia="仿宋_GB2312" w:cs="Times New Roman"/>
          <w:kern w:val="2"/>
          <w:sz w:val="32"/>
          <w:szCs w:val="32"/>
          <w:lang w:val="zh-CN" w:eastAsia="zh-CN" w:bidi="ar-SA"/>
        </w:rPr>
        <w:t>郭成慧</w:t>
      </w:r>
      <w:r>
        <w:rPr>
          <w:rFonts w:hint="eastAsia" w:ascii="Times New Roman" w:hAnsi="Times New Roman" w:eastAsia="仿宋_GB2312" w:cs="Times New Roman"/>
          <w:kern w:val="2"/>
          <w:sz w:val="32"/>
          <w:szCs w:val="32"/>
          <w:lang w:val="en-US" w:eastAsia="zh-CN" w:bidi="ar-SA"/>
        </w:rPr>
        <w:t xml:space="preserve">  指导中心主任 负责全面评价工作</w:t>
      </w:r>
    </w:p>
    <w:p w14:paraId="2A588002">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成员：</w:t>
      </w:r>
      <w:r>
        <w:rPr>
          <w:rFonts w:hint="eastAsia" w:ascii="Times New Roman" w:hAnsi="Times New Roman" w:eastAsia="仿宋_GB2312" w:cs="Times New Roman"/>
          <w:kern w:val="2"/>
          <w:sz w:val="32"/>
          <w:szCs w:val="32"/>
          <w:lang w:val="en-US" w:eastAsia="zh-CN" w:bidi="ar-SA"/>
        </w:rPr>
        <w:t xml:space="preserve">桑基忠 </w:t>
      </w:r>
      <w:r>
        <w:rPr>
          <w:rFonts w:hint="eastAsia" w:ascii="Times New Roman" w:hAnsi="Times New Roman" w:eastAsia="仿宋_GB2312" w:cs="Times New Roman"/>
          <w:sz w:val="32"/>
          <w:szCs w:val="32"/>
          <w:lang w:val="en-US" w:eastAsia="zh-CN"/>
        </w:rPr>
        <w:t xml:space="preserve"> 负责财务相关评价工作</w:t>
      </w:r>
    </w:p>
    <w:p w14:paraId="3A199194">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罗琼英  负责2025年评价总体相关评价工作</w:t>
      </w:r>
    </w:p>
    <w:p w14:paraId="4350D861">
      <w:pPr>
        <w:widowControl w:val="0"/>
        <w:ind w:left="0" w:leftChars="0" w:firstLine="1600" w:firstLineChars="5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泽若满  负责2025年执行机构绩效评价工作 </w:t>
      </w:r>
    </w:p>
    <w:p w14:paraId="42B6BAAF">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14:paraId="6D24C5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eastAsia="zh-CN"/>
        </w:rPr>
        <w:t>中心</w:t>
      </w: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“专用指标”“个性指标”三个方面对该项资金进行了全方位自评工作，具体情况如下：</w:t>
      </w:r>
    </w:p>
    <w:p w14:paraId="784CB7C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47.13分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6761783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lang w:eastAsia="zh-CN"/>
        </w:rPr>
        <w:t>项目决策</w:t>
      </w:r>
      <w:r>
        <w:rPr>
          <w:rFonts w:hint="eastAsia" w:ascii="楷体_GB2312" w:hAnsi="楷体_GB2312" w:eastAsia="楷体_GB2312" w:cs="楷体_GB2312"/>
          <w:color w:val="auto"/>
          <w:sz w:val="32"/>
          <w:szCs w:val="32"/>
          <w:lang w:val="en-US" w:eastAsia="zh-CN"/>
        </w:rPr>
        <w:t>(18分）</w:t>
      </w:r>
    </w:p>
    <w:p w14:paraId="6D8583F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000000"/>
          <w:kern w:val="0"/>
          <w:sz w:val="32"/>
          <w:szCs w:val="32"/>
          <w:lang w:val="en-US" w:eastAsia="zh-CN" w:bidi="ar"/>
        </w:rPr>
      </w:pPr>
      <w:r>
        <w:rPr>
          <w:rFonts w:hint="eastAsia" w:ascii="Times New Roman" w:hAnsi="Times New Roman" w:eastAsia="仿宋_GB2312" w:cs="Times New Roman"/>
          <w:color w:val="auto"/>
          <w:sz w:val="32"/>
          <w:szCs w:val="32"/>
          <w:lang w:eastAsia="zh-CN"/>
        </w:rPr>
        <w:t>决策程序（</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：项目设立、调整延续等方面符合资金管理基本规范和决策程序要求。项目设立依据</w:t>
      </w:r>
      <w:r>
        <w:rPr>
          <w:rFonts w:hint="eastAsia" w:ascii="仿宋_GB2312" w:hAnsi="仿宋_GB2312" w:eastAsia="仿宋_GB2312" w:cs="仿宋_GB2312"/>
          <w:color w:val="000000"/>
          <w:kern w:val="0"/>
          <w:sz w:val="32"/>
          <w:szCs w:val="32"/>
          <w:lang w:val="en-US" w:eastAsia="zh-CN" w:bidi="ar"/>
        </w:rPr>
        <w:t>《关于印发阿坝州加速消除宫颈癌行动实施方案（2023-2030年）的通知》（阿州卫健发</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2023</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2号）。</w:t>
      </w:r>
    </w:p>
    <w:p w14:paraId="24E3C29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规划论证（</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：项目规划符合</w:t>
      </w:r>
      <w:r>
        <w:rPr>
          <w:rFonts w:hint="eastAsia" w:ascii="仿宋_GB2312" w:hAnsi="仿宋_GB2312" w:eastAsia="仿宋_GB2312" w:cs="仿宋_GB2312"/>
          <w:color w:val="000000"/>
          <w:kern w:val="0"/>
          <w:sz w:val="32"/>
          <w:szCs w:val="32"/>
          <w:lang w:val="en-US" w:eastAsia="zh-CN" w:bidi="ar"/>
        </w:rPr>
        <w:t>（阿州卫健发</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2023</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2号）、黑卫健〔2025〕41号</w:t>
      </w:r>
      <w:r>
        <w:rPr>
          <w:rFonts w:hint="eastAsia" w:ascii="仿宋_GB2312" w:hAnsi="仿宋_GB2312" w:eastAsia="仿宋_GB2312" w:cs="仿宋_GB2312"/>
          <w:b w:val="0"/>
          <w:bCs w:val="0"/>
          <w:color w:val="000000"/>
          <w:sz w:val="31"/>
          <w:szCs w:val="31"/>
          <w:lang w:eastAsia="zh-CN"/>
        </w:rPr>
        <w:t>文件要求</w:t>
      </w:r>
      <w:r>
        <w:rPr>
          <w:rFonts w:hint="eastAsia" w:ascii="Times New Roman" w:hAnsi="Times New Roman" w:eastAsia="仿宋_GB2312" w:cs="Times New Roman"/>
          <w:color w:val="auto"/>
          <w:sz w:val="32"/>
          <w:szCs w:val="32"/>
          <w:lang w:eastAsia="zh-CN"/>
        </w:rPr>
        <w:t>；项目</w:t>
      </w:r>
      <w:r>
        <w:rPr>
          <w:rFonts w:hint="eastAsia" w:ascii="Times New Roman" w:hAnsi="Times New Roman" w:eastAsia="仿宋_GB2312" w:cs="Times New Roman"/>
          <w:i/>
          <w:iCs/>
          <w:color w:val="auto"/>
          <w:sz w:val="32"/>
          <w:szCs w:val="32"/>
          <w:lang w:eastAsia="zh-CN"/>
        </w:rPr>
        <w:t>充分评估了论证项目立项必要性、前瞻性、合理性和可行</w:t>
      </w:r>
      <w:r>
        <w:rPr>
          <w:rFonts w:hint="eastAsia" w:ascii="Times New Roman" w:hAnsi="Times New Roman" w:eastAsia="仿宋_GB2312" w:cs="Times New Roman"/>
          <w:color w:val="auto"/>
          <w:sz w:val="32"/>
          <w:szCs w:val="32"/>
          <w:lang w:eastAsia="zh-CN"/>
        </w:rPr>
        <w:t>性；项目总体绩效目标设置合理性的偏离度≤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%；绩效目标科学合理、规范完整、量化细化、预算匹配。</w:t>
      </w:r>
    </w:p>
    <w:p w14:paraId="372851D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资金投向（</w:t>
      </w:r>
      <w:r>
        <w:rPr>
          <w:rFonts w:hint="eastAsia" w:ascii="Times New Roman" w:hAnsi="Times New Roman" w:eastAsia="仿宋_GB2312" w:cs="Times New Roman"/>
          <w:color w:val="auto"/>
          <w:sz w:val="32"/>
          <w:szCs w:val="32"/>
          <w:lang w:val="en-US" w:eastAsia="zh-CN"/>
        </w:rPr>
        <w:t>6分）：该项目</w:t>
      </w:r>
      <w:r>
        <w:rPr>
          <w:rFonts w:hint="eastAsia" w:ascii="Times New Roman" w:hAnsi="Times New Roman" w:eastAsia="仿宋_GB2312" w:cs="Times New Roman"/>
          <w:color w:val="auto"/>
          <w:sz w:val="32"/>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14:paraId="5E2505B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w:t>
      </w:r>
      <w:r>
        <w:rPr>
          <w:rFonts w:hint="eastAsia" w:ascii="楷体_GB2312" w:hAnsi="楷体_GB2312" w:eastAsia="楷体_GB2312" w:cs="楷体_GB2312"/>
          <w:color w:val="auto"/>
          <w:sz w:val="32"/>
          <w:szCs w:val="32"/>
          <w:lang w:eastAsia="zh-CN"/>
        </w:rPr>
        <w:t>项目管理</w:t>
      </w:r>
      <w:r>
        <w:rPr>
          <w:rFonts w:hint="eastAsia" w:ascii="楷体_GB2312" w:hAnsi="楷体_GB2312" w:eastAsia="楷体_GB2312" w:cs="楷体_GB2312"/>
          <w:color w:val="auto"/>
          <w:sz w:val="32"/>
          <w:szCs w:val="32"/>
          <w:lang w:val="en-US" w:eastAsia="zh-CN"/>
        </w:rPr>
        <w:t xml:space="preserve"> （12分）</w:t>
      </w:r>
    </w:p>
    <w:p w14:paraId="6CE7920C">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制度办法（</w:t>
      </w:r>
      <w:r>
        <w:rPr>
          <w:rFonts w:hint="eastAsia" w:ascii="Times New Roman" w:hAnsi="Times New Roman" w:eastAsia="仿宋_GB2312" w:cs="Times New Roman"/>
          <w:color w:val="auto"/>
          <w:sz w:val="32"/>
          <w:szCs w:val="32"/>
          <w:lang w:val="en-US" w:eastAsia="zh-CN"/>
        </w:rPr>
        <w:t>1分</w:t>
      </w:r>
      <w:r>
        <w:rPr>
          <w:rFonts w:hint="eastAsia" w:ascii="Times New Roman" w:hAnsi="Times New Roman" w:eastAsia="仿宋_GB2312" w:cs="Times New Roman"/>
          <w:color w:val="auto"/>
          <w:sz w:val="32"/>
          <w:szCs w:val="32"/>
          <w:lang w:eastAsia="zh-CN"/>
        </w:rPr>
        <w:t>）：因上级项目资金使用方案已明确规定资金用于接种宫颈癌疫苗，单位未制定资金使用计划，资金管理办法等管理制度体系仍需进一步完善。</w:t>
      </w:r>
    </w:p>
    <w:p w14:paraId="01B15EE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分配管理（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eastAsia="zh-CN"/>
        </w:rPr>
        <w:t>）因素分配法：资金分配因素选取充分考虑相关行业事业发展实际和发展需求；资金分配因素的权重设置需突出项目实施重点；资金区域分布结果公平合理。（</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）其他分配法：资金分配依据充分合理。资金分配严格按管理办法执行，决策程序符合管理要求，及时高效。</w:t>
      </w:r>
    </w:p>
    <w:p w14:paraId="419B1D59">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绩效监管（</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）：项目按州、县要求全面完成绩效目标（含事前评估）、绩效评价、以前年度问题整改等预算绩效管理工作；省级部门对市县主管部门预算绩效管理要求到位，州、县资金分配和项目管理指导力度充足。</w:t>
      </w:r>
    </w:p>
    <w:p w14:paraId="5D13A9E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3.项目实施（8.13分）</w:t>
      </w:r>
    </w:p>
    <w:p w14:paraId="47ADD76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预算</w:t>
      </w:r>
      <w:r>
        <w:rPr>
          <w:rFonts w:hint="eastAsia" w:ascii="Times New Roman" w:hAnsi="Times New Roman" w:eastAsia="仿宋_GB2312" w:cs="Times New Roman"/>
          <w:color w:val="auto"/>
          <w:sz w:val="32"/>
          <w:szCs w:val="32"/>
          <w:lang w:val="zh-CN" w:eastAsia="zh-CN"/>
        </w:rPr>
        <w:t>执行（</w:t>
      </w:r>
      <w:r>
        <w:rPr>
          <w:rFonts w:hint="eastAsia" w:ascii="Times New Roman" w:hAnsi="Times New Roman" w:eastAsia="仿宋_GB2312" w:cs="Times New Roman"/>
          <w:color w:val="auto"/>
          <w:sz w:val="32"/>
          <w:szCs w:val="32"/>
          <w:lang w:val="en-US" w:eastAsia="zh-CN"/>
        </w:rPr>
        <w:t>5.13分</w:t>
      </w:r>
      <w:r>
        <w:rPr>
          <w:rFonts w:hint="eastAsia" w:ascii="Times New Roman" w:hAnsi="Times New Roman" w:eastAsia="仿宋_GB2312" w:cs="Times New Roman"/>
          <w:color w:val="auto"/>
          <w:sz w:val="32"/>
          <w:szCs w:val="32"/>
          <w:lang w:val="zh-CN" w:eastAsia="zh-CN"/>
        </w:rPr>
        <w:t>）：该项指标得分=</w:t>
      </w:r>
      <w:r>
        <w:rPr>
          <w:rFonts w:hint="default" w:ascii="Times New Roman" w:hAnsi="Times New Roman" w:eastAsia="仿宋_GB2312" w:cs="Times New Roman"/>
          <w:color w:val="auto"/>
          <w:sz w:val="32"/>
          <w:szCs w:val="32"/>
          <w:lang w:val="en-US" w:eastAsia="zh-CN"/>
        </w:rPr>
        <w:t>财政资金拨付率×100%×2+</w:t>
      </w:r>
      <w:r>
        <w:rPr>
          <w:rFonts w:hint="eastAsia" w:ascii="Times New Roman" w:hAnsi="Times New Roman" w:eastAsia="仿宋_GB2312" w:cs="Times New Roman"/>
          <w:color w:val="auto"/>
          <w:sz w:val="32"/>
          <w:szCs w:val="32"/>
          <w:lang w:val="en-US" w:eastAsia="zh-CN"/>
        </w:rPr>
        <w:t>单位资金使用</w:t>
      </w:r>
      <w:r>
        <w:rPr>
          <w:rFonts w:hint="default" w:ascii="Times New Roman" w:hAnsi="Times New Roman" w:eastAsia="仿宋_GB2312" w:cs="Times New Roman"/>
          <w:color w:val="auto"/>
          <w:sz w:val="32"/>
          <w:szCs w:val="32"/>
          <w:lang w:val="en-US" w:eastAsia="zh-CN"/>
        </w:rPr>
        <w:t>率×100%×2+地方资金到位率×100%×2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56.35%</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=5.13分。</w:t>
      </w:r>
    </w:p>
    <w:p w14:paraId="17216EE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资金使用（</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14:paraId="7AF405FF">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4.项目结果 （9分）</w:t>
      </w:r>
    </w:p>
    <w:p w14:paraId="40B4160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color w:val="auto"/>
          <w:sz w:val="32"/>
          <w:szCs w:val="32"/>
          <w:lang w:val="en-US" w:eastAsia="zh-CN"/>
        </w:rPr>
        <w:t>目标完成（6分）：该项指标得分=实际完成目标任务量÷首次批复立项设定绩效目标任务总量×100%×6=8÷8×100%×6=6分。</w:t>
      </w:r>
    </w:p>
    <w:p w14:paraId="063F298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完成时效（</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）：该项指标得分=（1-(</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）×100%×3</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指标以月数为单位。实际完成时间-计划完成时间等于0，得</w:t>
      </w:r>
      <w:r>
        <w:rPr>
          <w:rFonts w:hint="eastAsia" w:ascii="Times New Roman" w:hAnsi="Times New Roman" w:eastAsia="仿宋_GB2312" w:cs="Times New Roman"/>
          <w:color w:val="auto"/>
          <w:sz w:val="32"/>
          <w:szCs w:val="32"/>
          <w:lang w:val="en-US" w:eastAsia="zh-CN"/>
        </w:rPr>
        <w:t>3分。</w:t>
      </w:r>
    </w:p>
    <w:p w14:paraId="0FC9E5B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24.75分</w:t>
      </w:r>
      <w:r>
        <w:rPr>
          <w:rFonts w:hint="eastAsia" w:ascii="Times New Roman" w:hAnsi="Times New Roman" w:eastAsia="楷体_GB2312" w:cs="Times New Roman"/>
          <w:b/>
          <w:bCs/>
          <w:color w:val="auto"/>
          <w:kern w:val="0"/>
          <w:sz w:val="32"/>
          <w:szCs w:val="32"/>
          <w:highlight w:val="none"/>
          <w:shd w:val="clear" w:color="auto" w:fill="FFFFFF"/>
          <w:lang w:val="zh-CN"/>
        </w:rPr>
        <w:t>）</w:t>
      </w:r>
    </w:p>
    <w:p w14:paraId="52F0D8BC">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color w:val="auto"/>
          <w:sz w:val="32"/>
          <w:szCs w:val="32"/>
          <w:lang w:val="zh-CN" w:eastAsia="zh-CN"/>
        </w:rPr>
        <w:t>民生保障：该项目主要涉及民生保障。</w:t>
      </w:r>
    </w:p>
    <w:p w14:paraId="5F5130C1">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区域均衡性（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）：该项目实施提升了我县适龄女性人乳头瘤病毒（宫颈癌）疫苗接种率，但区域均衡发展无法评估。</w:t>
      </w:r>
    </w:p>
    <w:p w14:paraId="490B31AE">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对象精准性（</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80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80</w:t>
      </w:r>
      <w:r>
        <w:rPr>
          <w:rFonts w:hint="eastAsia" w:ascii="Times New Roman" w:hAnsi="Times New Roman" w:eastAsia="仿宋_GB2312" w:cs="Times New Roman"/>
          <w:color w:val="auto"/>
          <w:sz w:val="32"/>
          <w:szCs w:val="32"/>
          <w:lang w:eastAsia="zh-CN"/>
        </w:rPr>
        <w:t>×100%×10</w:t>
      </w:r>
      <w:r>
        <w:rPr>
          <w:rFonts w:hint="eastAsia" w:ascii="Times New Roman" w:hAnsi="Times New Roman" w:eastAsia="仿宋_GB2312" w:cs="Times New Roman"/>
          <w:color w:val="auto"/>
          <w:sz w:val="32"/>
          <w:szCs w:val="32"/>
          <w:lang w:val="en-US" w:eastAsia="zh-CN"/>
        </w:rPr>
        <w:t>=10分。抽样的支持对象总人数80人，不符合支持对象人数0人，抽样的支持对象总人数80人。（选取宫颈癌疫苗接种服务对象作为自评依据。）</w:t>
      </w:r>
    </w:p>
    <w:p w14:paraId="1013117B">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eastAsia="仿宋_GB2312" w:cs="Times New Roman"/>
          <w:color w:val="auto"/>
          <w:sz w:val="32"/>
          <w:szCs w:val="32"/>
          <w:highlight w:val="red"/>
          <w:lang w:val="en-US" w:eastAsia="zh-CN"/>
        </w:rPr>
      </w:pPr>
      <w:r>
        <w:rPr>
          <w:rFonts w:hint="eastAsia" w:ascii="Times New Roman" w:hAnsi="Times New Roman" w:eastAsia="仿宋_GB2312" w:cs="Times New Roman"/>
          <w:color w:val="auto"/>
          <w:sz w:val="32"/>
          <w:szCs w:val="32"/>
          <w:lang w:eastAsia="zh-CN"/>
        </w:rPr>
        <w:t>标准合理性（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该项指标得分=（80-0）÷80×100%×5=5分。（选取宫颈癌疫苗接种服务对象作为自评依据）</w:t>
      </w:r>
    </w:p>
    <w:p w14:paraId="78B196B7">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楷体_GB2312" w:hAnsi="楷体_GB2312" w:eastAsia="楷体_GB2312" w:cs="楷体_GB2312"/>
          <w:color w:val="auto"/>
          <w:sz w:val="32"/>
          <w:szCs w:val="32"/>
          <w:lang w:val="en-US" w:eastAsia="zh-CN"/>
        </w:rPr>
      </w:pPr>
      <w:r>
        <w:rPr>
          <w:rFonts w:hint="eastAsia" w:ascii="Times New Roman" w:hAnsi="Times New Roman" w:eastAsia="仿宋_GB2312" w:cs="Times New Roman"/>
          <w:color w:val="auto"/>
          <w:sz w:val="32"/>
          <w:szCs w:val="32"/>
          <w:lang w:eastAsia="zh-CN"/>
        </w:rPr>
        <w:t>群众满意度（</w:t>
      </w:r>
      <w:r>
        <w:rPr>
          <w:rFonts w:hint="eastAsia" w:ascii="Times New Roman" w:hAnsi="Times New Roman" w:eastAsia="仿宋_GB2312" w:cs="Times New Roman"/>
          <w:color w:val="auto"/>
          <w:sz w:val="32"/>
          <w:szCs w:val="32"/>
          <w:lang w:val="en-US" w:eastAsia="zh-CN"/>
        </w:rPr>
        <w:t>4.75分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0.95</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eastAsia="zh-CN"/>
        </w:rPr>
        <w:t>%×5</w:t>
      </w:r>
      <w:r>
        <w:rPr>
          <w:rFonts w:hint="eastAsia" w:ascii="Times New Roman" w:hAnsi="Times New Roman" w:eastAsia="仿宋_GB2312" w:cs="Times New Roman"/>
          <w:color w:val="auto"/>
          <w:sz w:val="32"/>
          <w:szCs w:val="32"/>
          <w:lang w:val="en-US" w:eastAsia="zh-CN"/>
        </w:rPr>
        <w:t>=4.75分。</w:t>
      </w:r>
    </w:p>
    <w:p w14:paraId="6269A655">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16分</w:t>
      </w:r>
      <w:r>
        <w:rPr>
          <w:rFonts w:hint="eastAsia" w:ascii="Times New Roman" w:hAnsi="Times New Roman" w:eastAsia="楷体_GB2312" w:cs="Times New Roman"/>
          <w:b/>
          <w:bCs/>
          <w:color w:val="auto"/>
          <w:kern w:val="0"/>
          <w:sz w:val="32"/>
          <w:szCs w:val="32"/>
          <w:highlight w:val="none"/>
          <w:shd w:val="clear" w:color="auto" w:fill="FFFFFF"/>
          <w:lang w:val="zh-CN"/>
        </w:rPr>
        <w:t>）</w:t>
      </w:r>
    </w:p>
    <w:p w14:paraId="54C76A46">
      <w:pPr>
        <w:spacing w:line="620" w:lineRule="exact"/>
        <w:ind w:firstLine="640" w:firstLineChars="200"/>
        <w:rPr>
          <w:rStyle w:val="11"/>
          <w:rFonts w:hint="eastAsia" w:ascii="仿宋_GB2312" w:hAnsi="仿宋_GB2312" w:eastAsia="仿宋_GB2312" w:cs="仿宋_GB2312"/>
          <w:color w:val="auto"/>
          <w:sz w:val="32"/>
          <w:szCs w:val="32"/>
          <w:lang w:val="en-US" w:eastAsia="zh-CN"/>
        </w:rPr>
      </w:pPr>
      <w:r>
        <w:rPr>
          <w:rStyle w:val="11"/>
          <w:rFonts w:hint="eastAsia" w:ascii="仿宋_GB2312" w:hAnsi="仿宋_GB2312" w:eastAsia="宋体" w:cs="仿宋_GB2312"/>
          <w:color w:val="auto"/>
          <w:kern w:val="2"/>
          <w:sz w:val="32"/>
          <w:szCs w:val="32"/>
          <w:lang w:val="en-US" w:eastAsia="zh-CN" w:bidi="ar-SA"/>
        </w:rPr>
        <w:t>数量指标（8）：</w:t>
      </w:r>
      <w:r>
        <w:rPr>
          <w:rFonts w:hint="eastAsia" w:ascii="仿宋_GB2312" w:hAnsi="Times New Roman" w:eastAsia="仿宋_GB2312" w:cs="Times New Roman"/>
          <w:sz w:val="32"/>
          <w:szCs w:val="32"/>
          <w:lang w:val="en-US" w:eastAsia="zh-CN"/>
        </w:rPr>
        <w:t>9-14岁免费接种二价宫颈癌疫苗80人（任务数），实际完成80人。</w:t>
      </w:r>
    </w:p>
    <w:p w14:paraId="4569D133">
      <w:pPr>
        <w:widowControl w:val="0"/>
        <w:ind w:left="0" w:leftChars="0" w:firstLine="640" w:firstLineChars="200"/>
        <w:jc w:val="both"/>
        <w:rPr>
          <w:rFonts w:hint="eastAsia" w:ascii="Times New Roman" w:hAnsi="Times New Roman" w:eastAsia="仿宋_GB2312" w:cs="Times New Roman"/>
          <w:kern w:val="2"/>
          <w:sz w:val="32"/>
          <w:szCs w:val="32"/>
          <w:lang w:val="en-US" w:eastAsia="zh-CN" w:bidi="ar-SA"/>
        </w:rPr>
      </w:pPr>
      <w:r>
        <w:rPr>
          <w:rStyle w:val="11"/>
          <w:rFonts w:hint="eastAsia" w:ascii="仿宋_GB2312" w:hAnsi="仿宋_GB2312" w:eastAsia="仿宋_GB2312" w:cs="仿宋_GB2312"/>
          <w:color w:val="auto"/>
          <w:kern w:val="2"/>
          <w:sz w:val="32"/>
          <w:szCs w:val="32"/>
          <w:lang w:val="en-US" w:eastAsia="zh-CN" w:bidi="ar-SA"/>
        </w:rPr>
        <w:t>效益指标</w:t>
      </w:r>
      <w:r>
        <w:rPr>
          <w:rStyle w:val="11"/>
          <w:rFonts w:hint="eastAsia" w:ascii="仿宋_GB2312" w:hAnsi="仿宋_GB2312" w:eastAsia="宋体" w:cs="仿宋_GB2312"/>
          <w:color w:val="auto"/>
          <w:kern w:val="2"/>
          <w:sz w:val="32"/>
          <w:szCs w:val="32"/>
          <w:lang w:val="en-US" w:eastAsia="zh-CN" w:bidi="ar-SA"/>
        </w:rPr>
        <w:t>（8分）</w:t>
      </w:r>
      <w:r>
        <w:rPr>
          <w:rStyle w:val="11"/>
          <w:rFonts w:hint="eastAsia" w:ascii="仿宋_GB2312" w:hAnsi="仿宋_GB2312" w:eastAsia="仿宋_GB2312" w:cs="仿宋_GB2312"/>
          <w:color w:val="auto"/>
          <w:kern w:val="2"/>
          <w:sz w:val="32"/>
          <w:szCs w:val="32"/>
          <w:lang w:val="en-US" w:eastAsia="zh-CN" w:bidi="ar-SA"/>
        </w:rPr>
        <w:t>：2025年12月底完成疫苗接种。</w:t>
      </w:r>
    </w:p>
    <w:p w14:paraId="706209C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640" w:leftChars="0"/>
        <w:textAlignment w:val="auto"/>
        <w:outlineLvl w:val="9"/>
        <w:rPr>
          <w:rFonts w:hint="eastAsia" w:ascii="黑体" w:hAnsi="宋体" w:eastAsia="黑体" w:cs="Times New Roman"/>
          <w:color w:val="auto"/>
          <w:sz w:val="32"/>
          <w:szCs w:val="32"/>
          <w:highlight w:val="none"/>
          <w:u w:val="none"/>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p>
    <w:p w14:paraId="0D05D9E1">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黑体" w:hAnsi="黑体" w:eastAsia="黑体" w:cs="黑体"/>
          <w:b w:val="0"/>
          <w:bCs w:val="0"/>
          <w:color w:val="auto"/>
          <w:kern w:val="2"/>
          <w:position w:val="0"/>
          <w:sz w:val="32"/>
          <w:szCs w:val="32"/>
          <w:highlight w:val="none"/>
          <w:lang w:val="en-US" w:eastAsia="zh-CN" w:bidi="ar-SA"/>
        </w:rPr>
      </w:pPr>
      <w:r>
        <w:rPr>
          <w:rFonts w:hint="eastAsia" w:ascii="仿宋_GB2312" w:hAnsi="仿宋_GB2312" w:eastAsia="仿宋_GB2312" w:cs="仿宋_GB2312"/>
          <w:b w:val="0"/>
          <w:bCs w:val="0"/>
          <w:color w:val="auto"/>
          <w:kern w:val="0"/>
          <w:position w:val="0"/>
          <w:sz w:val="32"/>
          <w:szCs w:val="32"/>
          <w:highlight w:val="none"/>
          <w:lang w:val="en-US" w:eastAsia="zh-CN" w:bidi="ar-SA"/>
        </w:rPr>
        <w:t>该项专项预算项目绩效自评总体结论优异，自评得分87.88分，项目实施范围符合省州县要求，并按时完成了项目资金拨付，截至2025年12月31日，资金使用率达56.35%。</w:t>
      </w:r>
    </w:p>
    <w:p w14:paraId="3D67C22C">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14:paraId="1AF859CF">
      <w:pPr>
        <w:numPr>
          <w:ilvl w:val="0"/>
          <w:numId w:val="0"/>
        </w:numPr>
        <w:ind w:firstLine="640" w:firstLineChars="200"/>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（一）省、州按预算资金按照339元/剂次下达，但省级与疫苗公司谈判后，实际按单价37.5元/剂次购买；州级任务按339元/剂次购买，买一送一，导致项目资金存在净结余。</w:t>
      </w:r>
    </w:p>
    <w:p w14:paraId="463255F1">
      <w:pPr>
        <w:numPr>
          <w:ilvl w:val="0"/>
          <w:numId w:val="0"/>
        </w:numPr>
        <w:ind w:firstLine="640" w:firstLineChars="200"/>
        <w:jc w:val="left"/>
        <w:rPr>
          <w:rFonts w:hint="eastAsia"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color w:val="auto"/>
          <w:sz w:val="32"/>
          <w:szCs w:val="32"/>
          <w:lang w:val="en-US" w:eastAsia="zh-CN"/>
        </w:rPr>
        <w:t>（二）符合接种条件的部分适龄女性家长对接种疫苗存在一些抵触心理，疫苗接种积极性不高。</w:t>
      </w:r>
    </w:p>
    <w:p w14:paraId="48EE7D9E">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14:paraId="0FC007C7">
      <w:pPr>
        <w:tabs>
          <w:tab w:val="left" w:pos="1911"/>
        </w:tabs>
        <w:jc w:val="left"/>
        <w:rPr>
          <w:rFonts w:hint="eastAsia" w:ascii="仿宋_GB2312" w:hAnsi="仿宋_GB2312" w:eastAsia="仿宋_GB2312" w:cs="仿宋_GB2312"/>
          <w:b w:val="0"/>
          <w:bCs w:val="0"/>
          <w:color w:val="auto"/>
          <w:kern w:val="0"/>
          <w:position w:val="0"/>
          <w:sz w:val="32"/>
          <w:szCs w:val="32"/>
          <w:highlight w:val="none"/>
          <w:lang w:val="en-US" w:eastAsia="zh-CN" w:bidi="ar-SA"/>
        </w:rPr>
      </w:pPr>
      <w:r>
        <w:rPr>
          <w:rFonts w:hint="eastAsia" w:ascii="仿宋_GB2312" w:hAnsi="仿宋_GB2312" w:eastAsia="仿宋_GB2312" w:cs="仿宋_GB2312"/>
          <w:b w:val="0"/>
          <w:bCs w:val="0"/>
          <w:color w:val="auto"/>
          <w:kern w:val="0"/>
          <w:position w:val="0"/>
          <w:sz w:val="32"/>
          <w:szCs w:val="32"/>
          <w:highlight w:val="none"/>
          <w:lang w:val="en-US" w:eastAsia="zh-CN" w:bidi="ar-SA"/>
        </w:rPr>
        <w:t xml:space="preserve">   在任务数完成的情况下，允许项目资金净结余。加大接种疫苗宣传活动，提升适龄女性对疫苗接种的接受度，进一步提高我县疫苗接种率。</w:t>
      </w:r>
    </w:p>
    <w:p w14:paraId="04B71C02">
      <w:pPr>
        <w:tabs>
          <w:tab w:val="left" w:pos="1911"/>
        </w:tabs>
        <w:jc w:val="left"/>
        <w:rPr>
          <w:rFonts w:hint="eastAsia" w:ascii="仿宋_GB2312" w:hAnsi="仿宋_GB2312" w:eastAsia="仿宋_GB2312" w:cs="仿宋_GB2312"/>
          <w:b w:val="0"/>
          <w:bCs w:val="0"/>
          <w:color w:val="auto"/>
          <w:kern w:val="0"/>
          <w:position w:val="0"/>
          <w:sz w:val="32"/>
          <w:szCs w:val="32"/>
          <w:highlight w:val="none"/>
          <w:lang w:val="en-US" w:eastAsia="zh-CN" w:bidi="ar-SA"/>
        </w:rPr>
      </w:pPr>
    </w:p>
    <w:p w14:paraId="73994335">
      <w:pPr>
        <w:tabs>
          <w:tab w:val="left" w:pos="1911"/>
        </w:tabs>
        <w:jc w:val="left"/>
        <w:rPr>
          <w:rFonts w:hint="eastAsia" w:ascii="仿宋_GB2312" w:hAnsi="仿宋_GB2312" w:eastAsia="仿宋_GB2312" w:cs="仿宋_GB2312"/>
          <w:b w:val="0"/>
          <w:bCs w:val="0"/>
          <w:color w:val="auto"/>
          <w:kern w:val="0"/>
          <w:position w:val="0"/>
          <w:sz w:val="32"/>
          <w:szCs w:val="32"/>
          <w:highlight w:val="none"/>
          <w:lang w:val="en-US" w:eastAsia="zh-CN" w:bidi="ar-SA"/>
        </w:rPr>
      </w:pPr>
    </w:p>
    <w:p w14:paraId="6995054B">
      <w:pPr>
        <w:tabs>
          <w:tab w:val="left" w:pos="1911"/>
        </w:tabs>
        <w:jc w:val="left"/>
        <w:rPr>
          <w:rFonts w:hint="eastAsia" w:ascii="仿宋_GB2312" w:hAnsi="仿宋_GB2312" w:eastAsia="仿宋_GB2312" w:cs="仿宋_GB2312"/>
          <w:b w:val="0"/>
          <w:bCs w:val="0"/>
          <w:color w:val="auto"/>
          <w:kern w:val="0"/>
          <w:position w:val="0"/>
          <w:sz w:val="32"/>
          <w:szCs w:val="32"/>
          <w:highlight w:val="none"/>
          <w:lang w:val="en-US" w:eastAsia="zh-CN" w:bidi="ar-SA"/>
        </w:rPr>
      </w:pPr>
    </w:p>
    <w:p w14:paraId="630C5E0E">
      <w:pPr>
        <w:tabs>
          <w:tab w:val="left" w:pos="1911"/>
        </w:tabs>
        <w:ind w:firstLine="4160" w:firstLineChars="13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黑水县疾病预防控制中心</w:t>
      </w:r>
    </w:p>
    <w:p w14:paraId="4A21614B">
      <w:pPr>
        <w:numPr>
          <w:ilvl w:val="0"/>
          <w:numId w:val="0"/>
        </w:numPr>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2026年3月31日</w:t>
      </w:r>
    </w:p>
    <w:sectPr>
      <w:footerReference r:id="rId3" w:type="default"/>
      <w:pgSz w:w="11906" w:h="16838"/>
      <w:pgMar w:top="1587" w:right="2098" w:bottom="1474"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
    <w:altName w:val="仿宋"/>
    <w:panose1 w:val="00000000000000000000"/>
    <w:charset w:val="00"/>
    <w:family w:val="roman"/>
    <w:pitch w:val="default"/>
    <w:sig w:usb0="00000000" w:usb1="00000000" w:usb2="00000000" w:usb3="00000000" w:csb0="00000000"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D8612">
    <w:pPr>
      <w:pStyle w:val="6"/>
      <w:jc w:val="right"/>
    </w:pPr>
    <w:r>
      <w:rPr>
        <w:rFonts w:hint="eastAsia" w:ascii="宋体" w:hAnsi="宋体"/>
        <w:sz w:val="30"/>
        <w:szCs w:val="30"/>
      </w:rPr>
      <w:t>―</w:t>
    </w:r>
    <w:r>
      <w:rPr>
        <w:rFonts w:hint="eastAsia" w:ascii="宋体" w:hAnsi="宋体"/>
        <w:kern w:val="0"/>
        <w:sz w:val="30"/>
        <w:szCs w:val="30"/>
      </w:rPr>
      <w:t xml:space="preserve"> </w:t>
    </w:r>
    <w:r>
      <w:rPr>
        <w:rFonts w:hint="eastAsia" w:ascii="宋体" w:hAnsi="宋体"/>
        <w:kern w:val="0"/>
        <w:sz w:val="30"/>
        <w:szCs w:val="30"/>
      </w:rPr>
      <w:fldChar w:fldCharType="begin"/>
    </w:r>
    <w:r>
      <w:rPr>
        <w:rFonts w:hint="eastAsia" w:ascii="宋体" w:hAnsi="宋体"/>
        <w:kern w:val="0"/>
        <w:sz w:val="30"/>
        <w:szCs w:val="30"/>
      </w:rPr>
      <w:instrText xml:space="preserve"> PAGE </w:instrText>
    </w:r>
    <w:r>
      <w:rPr>
        <w:rFonts w:hint="eastAsia" w:ascii="宋体" w:hAnsi="宋体"/>
        <w:kern w:val="0"/>
        <w:sz w:val="30"/>
        <w:szCs w:val="30"/>
      </w:rPr>
      <w:fldChar w:fldCharType="separate"/>
    </w:r>
    <w:r>
      <w:rPr>
        <w:rFonts w:ascii="宋体" w:hAnsi="宋体"/>
        <w:kern w:val="0"/>
        <w:sz w:val="30"/>
        <w:szCs w:val="30"/>
      </w:rPr>
      <w:t>1</w:t>
    </w:r>
    <w:r>
      <w:rPr>
        <w:rFonts w:hint="eastAsia" w:ascii="宋体" w:hAnsi="宋体"/>
        <w:kern w:val="0"/>
        <w:sz w:val="30"/>
        <w:szCs w:val="30"/>
      </w:rPr>
      <w:fldChar w:fldCharType="end"/>
    </w:r>
    <w:r>
      <w:rPr>
        <w:rFonts w:hint="eastAsia" w:ascii="宋体" w:hAnsi="宋体"/>
        <w:kern w:val="0"/>
        <w:sz w:val="30"/>
        <w:szCs w:val="30"/>
      </w:rPr>
      <w:t xml:space="preserve"> </w:t>
    </w:r>
    <w:r>
      <w:rPr>
        <w:rFonts w:hint="eastAsia" w:ascii="宋体" w:hAnsi="宋体"/>
        <w:sz w:val="30"/>
        <w:szCs w:val="30"/>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NTI2NTM5NGRhNDBmNWI3M2JkNDkwZjA0NDYwNzAifQ=="/>
  </w:docVars>
  <w:rsids>
    <w:rsidRoot w:val="01FD00A0"/>
    <w:rsid w:val="01FD00A0"/>
    <w:rsid w:val="066D2FAB"/>
    <w:rsid w:val="095D50B9"/>
    <w:rsid w:val="0B934203"/>
    <w:rsid w:val="150C2E19"/>
    <w:rsid w:val="16DB16FF"/>
    <w:rsid w:val="1767D259"/>
    <w:rsid w:val="1D885A81"/>
    <w:rsid w:val="1EFF1103"/>
    <w:rsid w:val="20EF2937"/>
    <w:rsid w:val="30C21963"/>
    <w:rsid w:val="31F1039B"/>
    <w:rsid w:val="3E9B5D5C"/>
    <w:rsid w:val="3FFFB4BF"/>
    <w:rsid w:val="40360E64"/>
    <w:rsid w:val="424D0F6F"/>
    <w:rsid w:val="4B955CEB"/>
    <w:rsid w:val="515B7CB7"/>
    <w:rsid w:val="674A3B3E"/>
    <w:rsid w:val="6EFBBBEC"/>
    <w:rsid w:val="716A6478"/>
    <w:rsid w:val="731F6A02"/>
    <w:rsid w:val="771F27EA"/>
    <w:rsid w:val="7C3B575E"/>
    <w:rsid w:val="7EB43D30"/>
    <w:rsid w:val="A73F5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4">
    <w:name w:val="Body Text"/>
    <w:basedOn w:val="1"/>
    <w:unhideWhenUsed/>
    <w:qFormat/>
    <w:uiPriority w:val="1"/>
    <w:pPr>
      <w:autoSpaceDE w:val="0"/>
      <w:autoSpaceDN w:val="0"/>
      <w:spacing w:line="480" w:lineRule="auto"/>
      <w:jc w:val="left"/>
    </w:pPr>
    <w:rPr>
      <w:rFonts w:ascii="仿宋" w:hAnsi="仿宋" w:eastAsia="仿宋" w:cs="仿宋"/>
      <w:kern w:val="0"/>
      <w:szCs w:val="32"/>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able of figures"/>
    <w:basedOn w:val="1"/>
    <w:next w:val="1"/>
    <w:unhideWhenUsed/>
    <w:qFormat/>
    <w:uiPriority w:val="99"/>
    <w:pPr>
      <w:ind w:left="200" w:leftChars="200" w:hanging="200" w:hangingChars="200"/>
    </w:pPr>
  </w:style>
  <w:style w:type="paragraph" w:styleId="9">
    <w:name w:val="Body Text First Indent 2"/>
    <w:basedOn w:val="5"/>
    <w:unhideWhenUsed/>
    <w:qFormat/>
    <w:uiPriority w:val="99"/>
    <w:pPr>
      <w:ind w:firstLine="420" w:firstLineChars="200"/>
    </w:pPr>
  </w:style>
  <w:style w:type="paragraph" w:customStyle="1" w:styleId="12">
    <w:name w:val="Table Text"/>
    <w:basedOn w:val="1"/>
    <w:semiHidden/>
    <w:qFormat/>
    <w:uiPriority w:val="0"/>
    <w:rPr>
      <w:rFonts w:ascii="仿宋" w:hAnsi="仿宋" w:eastAsia="仿宋" w:cs="仿宋"/>
      <w:sz w:val="24"/>
      <w:szCs w:val="24"/>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2640</Words>
  <Characters>2921</Characters>
  <Lines>1</Lines>
  <Paragraphs>1</Paragraphs>
  <TotalTime>2</TotalTime>
  <ScaleCrop>false</ScaleCrop>
  <LinksUpToDate>false</LinksUpToDate>
  <CharactersWithSpaces>2977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2023-08-05T00:33:00Z</dcterms:created>
  <dc:creator>高能电脑打印</dc:creator>
  <cp:lastModifiedBy>WPS_1604458475</cp:lastModifiedBy>
  <cp:lastPrinted>2023-08-05T00:44:00Z</cp:lastPrinted>
  <dcterms:modified xsi:type="dcterms:W3CDTF">2026-08-26T07:42:36Z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93C4952BEBF0487A952327B48785FBF0_13</vt:lpwstr>
  </property>
  <property fmtid="{D5CDD505-2E9C-101B-9397-08002B2CF9AE}" pid="4" name="KSOTemplateDocerSaveRecord">
    <vt:lpwstr>eyJoZGlkIjoiYmMxZWViYzY2OTBkMWNmMDZlNjI2NmUwYzQyZTk2ZTMiLCJ1c2VySWQiOiIxMTM5OTQ5NTAyIn0=</vt:lpwstr>
  </property>
</Properties>
</file>