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bookmarkStart w:id="0" w:name="_Toc15396616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黑水县残疾人联合会</w:t>
      </w: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年部门整体支出绩效评价报告</w:t>
      </w:r>
      <w:bookmarkEnd w:id="0"/>
    </w:p>
    <w:p>
      <w:pPr>
        <w:spacing w:line="580" w:lineRule="exact"/>
        <w:ind w:firstLine="880" w:firstLineChars="20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（一）机构组成。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黑水县残疾人联合会是一级预算单位，是参照公务员管理的事业单位。1992年从民政局单列，升为正科级单位，内设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康复、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教就、扶贫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、康复中心、办公室、财务室及县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个乡镇和1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个行政村的残疾人协会，我会系黑水县直接管辖。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机构职能。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黑府办发（1997）52号文件规定，主要职责是：开展和促进残疾人康复、扶贫、教育、劳动就业、文化生活、福利、社会服务，扶助残疾人平等参与社会生活；贯彻执行助残法律、法规，协助政府研究、制定和实施本县残疾人事业的发展规划和措施，对有关业务领域进行指导和管理；反映残疾人需求，维护残疾人合法权益。</w:t>
      </w: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（三）人员概况。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color w:val="auto"/>
          <w:sz w:val="32"/>
          <w:szCs w:val="32"/>
        </w:rPr>
        <w:t>年12月在册人数8人,其中：理事长1人，副理事长1人。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（一）部门财政资金收入情况。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outlineLvl w:val="1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年本年收入合计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454.78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万元，其中：一般公共预算财政拨款收入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400.07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87.97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%；政府性基金预算财政拨款收入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7.04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1.55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;年初结转和结余47.68万元，占10.48%。</w:t>
      </w:r>
    </w:p>
    <w:p>
      <w:pPr>
        <w:spacing w:line="600" w:lineRule="exact"/>
        <w:ind w:firstLine="640" w:firstLineChars="200"/>
        <w:outlineLvl w:val="1"/>
        <w:rPr>
          <w:rFonts w:hint="eastAsia" w:ascii="仿宋_GB2312" w:hAnsi="仿宋" w:eastAsia="仿宋_GB2312"/>
          <w:color w:val="auto"/>
          <w:sz w:val="32"/>
          <w:szCs w:val="32"/>
        </w:rPr>
      </w:pPr>
      <w:bookmarkStart w:id="1" w:name="_GoBack"/>
      <w:bookmarkEnd w:id="1"/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部门财政资金支出情况。</w:t>
      </w:r>
    </w:p>
    <w:p>
      <w:pPr>
        <w:spacing w:line="600" w:lineRule="exact"/>
        <w:ind w:firstLine="64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年一般公共预算财政拨款支出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373.27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万元，主要用于以下方面: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社会保障和就业（类）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294.65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78.94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%；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卫生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eastAsia="zh-CN"/>
        </w:rPr>
        <w:t>健康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（类）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7.28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1.95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%；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eastAsia="zh-CN"/>
        </w:rPr>
        <w:t>农林水（类）支出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50万元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占13.40%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>住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房保障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eastAsia="zh-CN"/>
        </w:rPr>
        <w:t>（类）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12.31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3.29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%；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eastAsia="zh-CN"/>
        </w:rPr>
        <w:t>其他支出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9.04万元，占2.42%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三、部门整体预算绩效管理情况（根据适用指标体系进行调整</w:t>
      </w: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（一）部门预算管理。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本单位严格按照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财政局“人员经费按标准，公用经费按定额”的预算原则，根据县财政局关于做好2020年财务工作预算的通知要求，客观真实编制了2020年部门预算，2020年财政资金总支出为支出373.27万元（其中基本支出168.4万元、项目支出204.87万元）。预算编制是我单位预算体制最基本的环节,是预算管理体制改革的核心。预算编制秉承实事求是的原则，对我单位财政支出做出合理规划，对财政管理体制的完善、活动范围的合理界定、监督和约束都具有重要作用。</w:t>
      </w: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包括专项预算项目程序严密、规划合理、结果符合、分配科学、分配及时、专项预算绩效目标完成、实施绩效、违规记录等情况。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（三）结果应用情况。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包括部门自评质量、绩效目标公开和自评公开、评价结果整改和应用结果反馈等情况。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（一）评价结论。</w:t>
      </w:r>
    </w:p>
    <w:p>
      <w:pPr>
        <w:spacing w:line="360" w:lineRule="auto"/>
        <w:ind w:firstLine="645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按照国家政策法规规定，结合本部门的实际情况，建立健全了财务管理制度和约束机制，依法、有效地使用财政资金，提高财政资金使用效率，合理分配人、财、物，完成了部门职能目标，实现了较高的工作效率和支出绩效。</w:t>
      </w:r>
      <w:r>
        <w:rPr>
          <w:rFonts w:hint="eastAsia" w:ascii="宋体" w:hAnsi="宋体" w:eastAsia="仿宋"/>
          <w:color w:val="auto"/>
          <w:sz w:val="32"/>
          <w:szCs w:val="32"/>
        </w:rPr>
        <w:t> </w:t>
      </w:r>
    </w:p>
    <w:p>
      <w:pPr>
        <w:spacing w:line="360" w:lineRule="auto"/>
        <w:ind w:firstLine="645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结合评价得分评价结果为良好。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存在问题。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财务公开与监督建设有待进一步提高。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改进建议。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1、加强资金的管理，在助残惠残资金的使用范围上严格把关，按照规定进行公示。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2、及时总结助残惠残项目在实施过程中存在的问题及好的经验，进一步加大政策宣传力度，提高助残惠残项目申报率，进一步完善各项补贴落实监督工作机制，及时反馈上报发放情况。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我们将进一步重视预算的编制工作，提高预算编制的精确度，提高财政资金使用效率，尽量减少预算执行调整、结转和结余注销的情形。</w:t>
      </w:r>
    </w:p>
    <w:p>
      <w:pPr>
        <w:pStyle w:val="2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黑水县残疾人联合会</w:t>
      </w:r>
    </w:p>
    <w:p>
      <w:pPr>
        <w:pStyle w:val="2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2021年8月10日</w:t>
      </w:r>
    </w:p>
    <w:p>
      <w:pPr>
        <w:widowControl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4B367"/>
    <w:multiLevelType w:val="singleLevel"/>
    <w:tmpl w:val="0464B36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8CF050"/>
    <w:multiLevelType w:val="singleLevel"/>
    <w:tmpl w:val="0F8CF05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22"/>
    <w:rsid w:val="00291808"/>
    <w:rsid w:val="00491B22"/>
    <w:rsid w:val="0052390C"/>
    <w:rsid w:val="36435EC2"/>
    <w:rsid w:val="45332861"/>
    <w:rsid w:val="50AF254F"/>
    <w:rsid w:val="60D032A5"/>
    <w:rsid w:val="67C27C08"/>
    <w:rsid w:val="727C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横圆香~羊羊羊</cp:lastModifiedBy>
  <cp:lastPrinted>2021-08-10T02:02:00Z</cp:lastPrinted>
  <dcterms:modified xsi:type="dcterms:W3CDTF">2021-08-16T02:19:12Z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7DAD1ECDC00043BAAD6F67B941BE1BE3</vt:lpwstr>
  </property>
</Properties>
</file>