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outlineLvl w:val="0"/>
        <w:rPr>
          <w:rFonts w:hint="eastAsia" w:ascii="黑体" w:hAnsi="宋体" w:eastAsia="黑体" w:cs="黑体"/>
          <w:b/>
          <w:color w:val="000000"/>
          <w:kern w:val="0"/>
          <w:sz w:val="43"/>
          <w:szCs w:val="43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440" w:firstLineChars="100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  <w:t>黑水县残疾人联合会</w:t>
      </w:r>
    </w:p>
    <w:p>
      <w:pPr>
        <w:keepNext w:val="0"/>
        <w:keepLines w:val="0"/>
        <w:widowControl/>
        <w:suppressLineNumbers w:val="0"/>
        <w:ind w:firstLine="440" w:firstLineChars="100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  <w:t>关于残疾人事业发展资金项目支出</w:t>
      </w:r>
    </w:p>
    <w:p>
      <w:pPr>
        <w:keepNext w:val="0"/>
        <w:keepLines w:val="0"/>
        <w:widowControl/>
        <w:suppressLineNumbers w:val="0"/>
        <w:ind w:firstLine="440" w:firstLineChars="100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  <w:t>绩效评价报告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根据《黑水县财政局关于开展2024年县级部门绩效自评工作的通知》(黑财〔2024〕107 号)文件要求，我单位高度重视，成立了以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残疾人联合会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会长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肖新斌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为组长、分管领导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何世斌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为副组长、财务人员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占木基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为成员的绩效评价工作小组，对本单位2023年度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残疾人事业发展资金的专项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进行自评，评价报告如下：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highlight w:val="none"/>
          <w:lang w:val="zh-CN"/>
        </w:rPr>
      </w:pPr>
      <w:r>
        <w:rPr>
          <w:rFonts w:hint="eastAsia" w:ascii="黑体" w:hAnsi="宋体" w:eastAsia="黑体"/>
          <w:highlight w:val="none"/>
        </w:rPr>
        <w:t>一、</w:t>
      </w:r>
      <w:r>
        <w:rPr>
          <w:rFonts w:hint="eastAsia" w:ascii="黑体" w:hAnsi="宋体" w:eastAsia="黑体"/>
          <w:highlight w:val="none"/>
          <w:lang w:val="zh-CN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textAlignment w:val="auto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textAlignment w:val="auto"/>
        <w:rPr>
          <w:rFonts w:hint="eastAsia" w:ascii="仿宋_GB231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四川省财政厅、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国家税务总</w:t>
      </w:r>
      <w:r>
        <w:rPr>
          <w:rFonts w:hint="eastAsia" w:ascii="仿宋_GB2312" w:hAnsi="仿宋_GB2312" w:eastAsia="仿宋_GB2312" w:cs="仿宋_GB2312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四川省税务局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、四川省残疾人联合会关于印发&lt;四川省残疾人就业保障金征收使用管理实施办法&gt;的通知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》（川财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〔20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号）</w:t>
      </w:r>
      <w:r>
        <w:rPr>
          <w:rFonts w:ascii="仿宋_GB2312" w:eastAsia="仿宋_GB2312"/>
          <w:sz w:val="32"/>
          <w:szCs w:val="32"/>
        </w:rPr>
        <w:t>《财政厅关于下达2023年省级财政残疾人事业发展补助资金的通知》（川财社〔2023〕29号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，残疾人保障金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主要用于保障残疾人生活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支持残疾人就业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及残疾人就业服务机构的正常经费开支。</w:t>
      </w:r>
      <w:r>
        <w:rPr>
          <w:rFonts w:hint="eastAsia" w:ascii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023年,我单位按照省、州残联关于残疾人事业发展补助任务分配，结合</w:t>
      </w:r>
      <w:r>
        <w:rPr>
          <w:rFonts w:hint="eastAsia" w:ascii="仿宋_GB2312" w:hAnsi="仿宋_GB2312" w:eastAsia="仿宋_GB2312" w:cs="仿宋_GB2312"/>
          <w:i w:val="0"/>
          <w:caps w:val="0"/>
          <w:color w:val="191919"/>
          <w:spacing w:val="0"/>
          <w:sz w:val="32"/>
          <w:szCs w:val="32"/>
          <w:shd w:val="clear" w:color="auto" w:fill="FFFFFF"/>
          <w:lang w:eastAsia="zh-CN"/>
        </w:rPr>
        <w:t>巩固拓展脱贫攻坚成果</w:t>
      </w:r>
      <w:r>
        <w:rPr>
          <w:rFonts w:hint="eastAsia" w:ascii="仿宋_GB2312" w:hAnsi="仿宋_GB2312" w:eastAsia="仿宋_GB2312" w:cs="仿宋_GB2312"/>
          <w:i w:val="0"/>
          <w:caps w:val="0"/>
          <w:color w:val="191919"/>
          <w:spacing w:val="0"/>
          <w:sz w:val="32"/>
          <w:szCs w:val="32"/>
          <w:shd w:val="clear" w:color="auto" w:fill="FFFFFF"/>
        </w:rPr>
        <w:t>同乡村振兴有效衔接</w:t>
      </w:r>
      <w:r>
        <w:rPr>
          <w:rFonts w:hint="eastAsia" w:ascii="仿宋_GB2312" w:hAnsi="仿宋_GB2312" w:eastAsia="仿宋_GB2312" w:cs="仿宋_GB2312"/>
          <w:i w:val="0"/>
          <w:caps w:val="0"/>
          <w:color w:val="191919"/>
          <w:spacing w:val="0"/>
          <w:sz w:val="32"/>
          <w:szCs w:val="32"/>
          <w:shd w:val="clear" w:color="auto" w:fill="FFFFFF"/>
          <w:lang w:eastAsia="zh-CN"/>
        </w:rPr>
        <w:t>工作要求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积极推进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残疾人事业发展资金的专项项目。</w:t>
      </w:r>
      <w:r>
        <w:rPr>
          <w:rFonts w:hint="eastAsia" w:ascii="仿宋_GB2312" w:eastAsia="仿宋_GB2312"/>
        </w:rPr>
        <w:t>全面支持落实好残疾人就业、医疗康复、社会保障等方面的扶持政策，健全残疾人权益保障制度和扶残助残服务体系，提升残疾人基本公共服务保障水平，帮助残疾人同步迈进全面小康社会</w:t>
      </w:r>
      <w:r>
        <w:rPr>
          <w:rFonts w:hint="eastAsia" w:ascii="仿宋_GB2312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jc w:val="left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adjustRightInd w:val="0"/>
        <w:snapToGrid w:val="0"/>
        <w:spacing w:line="520" w:lineRule="exact"/>
        <w:ind w:firstLine="642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经费按照县委组织的分配方案，具有现实需求，依法依规认真履行。</w:t>
      </w: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10" w:beforeAutospacing="0" w:after="210" w:afterAutospacing="0" w:line="450" w:lineRule="atLeast"/>
        <w:ind w:left="0" w:leftChars="0" w:right="0" w:firstLine="0" w:firstLineChars="0"/>
        <w:jc w:val="left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210" w:beforeAutospacing="0" w:after="210" w:afterAutospacing="0" w:line="450" w:lineRule="atLeast"/>
        <w:ind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1.中央下达残疾人事业发展补助资金专项转移支付预算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30.918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万元，其中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中央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一般公共预算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26.718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万元，中央彩票公益金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4.2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。</w:t>
      </w:r>
    </w:p>
    <w:p>
      <w:pPr>
        <w:pStyle w:val="8"/>
        <w:keepNext w:val="0"/>
        <w:keepLines w:val="0"/>
        <w:widowControl/>
        <w:suppressLineNumbers w:val="0"/>
        <w:shd w:val="clear" w:fill="FFFFFF"/>
        <w:spacing w:before="210" w:beforeAutospacing="0" w:after="210" w:afterAutospacing="0" w:line="450" w:lineRule="atLeast"/>
        <w:ind w:left="0" w:right="0" w:firstLine="739" w:firstLineChars="231"/>
        <w:jc w:val="left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2.省、市、区三级配套残疾人事业发展补助专项资金预算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126.1375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万元，其中省级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一般公共预算11.4515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万元，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省级彩票公益金0.648万元，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市级配套资金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23.743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万元，县级配套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60.295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，东西部对口支援资金30万元。</w:t>
      </w:r>
    </w:p>
    <w:p>
      <w:pPr>
        <w:pStyle w:val="8"/>
        <w:keepNext w:val="0"/>
        <w:keepLines w:val="0"/>
        <w:widowControl/>
        <w:suppressLineNumbers w:val="0"/>
        <w:shd w:val="clear" w:fill="FFFFFF"/>
        <w:spacing w:before="210" w:beforeAutospacing="0" w:after="210" w:afterAutospacing="0" w:line="450" w:lineRule="atLeast"/>
        <w:ind w:left="0" w:right="0" w:firstLine="739" w:firstLineChars="231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资金计划用于残疾人联络员误工补贴、全国助残日活动资金、温暖万家行慰问困难残疾人活动资金、智慧量服手持终端费用、文化进家庭“五个一”、0-6岁残疾人康复救助、残疾人居家托养、农村贫困残疾人实用技术培训、机动车燃油补贴、七岁以上残疾人康复、家庭医生签约增值服务、居家灵活就业、残疾人事业发展补助资金、东西部对口援建等项目。</w:t>
      </w: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0" w:firstLineChars="0"/>
        <w:jc w:val="left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项目绩效目标设置。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1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项目整体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绩效目标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739" w:firstLineChars="231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落实好残疾人就业、医疗康复、社会保障等扶持政策，健全残疾人权益保障制度和扶残助残服务体系，完成残疾人基本康复服务、农村实用技术培训、残疾人机动轮椅车燃油补贴、残疾儿童康复救助、残疾人居家托养家庭医生签约增值服务、居家灵活就业、残疾人事业发展补助资金、残疾人文化服务项目等工作，有效提升了残疾人基本公共服务保障水平。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2.项目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区域和具体绩效目标设置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739" w:firstLineChars="231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2023年全州提供残疾人基本康复服务600人次、参加农村实用技术培训30人、提供托养服务210人、发放残疾人机动轮椅车燃油补贴53人、救助残疾儿童4人、发放残疾人联络员务工补贴104人、完成残疾人文化进家庭“五个一”20户、发放灵活就业补贴95人、家庭医生签约增值服务28人次、扶持残疾人发展生产，实现自主就业创业，发放各类物资补贴，创业就业补助；开展实用技术培训会、补贴残疾人职业技能学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outlineLvl w:val="9"/>
        <w:rPr>
          <w:rFonts w:hint="eastAsia" w:ascii="黑体" w:hAnsi="宋体" w:eastAsia="黑体"/>
          <w:highlight w:val="none"/>
          <w:lang w:eastAsia="zh-CN"/>
        </w:rPr>
      </w:pPr>
      <w:r>
        <w:rPr>
          <w:rFonts w:hint="eastAsia" w:ascii="黑体" w:hAnsi="宋体" w:eastAsia="黑体"/>
          <w:highlight w:val="none"/>
        </w:rPr>
        <w:t>二、</w:t>
      </w:r>
      <w:r>
        <w:rPr>
          <w:rFonts w:hint="eastAsia" w:ascii="黑体" w:hAnsi="宋体" w:eastAsia="黑体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outlineLvl w:val="0"/>
        <w:rPr>
          <w:rFonts w:ascii="仿宋_GB2312"/>
          <w:szCs w:val="32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960" w:firstLineChars="30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eastAsia="仿宋_GB2312" w:cs="Times New Roman"/>
          <w:szCs w:val="32"/>
        </w:rPr>
        <w:t>通过绩效评价，及时发现项目实施中存在的薄弱环节，总结推广好的经验和做法，进一步规范项目管理。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210" w:beforeAutospacing="0" w:after="210" w:afterAutospacing="0" w:line="450" w:lineRule="atLeast"/>
        <w:ind w:left="420"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（二）预设问题及评价重点。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cs="Times New Roman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评价选点。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全县。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评价方法。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eastAsia="仿宋_GB2312" w:cs="Times New Roman"/>
          <w:szCs w:val="32"/>
        </w:rPr>
        <w:t>单位自评法</w:t>
      </w:r>
      <w:r>
        <w:rPr>
          <w:rFonts w:hint="eastAsia" w:cs="Times New Roman"/>
          <w:szCs w:val="32"/>
          <w:lang w:eastAsia="zh-CN"/>
        </w:rPr>
        <w:t>：</w:t>
      </w:r>
      <w:r>
        <w:rPr>
          <w:rFonts w:hint="eastAsia" w:cs="Times New Roman"/>
          <w:szCs w:val="32"/>
          <w:lang w:val="en-US" w:eastAsia="zh-CN"/>
        </w:rPr>
        <w:t>2023</w:t>
      </w:r>
      <w:r>
        <w:rPr>
          <w:rFonts w:hint="eastAsia" w:ascii="仿宋_GB2312"/>
        </w:rPr>
        <w:t>年度预算项目绩效评估工作通过</w:t>
      </w:r>
      <w:r>
        <w:rPr>
          <w:rFonts w:hint="eastAsia" w:ascii="仿宋_GB2312"/>
          <w:lang w:val="en-US" w:eastAsia="zh-CN"/>
        </w:rPr>
        <w:t>线上与线下相结合的</w:t>
      </w:r>
      <w:r>
        <w:rPr>
          <w:rFonts w:hint="eastAsia" w:ascii="仿宋_GB2312"/>
        </w:rPr>
        <w:t>方式开展。按照有关规定和工作安排，我单位开展自行评估，通过</w:t>
      </w:r>
      <w:r>
        <w:rPr>
          <w:rFonts w:hint="eastAsia" w:ascii="仿宋_GB2312"/>
          <w:lang w:val="en-US" w:eastAsia="zh-CN"/>
        </w:rPr>
        <w:t>自行成立</w:t>
      </w:r>
      <w:r>
        <w:rPr>
          <w:rFonts w:hint="eastAsia" w:ascii="仿宋_GB2312"/>
        </w:rPr>
        <w:t>等方式组建评估组，通过收集被评估项目相关基础资料，并查阅资料、收集数据信息等，深入论证分析后，形成绩效</w:t>
      </w:r>
      <w:r>
        <w:rPr>
          <w:rFonts w:hint="eastAsia" w:ascii="仿宋_GB2312"/>
          <w:lang w:val="en-US" w:eastAsia="zh-CN"/>
        </w:rPr>
        <w:t>自评</w:t>
      </w:r>
      <w:r>
        <w:rPr>
          <w:rFonts w:hint="eastAsia" w:ascii="仿宋_GB2312"/>
        </w:rPr>
        <w:t>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bCs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成立了以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残疾人联合会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会长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肖新斌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为组长、分管领导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何世斌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为副组长、财务人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员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占木基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为成员的绩效评价工作小组</w:t>
      </w:r>
      <w:r>
        <w:rPr>
          <w:rFonts w:hint="eastAsia" w:cs="Times New Roman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仿宋_GB231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(1)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val="en-US" w:eastAsia="zh-CN"/>
        </w:rPr>
        <w:t>:为了</w:t>
      </w:r>
      <w:r>
        <w:rPr>
          <w:rFonts w:hint="eastAsia" w:ascii="仿宋_GB2312" w:eastAsia="仿宋_GB2312"/>
        </w:rPr>
        <w:t>全面支持落实好残疾人就业、医疗康复、社会保障等方面的扶持政策，健全残疾人权益保障制度和扶残助残服务体系，提升残疾人基本公共服务保障水平，帮助残疾人同步迈进全面小康社会</w:t>
      </w:r>
      <w:r>
        <w:rPr>
          <w:rFonts w:hint="eastAsia" w:ascii="仿宋_GB231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eastAsia="仿宋_GB2312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(2)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项目规划论证符合中省要求，项目绩效目标设置科学合理。目标1.为残疾儿童提供康复救助服务；目标2.为残疾儿童提供早期干预服务；目标3.为残疾学生提供助学服务；目标4.为智力、精神和重度残疾人提供托养服务；目标5.为农村贫困残疾人提供实用技术培训服务；目标6.为残疾人发放灵活就业补贴；目标7.为残疾人提供残疾人公共文化服务-文化进家庭“五个一”服务；目标8.开展残疾人群众性体育活动；目标9.为贫困重度残疾人家庭提供生活环境无障碍改造服务；目标10.为贫困智力精神和重度残疾人发放残疾评定补贴。</w:t>
      </w:r>
      <w:r>
        <w:rPr>
          <w:rFonts w:hint="eastAsia" w:cs="Times New Roman"/>
          <w:color w:val="auto"/>
          <w:szCs w:val="32"/>
          <w:lang w:val="en-US" w:eastAsia="zh-CN"/>
        </w:rPr>
        <w:t>(3)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：项目资金是与项目总体规划、相关行业事业发展相匹配，聚焦重大任务、重点领域、重点环节和重点项目。体现“集中财力办大事”原则，避免“撒胡椒面”。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bookmarkStart w:id="0" w:name="OLE_LINK4"/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1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制度办法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cs="Times New Roman"/>
          <w:color w:val="auto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四川省财政厅、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国家税务总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四川省税务局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、四川省残疾人联合会关于印发&lt;四川省残疾人就业保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障金征收使用管理实施办法&gt;的通知》（川财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lang w:eastAsia="zh-CN"/>
        </w:rPr>
        <w:t>规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〔20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号）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等相关的残保金制度执行。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分配管理</w:t>
      </w:r>
      <w:r>
        <w:rPr>
          <w:rFonts w:hint="eastAsia" w:cs="Times New Roman"/>
          <w:color w:val="auto"/>
          <w:szCs w:val="32"/>
          <w:lang w:eastAsia="zh-CN"/>
        </w:rPr>
        <w:t>：明确项目申报审核程序，按规定程序履行项目审批，</w:t>
      </w:r>
      <w:r>
        <w:rPr>
          <w:rFonts w:hint="eastAsia" w:cs="Times New Roman"/>
          <w:color w:val="auto"/>
          <w:szCs w:val="32"/>
          <w:lang w:val="en-US" w:eastAsia="zh-CN"/>
        </w:rPr>
        <w:t>要求残疾人事业发展资金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</w:t>
      </w:r>
      <w:r>
        <w:rPr>
          <w:rFonts w:hint="eastAsia" w:cs="Times New Roman"/>
          <w:color w:val="auto"/>
          <w:szCs w:val="32"/>
          <w:lang w:val="en-US" w:eastAsia="zh-CN"/>
        </w:rPr>
        <w:t>用于残疾人职业培训、职业教育、职业康复以</w:t>
      </w:r>
      <w:r>
        <w:rPr>
          <w:rFonts w:hint="default" w:cs="Times New Roman"/>
          <w:color w:val="auto"/>
          <w:szCs w:val="32"/>
          <w:lang w:eastAsia="zh-CN"/>
        </w:rPr>
        <w:t>及</w:t>
      </w:r>
      <w:r>
        <w:rPr>
          <w:rFonts w:hint="eastAsia" w:cs="Times New Roman"/>
          <w:color w:val="auto"/>
          <w:szCs w:val="32"/>
          <w:lang w:val="en-US" w:eastAsia="zh-CN"/>
        </w:rPr>
        <w:t>确有困难的残疾人救急补助支出。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3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绩效监管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审批符合</w:t>
      </w:r>
      <w:r>
        <w:rPr>
          <w:rFonts w:hint="eastAsia" w:cs="Times New Roman"/>
          <w:color w:val="auto"/>
          <w:szCs w:val="32"/>
          <w:lang w:val="en-US" w:eastAsia="zh-CN"/>
        </w:rPr>
        <w:t>专项项目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管理要求</w:t>
      </w:r>
      <w:r>
        <w:rPr>
          <w:rFonts w:hint="eastAsia" w:cs="Times New Roman"/>
          <w:color w:val="auto"/>
          <w:szCs w:val="32"/>
          <w:lang w:eastAsia="zh-CN"/>
        </w:rPr>
        <w:t>。建立健全预算执行动态监控机制和内部监督检查机制,切实履行内部监督职责。</w:t>
      </w:r>
      <w:r>
        <w:rPr>
          <w:rFonts w:hint="eastAsia" w:cs="Times New Roman"/>
          <w:color w:val="auto"/>
          <w:szCs w:val="32"/>
          <w:lang w:val="en-US" w:eastAsia="zh-CN"/>
        </w:rPr>
        <w:t>但</w:t>
      </w:r>
      <w:r>
        <w:rPr>
          <w:rFonts w:hint="eastAsia" w:ascii="仿宋_GB2312" w:hAns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绩效考核意识有待进一步加强，内部绩效管理制度还不够完善，评价体系有待进一步健全。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仿宋_GB2312"/>
          <w:lang w:val="en-US" w:eastAsia="zh-CN"/>
        </w:rPr>
      </w:pPr>
      <w:bookmarkStart w:id="1" w:name="OLE_LINK5"/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1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预算</w:t>
      </w:r>
      <w:r>
        <w:rPr>
          <w:rFonts w:hint="eastAsia" w:eastAsia="仿宋_GB2312" w:cs="Times New Roman"/>
          <w:color w:val="auto"/>
          <w:szCs w:val="32"/>
          <w:lang w:val="zh-CN" w:eastAsia="zh-CN"/>
        </w:rPr>
        <w:t>执行</w:t>
      </w:r>
      <w:r>
        <w:rPr>
          <w:rFonts w:hint="eastAsia" w:cs="Times New Roman"/>
          <w:color w:val="auto"/>
          <w:szCs w:val="32"/>
          <w:lang w:val="zh-CN" w:eastAsia="zh-CN"/>
        </w:rPr>
        <w:t>：</w:t>
      </w:r>
      <w:r>
        <w:rPr>
          <w:rFonts w:hint="eastAsia" w:cs="Times New Roman"/>
          <w:color w:val="auto"/>
          <w:szCs w:val="32"/>
          <w:lang w:val="en-US" w:eastAsia="zh-CN"/>
        </w:rPr>
        <w:t>2023年</w:t>
      </w:r>
      <w:r>
        <w:rPr>
          <w:rFonts w:hint="eastAsia" w:ascii="仿宋_GB2312"/>
          <w:lang w:val="en-US" w:eastAsia="zh-CN"/>
        </w:rPr>
        <w:t>残疾事业发展资金</w:t>
      </w:r>
      <w:r>
        <w:rPr>
          <w:rFonts w:hint="eastAsia" w:ascii="仿宋_GB2312" w:eastAsia="仿宋_GB2312"/>
        </w:rPr>
        <w:t>项目申报预算</w:t>
      </w:r>
      <w:r>
        <w:rPr>
          <w:rFonts w:hint="eastAsia" w:ascii="仿宋_GB2312"/>
          <w:highlight w:val="none"/>
          <w:lang w:val="en-US" w:eastAsia="zh-CN"/>
        </w:rPr>
        <w:t>163.38</w:t>
      </w:r>
      <w:r>
        <w:rPr>
          <w:rFonts w:hint="eastAsia" w:ascii="仿宋_GB2312" w:eastAsia="仿宋_GB2312"/>
        </w:rPr>
        <w:t>万元，</w:t>
      </w:r>
      <w:r>
        <w:rPr>
          <w:rFonts w:hint="eastAsia" w:ascii="仿宋_GB2312"/>
          <w:lang w:val="en-US" w:eastAsia="zh-CN"/>
        </w:rPr>
        <w:t>实际预算</w:t>
      </w:r>
      <w:r>
        <w:rPr>
          <w:rFonts w:hint="eastAsia" w:ascii="仿宋_GB2312" w:eastAsia="仿宋_GB2312"/>
        </w:rPr>
        <w:t>为</w:t>
      </w:r>
      <w:r>
        <w:rPr>
          <w:rFonts w:hint="eastAsia" w:ascii="仿宋_GB2312"/>
          <w:highlight w:val="none"/>
          <w:lang w:val="en-US" w:eastAsia="zh-CN"/>
        </w:rPr>
        <w:t>163.35</w:t>
      </w:r>
      <w:r>
        <w:rPr>
          <w:rFonts w:hint="eastAsia" w:ascii="仿宋_GB2312" w:eastAsia="仿宋_GB2312"/>
        </w:rPr>
        <w:t>万元，</w:t>
      </w:r>
      <w:r>
        <w:rPr>
          <w:rFonts w:hint="eastAsia" w:ascii="仿宋_GB2312"/>
          <w:lang w:val="en-US" w:eastAsia="zh-CN"/>
        </w:rPr>
        <w:t>全年执行资金为</w:t>
      </w:r>
      <w:r>
        <w:rPr>
          <w:rFonts w:hint="eastAsia" w:ascii="仿宋_GB2312"/>
          <w:highlight w:val="none"/>
          <w:lang w:val="en-US" w:eastAsia="zh-CN"/>
        </w:rPr>
        <w:t>163.35</w:t>
      </w:r>
      <w:r>
        <w:rPr>
          <w:rFonts w:hint="eastAsia" w:ascii="仿宋_GB2312"/>
          <w:lang w:val="en-US" w:eastAsia="zh-CN"/>
        </w:rPr>
        <w:t>万元，执行率为100%</w:t>
      </w:r>
      <w:r>
        <w:rPr>
          <w:rFonts w:hint="eastAsia" w:ascii="仿宋_GB2312" w:eastAsia="仿宋_GB2312"/>
        </w:rPr>
        <w:t>资金来源为</w:t>
      </w:r>
      <w:r>
        <w:rPr>
          <w:rFonts w:hint="eastAsia" w:ascii="仿宋_GB2312"/>
          <w:lang w:val="en-US" w:eastAsia="zh-CN"/>
        </w:rPr>
        <w:t>中央、省级和县级资金。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2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资金使用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仿宋_GB2312" w:hAnsi="Times New Roman" w:cs="Times New Roman"/>
          <w:lang w:val="zh-CN" w:eastAsia="zh-CN"/>
        </w:rPr>
        <w:t>截止</w:t>
      </w:r>
      <w:r>
        <w:rPr>
          <w:rFonts w:hint="eastAsia" w:ascii="仿宋_GB2312" w:hAnsi="Times New Roman" w:cs="Times New Roman"/>
          <w:lang w:val="en-US" w:eastAsia="zh-CN"/>
        </w:rPr>
        <w:t>2023</w:t>
      </w:r>
      <w:r>
        <w:rPr>
          <w:rFonts w:hint="eastAsia" w:ascii="仿宋_GB2312" w:hAnsi="Times New Roman" w:cs="Times New Roman"/>
          <w:lang w:val="zh-CN" w:eastAsia="zh-CN"/>
        </w:rPr>
        <w:t>年</w:t>
      </w:r>
      <w:r>
        <w:rPr>
          <w:rFonts w:hint="eastAsia" w:ascii="仿宋_GB2312" w:hAnsi="Times New Roman" w:cs="Times New Roman"/>
          <w:lang w:val="en-US" w:eastAsia="zh-CN"/>
        </w:rPr>
        <w:t>12</w:t>
      </w:r>
      <w:r>
        <w:rPr>
          <w:rFonts w:hint="eastAsia" w:ascii="仿宋_GB2312" w:hAnsi="Times New Roman" w:cs="Times New Roman"/>
          <w:lang w:val="zh-CN" w:eastAsia="zh-CN"/>
        </w:rPr>
        <w:t>月31日已完成预算指标</w:t>
      </w:r>
      <w:r>
        <w:rPr>
          <w:rFonts w:hint="eastAsia" w:ascii="仿宋_GB2312" w:cs="Times New Roman"/>
          <w:highlight w:val="none"/>
          <w:lang w:val="en-US" w:eastAsia="zh-CN"/>
        </w:rPr>
        <w:t>163.35</w:t>
      </w:r>
      <w:r>
        <w:rPr>
          <w:rFonts w:hint="eastAsia" w:ascii="仿宋_GB2312" w:hAnsi="Times New Roman" w:cs="Times New Roman"/>
          <w:lang w:val="zh-CN" w:eastAsia="zh-CN"/>
        </w:rPr>
        <w:t>万元，完成率</w:t>
      </w:r>
      <w:r>
        <w:rPr>
          <w:rFonts w:hint="eastAsia" w:ascii="仿宋_GB2312" w:hAnsi="Times New Roman" w:cs="Times New Roman"/>
          <w:lang w:val="en-US" w:eastAsia="zh-CN"/>
        </w:rPr>
        <w:t>100</w:t>
      </w:r>
      <w:r>
        <w:rPr>
          <w:rFonts w:hint="eastAsia" w:ascii="仿宋_GB2312" w:hAnsi="Times New Roman" w:cs="Times New Roman"/>
          <w:lang w:val="zh-CN" w:eastAsia="zh-CN"/>
        </w:rPr>
        <w:t>%；中期评估为良好，本着节能降耗的原则，降低能源消耗，取得了较好的成效</w:t>
      </w:r>
      <w:r>
        <w:rPr>
          <w:rFonts w:hint="eastAsia" w:ascii="仿宋_GB2312" w:hAnsi="Times New Roman" w:cs="Times New Roman"/>
          <w:lang w:val="en-US" w:eastAsia="zh-CN"/>
        </w:rPr>
        <w:t>。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，项目实施遵守相关法律法规。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color w:val="auto"/>
          <w:szCs w:val="32"/>
          <w:lang w:eastAsia="zh-CN"/>
        </w:rPr>
      </w:pPr>
      <w:bookmarkStart w:id="2" w:name="OLE_LINK6"/>
      <w:r>
        <w:rPr>
          <w:rFonts w:hint="eastAsia" w:cs="Times New Roman"/>
          <w:color w:val="auto"/>
          <w:szCs w:val="32"/>
          <w:lang w:val="en-US" w:eastAsia="zh-CN"/>
        </w:rPr>
        <w:t>（1）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目标完成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仿宋_GB2312"/>
          <w:lang w:val="en-US" w:eastAsia="zh-CN"/>
        </w:rPr>
        <w:t>残疾事业发展资金</w:t>
      </w:r>
      <w:r>
        <w:rPr>
          <w:rFonts w:hint="eastAsia" w:cs="Times New Roman"/>
          <w:color w:val="auto"/>
          <w:szCs w:val="32"/>
          <w:lang w:eastAsia="zh-CN"/>
        </w:rPr>
        <w:t>项目完成</w:t>
      </w:r>
      <w:r>
        <w:rPr>
          <w:rFonts w:hint="eastAsia" w:cs="Times New Roman"/>
          <w:color w:val="auto"/>
          <w:szCs w:val="32"/>
          <w:lang w:val="en-US" w:eastAsia="zh-CN"/>
        </w:rPr>
        <w:t>了发放残疾人补助金、开展残疾人职业培训以及帮助残疾儿童康复等</w:t>
      </w:r>
      <w:r>
        <w:rPr>
          <w:rFonts w:hint="eastAsia" w:cs="Times New Roman"/>
          <w:color w:val="auto"/>
          <w:szCs w:val="32"/>
          <w:lang w:eastAsia="zh-CN"/>
        </w:rPr>
        <w:t>目标，实施结果与绩效目标相匹配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2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完成时效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我单位2023年度项目</w:t>
      </w:r>
      <w:r>
        <w:rPr>
          <w:rFonts w:hint="eastAsia" w:ascii="仿宋_GB2312"/>
          <w:lang w:val="en-US" w:eastAsia="zh-CN"/>
        </w:rPr>
        <w:t>残疾事业发展资金实际完成时间与计划完成时间</w:t>
      </w:r>
      <w:bookmarkStart w:id="5" w:name="_GoBack"/>
      <w:bookmarkEnd w:id="5"/>
      <w:r>
        <w:rPr>
          <w:rFonts w:hint="eastAsia" w:ascii="仿宋_GB2312"/>
          <w:lang w:val="en-US" w:eastAsia="zh-CN"/>
        </w:rPr>
        <w:t>相符。</w:t>
      </w:r>
    </w:p>
    <w:bookmarkEnd w:id="2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bookmarkStart w:id="3" w:name="OLE_LINK3"/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  <w:t>行政运转。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cs="Times New Roman"/>
          <w:color w:val="auto"/>
          <w:szCs w:val="32"/>
          <w:lang w:val="zh-CN"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1</w:t>
      </w:r>
      <w:r>
        <w:rPr>
          <w:rFonts w:hint="eastAsia" w:cs="Times New Roman"/>
          <w:color w:val="auto"/>
          <w:szCs w:val="32"/>
          <w:lang w:val="zh-CN"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用途合规性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</w:t>
      </w:r>
      <w:r>
        <w:rPr>
          <w:rFonts w:hint="eastAsia" w:cs="Times New Roman"/>
          <w:color w:val="auto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cs="Times New Roman"/>
          <w:color w:val="auto"/>
          <w:szCs w:val="32"/>
          <w:lang w:val="zh-CN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（2）程序合规性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</w:t>
      </w:r>
      <w:r>
        <w:rPr>
          <w:rFonts w:hint="eastAsia" w:cs="Times New Roman"/>
          <w:color w:val="auto"/>
          <w:szCs w:val="32"/>
          <w:lang w:val="en-US" w:eastAsia="zh-CN"/>
        </w:rPr>
        <w:t>按照专项资金管理要求，程序合规合法。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（3）标准合规性:按照专项资金管理要求，及时有效完成项目资金的实施和兑现。</w:t>
      </w:r>
    </w:p>
    <w:bookmarkEnd w:id="3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（三）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我部门在规定内做好</w:t>
      </w:r>
      <w:r>
        <w:rPr>
          <w:rFonts w:hint="eastAsia" w:cs="Times New Roman"/>
          <w:color w:val="auto"/>
          <w:szCs w:val="32"/>
          <w:lang w:val="en-US" w:eastAsia="zh-CN"/>
        </w:rPr>
        <w:t>残疾人联合会残疾人事业发展项目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个性化绩效评价指标具有特定的针对性，能够更好地反映其特定业务领域的表现，可以加强</w:t>
      </w:r>
      <w:r>
        <w:rPr>
          <w:rFonts w:hint="eastAsia" w:cs="Times New Roman"/>
          <w:color w:val="auto"/>
          <w:szCs w:val="32"/>
          <w:lang w:val="en-US" w:eastAsia="zh-CN"/>
        </w:rPr>
        <w:t>残疾人就业、医疗康复、社会保障等，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提高部门的整体绩效水平。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9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救助残疾人情况：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2023年全州提供残疾人基本康复服务600人次、参加农村实用技术培训30人、提供托养服务210人、发放残疾人机动轮椅车燃油补贴53人、救助残疾儿童4人、发放残疾人联络员务工补贴104人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（2）改善残疾人生活：全面支持落实好残疾人就业、医疗康复、社会保障等方面的扶持政策，健全残疾人权益保障制度和扶残助残服务体系，提升残疾人基本公共服务保障水平，帮助残疾人同步迈进全面小康社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9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（3）提高残疾人生活水平：为残疾人提供残疾人公共文化服务-文化进家庭“五个一”服务；开展残疾人群众性体育活动；为贫困重度残疾人家庭提供生活环境无障碍改造服务；为贫困智力精神和重度残疾人发放残疾评定补贴。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textAlignment w:val="auto"/>
        <w:rPr>
          <w:rFonts w:hint="default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过汇总、整理、分析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lang w:val="en-US" w:eastAsia="zh-CN" w:bidi="ar-SA"/>
        </w:rPr>
        <w:t>残疾人事业发展项目资金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绩效评价指标体系，绩效目标基本实现，自评得分为100分。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tabs>
          <w:tab w:val="left" w:pos="1911"/>
        </w:tabs>
        <w:jc w:val="left"/>
        <w:rPr>
          <w:rFonts w:hint="default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 xml:space="preserve">  </w:t>
      </w:r>
      <w:bookmarkStart w:id="4" w:name="_Hlk110546638"/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bookmarkEnd w:id="4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专项预算项目绩效目标完成情况自评表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残疾人事业发展补助资金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黑水县残疾人联合会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项目类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163.35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163.35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残疾人实用技术培训人数（）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残疾儿童康复救助人数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项目实施进度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项目完成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时间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月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7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接受扫盲和农村实用技术培训的残疾人受教育水平和生活生产能力　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明显提高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明显提高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残疾人及残疾人家属对残疾人服务的满意度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</w:tbl>
    <w:p>
      <w:pPr>
        <w:pStyle w:val="9"/>
        <w:ind w:left="0" w:leftChars="0" w:firstLine="0" w:firstLineChars="0"/>
        <w:rPr>
          <w:rFonts w:hint="eastAsia" w:ascii="仿宋_GB2312"/>
          <w:lang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 w:start="1"/>
          <w:cols w:space="425" w:num="1"/>
          <w:docGrid w:type="lines" w:linePitch="312" w:charSpace="0"/>
        </w:sect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</w:p>
    <w:sectPr>
      <w:footerReference r:id="rId4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仿宋_GB2312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2715260</wp:posOffset>
              </wp:positionH>
              <wp:positionV relativeFrom="paragraph">
                <wp:posOffset>146050</wp:posOffset>
              </wp:positionV>
              <wp:extent cx="2566035" cy="34671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0820000" flipV="1">
                        <a:off x="0" y="0"/>
                        <a:ext cx="2566035" cy="346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flip:y;margin-left:213.8pt;margin-top:11.5pt;height:27.3pt;width:202.05pt;mso-position-horizontal-relative:margin;rotation:851968f;z-index:251660288;mso-width-relative:page;mso-height-relative:page;" filled="f" stroked="f" coordsize="21600,21600" o:gfxdata="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WAAAAZHJzL1BLAQIUABQAAAAIAIdO&#10;4kDcDkQH2QAAAAkBAAAPAAAAAAAAAAEAIAAAADgAAABkcnMvZG93bnJldi54bWxQSwECFAAUAAAA&#10;CACHTuJA/BTQpkkCAAB7BAAADgAAAAAAAAABACAAAAA+AQAAZHJzL2Uyb0RvYy54bWxQSwUGAAAA&#10;AAYABgBZAQAA+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504975"/>
    <w:multiLevelType w:val="singleLevel"/>
    <w:tmpl w:val="C2504975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EC0127B"/>
    <w:multiLevelType w:val="singleLevel"/>
    <w:tmpl w:val="CEC0127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03B599B3"/>
    <w:multiLevelType w:val="singleLevel"/>
    <w:tmpl w:val="03B599B3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wZTgxMDM1ZDI5NjdhZDViMjc3ZjgyOGMzMDMwZGIifQ=="/>
  </w:docVars>
  <w:rsids>
    <w:rsidRoot w:val="771D4D51"/>
    <w:rsid w:val="026223A4"/>
    <w:rsid w:val="02DA63DE"/>
    <w:rsid w:val="030F4150"/>
    <w:rsid w:val="058663AA"/>
    <w:rsid w:val="0AC534D0"/>
    <w:rsid w:val="0ADA71CA"/>
    <w:rsid w:val="0B3D39AE"/>
    <w:rsid w:val="0C8F3D96"/>
    <w:rsid w:val="0CB948BD"/>
    <w:rsid w:val="0FB029A1"/>
    <w:rsid w:val="112B2510"/>
    <w:rsid w:val="121511E1"/>
    <w:rsid w:val="132A0CBC"/>
    <w:rsid w:val="13B30CB1"/>
    <w:rsid w:val="13CE7899"/>
    <w:rsid w:val="16B34B25"/>
    <w:rsid w:val="18116C89"/>
    <w:rsid w:val="18E67433"/>
    <w:rsid w:val="19762565"/>
    <w:rsid w:val="1A8C400A"/>
    <w:rsid w:val="1C1E6EE4"/>
    <w:rsid w:val="1C25106F"/>
    <w:rsid w:val="1CFD8DF6"/>
    <w:rsid w:val="1E1D699A"/>
    <w:rsid w:val="1E260ABB"/>
    <w:rsid w:val="1E8A0861"/>
    <w:rsid w:val="1EEC32CA"/>
    <w:rsid w:val="1FCC2803"/>
    <w:rsid w:val="1FFF9AD9"/>
    <w:rsid w:val="20A976C4"/>
    <w:rsid w:val="22AD555F"/>
    <w:rsid w:val="26CF2DB3"/>
    <w:rsid w:val="27247AA4"/>
    <w:rsid w:val="27A72484"/>
    <w:rsid w:val="285048C9"/>
    <w:rsid w:val="28F2659B"/>
    <w:rsid w:val="28F65471"/>
    <w:rsid w:val="2AF86ED7"/>
    <w:rsid w:val="2AFDF212"/>
    <w:rsid w:val="2B25203D"/>
    <w:rsid w:val="2B385C88"/>
    <w:rsid w:val="2B6BF484"/>
    <w:rsid w:val="2B8A40D5"/>
    <w:rsid w:val="2D4A5D8B"/>
    <w:rsid w:val="2E5844D8"/>
    <w:rsid w:val="2ECA734A"/>
    <w:rsid w:val="2FFF7DE7"/>
    <w:rsid w:val="31012C04"/>
    <w:rsid w:val="315B683E"/>
    <w:rsid w:val="31C51E84"/>
    <w:rsid w:val="31E542D4"/>
    <w:rsid w:val="33F748AD"/>
    <w:rsid w:val="34FC3E0F"/>
    <w:rsid w:val="35874596"/>
    <w:rsid w:val="35F2A362"/>
    <w:rsid w:val="36A52284"/>
    <w:rsid w:val="36EA2AC9"/>
    <w:rsid w:val="371A51D2"/>
    <w:rsid w:val="373BBD0C"/>
    <w:rsid w:val="37781747"/>
    <w:rsid w:val="39445D84"/>
    <w:rsid w:val="39BFEDBA"/>
    <w:rsid w:val="39DBABD8"/>
    <w:rsid w:val="3A26548A"/>
    <w:rsid w:val="3A5244D1"/>
    <w:rsid w:val="3AED12ED"/>
    <w:rsid w:val="3AFF6A5D"/>
    <w:rsid w:val="3BDD34D2"/>
    <w:rsid w:val="3BDDFF97"/>
    <w:rsid w:val="3BFFD43B"/>
    <w:rsid w:val="3C28373B"/>
    <w:rsid w:val="3C7BD5C9"/>
    <w:rsid w:val="3CA514CB"/>
    <w:rsid w:val="3D05582A"/>
    <w:rsid w:val="3EB07A7A"/>
    <w:rsid w:val="3FBF9251"/>
    <w:rsid w:val="3FED766E"/>
    <w:rsid w:val="3FFEEAD9"/>
    <w:rsid w:val="3FFFE931"/>
    <w:rsid w:val="440525B4"/>
    <w:rsid w:val="44220AAF"/>
    <w:rsid w:val="456357E4"/>
    <w:rsid w:val="457F07F2"/>
    <w:rsid w:val="4661551E"/>
    <w:rsid w:val="47121221"/>
    <w:rsid w:val="48DF1625"/>
    <w:rsid w:val="4A745D9D"/>
    <w:rsid w:val="4AF8077D"/>
    <w:rsid w:val="4BED6AFE"/>
    <w:rsid w:val="4BFF5B3B"/>
    <w:rsid w:val="4CA0731E"/>
    <w:rsid w:val="4CC6FDBD"/>
    <w:rsid w:val="4E07F45D"/>
    <w:rsid w:val="4E086F29"/>
    <w:rsid w:val="4EA824BA"/>
    <w:rsid w:val="4FF59AF5"/>
    <w:rsid w:val="503D00E8"/>
    <w:rsid w:val="50DD28EE"/>
    <w:rsid w:val="536A7192"/>
    <w:rsid w:val="54482775"/>
    <w:rsid w:val="545A6004"/>
    <w:rsid w:val="558C4BB0"/>
    <w:rsid w:val="55FA184D"/>
    <w:rsid w:val="55FE10A2"/>
    <w:rsid w:val="56B75990"/>
    <w:rsid w:val="56EF6619"/>
    <w:rsid w:val="57AF1E73"/>
    <w:rsid w:val="57AF2B0B"/>
    <w:rsid w:val="585316E8"/>
    <w:rsid w:val="5A105AE3"/>
    <w:rsid w:val="5A3D61AC"/>
    <w:rsid w:val="5AB21C33"/>
    <w:rsid w:val="5AC16DDD"/>
    <w:rsid w:val="5B778EC0"/>
    <w:rsid w:val="5BFD93EC"/>
    <w:rsid w:val="5CBA8FF2"/>
    <w:rsid w:val="5D5F7E21"/>
    <w:rsid w:val="5D8D744A"/>
    <w:rsid w:val="5F5B35E4"/>
    <w:rsid w:val="609FA7B0"/>
    <w:rsid w:val="64216B3E"/>
    <w:rsid w:val="660A5ADC"/>
    <w:rsid w:val="682B7F8C"/>
    <w:rsid w:val="68A33FC6"/>
    <w:rsid w:val="68B9469B"/>
    <w:rsid w:val="69EE7218"/>
    <w:rsid w:val="69FCE5E7"/>
    <w:rsid w:val="6B56537B"/>
    <w:rsid w:val="6BCDA9CC"/>
    <w:rsid w:val="6D6D6950"/>
    <w:rsid w:val="6D9F2765"/>
    <w:rsid w:val="6DB508E5"/>
    <w:rsid w:val="6DDFA6BD"/>
    <w:rsid w:val="6E2214E9"/>
    <w:rsid w:val="6E767ACE"/>
    <w:rsid w:val="6E781687"/>
    <w:rsid w:val="6EEE3ED1"/>
    <w:rsid w:val="6EFFED40"/>
    <w:rsid w:val="6F1B2166"/>
    <w:rsid w:val="6F5FC1DE"/>
    <w:rsid w:val="6FB3E1FD"/>
    <w:rsid w:val="6FD768E4"/>
    <w:rsid w:val="6FF341F1"/>
    <w:rsid w:val="6FFEBD86"/>
    <w:rsid w:val="71AA0173"/>
    <w:rsid w:val="73FF1F09"/>
    <w:rsid w:val="73FF684B"/>
    <w:rsid w:val="745030E5"/>
    <w:rsid w:val="748E5B2A"/>
    <w:rsid w:val="74A708C5"/>
    <w:rsid w:val="7662101C"/>
    <w:rsid w:val="76DFCB7D"/>
    <w:rsid w:val="771D4D51"/>
    <w:rsid w:val="7735A28E"/>
    <w:rsid w:val="77707769"/>
    <w:rsid w:val="77778F6D"/>
    <w:rsid w:val="77ABFD6B"/>
    <w:rsid w:val="77B7A121"/>
    <w:rsid w:val="77C748BA"/>
    <w:rsid w:val="77DD24F1"/>
    <w:rsid w:val="77F10335"/>
    <w:rsid w:val="77F7E860"/>
    <w:rsid w:val="77FB8D34"/>
    <w:rsid w:val="797D0128"/>
    <w:rsid w:val="79EDB415"/>
    <w:rsid w:val="7ABBCDAB"/>
    <w:rsid w:val="7AFCAD25"/>
    <w:rsid w:val="7AFEB9B4"/>
    <w:rsid w:val="7B5E0C37"/>
    <w:rsid w:val="7B63F034"/>
    <w:rsid w:val="7B694BFB"/>
    <w:rsid w:val="7B735637"/>
    <w:rsid w:val="7B7DE504"/>
    <w:rsid w:val="7BA109FB"/>
    <w:rsid w:val="7BEF2326"/>
    <w:rsid w:val="7BFEC4F8"/>
    <w:rsid w:val="7DA14F75"/>
    <w:rsid w:val="7DB57A61"/>
    <w:rsid w:val="7DC15CCA"/>
    <w:rsid w:val="7DC7DC1F"/>
    <w:rsid w:val="7DF95E12"/>
    <w:rsid w:val="7DFDF40F"/>
    <w:rsid w:val="7DFF9BC7"/>
    <w:rsid w:val="7EB645E3"/>
    <w:rsid w:val="7EB6B7AB"/>
    <w:rsid w:val="7EB74AB3"/>
    <w:rsid w:val="7EDEF702"/>
    <w:rsid w:val="7EFD6908"/>
    <w:rsid w:val="7EFF8787"/>
    <w:rsid w:val="7F1C270D"/>
    <w:rsid w:val="7F5F4807"/>
    <w:rsid w:val="7F722518"/>
    <w:rsid w:val="7F7CF90E"/>
    <w:rsid w:val="7F9E3557"/>
    <w:rsid w:val="7FBF2857"/>
    <w:rsid w:val="7FD3B1BB"/>
    <w:rsid w:val="7FE7031F"/>
    <w:rsid w:val="7FEC5D3B"/>
    <w:rsid w:val="7FEF37E2"/>
    <w:rsid w:val="7FF70813"/>
    <w:rsid w:val="7FF7B584"/>
    <w:rsid w:val="7FFDFB4B"/>
    <w:rsid w:val="7FFF1910"/>
    <w:rsid w:val="7FFF8C1D"/>
    <w:rsid w:val="7FFF92F0"/>
    <w:rsid w:val="7FFFF07C"/>
    <w:rsid w:val="99F96327"/>
    <w:rsid w:val="9BF3195D"/>
    <w:rsid w:val="A5DB4128"/>
    <w:rsid w:val="A6E375DB"/>
    <w:rsid w:val="A6EFA809"/>
    <w:rsid w:val="A6F7CC0B"/>
    <w:rsid w:val="AABFBDFA"/>
    <w:rsid w:val="AF7DE88E"/>
    <w:rsid w:val="AFED1DC0"/>
    <w:rsid w:val="AFFBB299"/>
    <w:rsid w:val="B3ECA4C8"/>
    <w:rsid w:val="B4D7E8EA"/>
    <w:rsid w:val="B4EF3795"/>
    <w:rsid w:val="B5E79B51"/>
    <w:rsid w:val="B6E7F02A"/>
    <w:rsid w:val="B797ED78"/>
    <w:rsid w:val="BB75119C"/>
    <w:rsid w:val="BBD3B774"/>
    <w:rsid w:val="BBDF02B2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C8FDA203"/>
    <w:rsid w:val="CEF79301"/>
    <w:rsid w:val="CEFBB93B"/>
    <w:rsid w:val="CF7C6158"/>
    <w:rsid w:val="CF9D4E98"/>
    <w:rsid w:val="CFBFEC5E"/>
    <w:rsid w:val="D65BF816"/>
    <w:rsid w:val="D73F10CF"/>
    <w:rsid w:val="D977C3BB"/>
    <w:rsid w:val="D977C9A6"/>
    <w:rsid w:val="D9FF310B"/>
    <w:rsid w:val="DBF57698"/>
    <w:rsid w:val="DBFFAB54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BB2A12"/>
    <w:rsid w:val="EDDF69E1"/>
    <w:rsid w:val="EDF76BB3"/>
    <w:rsid w:val="EEF68640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7C79ED"/>
    <w:rsid w:val="F58EBBB0"/>
    <w:rsid w:val="F5CBD2AD"/>
    <w:rsid w:val="F6F3FBF3"/>
    <w:rsid w:val="F6FE0D0F"/>
    <w:rsid w:val="F9B8FDC3"/>
    <w:rsid w:val="F9BF4E89"/>
    <w:rsid w:val="FA79E738"/>
    <w:rsid w:val="FAD729CA"/>
    <w:rsid w:val="FB1B5977"/>
    <w:rsid w:val="FBF62448"/>
    <w:rsid w:val="FBF76486"/>
    <w:rsid w:val="FBFF7DC7"/>
    <w:rsid w:val="FC37AF17"/>
    <w:rsid w:val="FCDE5A6F"/>
    <w:rsid w:val="FCFE5638"/>
    <w:rsid w:val="FCFF1FE1"/>
    <w:rsid w:val="FD7C7175"/>
    <w:rsid w:val="FDD7319B"/>
    <w:rsid w:val="FDDE4FF7"/>
    <w:rsid w:val="FDF8F696"/>
    <w:rsid w:val="FE7B38A4"/>
    <w:rsid w:val="FE7EBDAF"/>
    <w:rsid w:val="FEAF5424"/>
    <w:rsid w:val="FECB8DB0"/>
    <w:rsid w:val="FECF948F"/>
    <w:rsid w:val="FED3AC1F"/>
    <w:rsid w:val="FEDCE487"/>
    <w:rsid w:val="FEED62B0"/>
    <w:rsid w:val="FEEFF60E"/>
    <w:rsid w:val="FEFD6F73"/>
    <w:rsid w:val="FF0F1500"/>
    <w:rsid w:val="FF5995C2"/>
    <w:rsid w:val="FF6B552C"/>
    <w:rsid w:val="FF6F74D4"/>
    <w:rsid w:val="FFBB4B28"/>
    <w:rsid w:val="FFCFE300"/>
    <w:rsid w:val="FFD58A98"/>
    <w:rsid w:val="FFDD382A"/>
    <w:rsid w:val="FFDFD60A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3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4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6">
    <w:name w:val="toc 1"/>
    <w:basedOn w:val="1"/>
    <w:next w:val="1"/>
    <w:qFormat/>
    <w:uiPriority w:val="0"/>
  </w:style>
  <w:style w:type="paragraph" w:styleId="7">
    <w:name w:val="table of figures"/>
    <w:basedOn w:val="1"/>
    <w:next w:val="1"/>
    <w:qFormat/>
    <w:uiPriority w:val="0"/>
    <w:pPr>
      <w:spacing w:before="100" w:beforeAutospacing="1" w:after="100" w:afterAutospacing="1"/>
      <w:ind w:left="400" w:leftChars="200" w:hanging="200" w:hangingChars="200"/>
    </w:p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3863</Words>
  <Characters>4059</Characters>
  <Lines>0</Lines>
  <Paragraphs>0</Paragraphs>
  <TotalTime>3</TotalTime>
  <ScaleCrop>false</ScaleCrop>
  <LinksUpToDate>false</LinksUpToDate>
  <CharactersWithSpaces>4089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2016-02-13T19:32:00Z</cp:lastPrinted>
  <dcterms:modified xsi:type="dcterms:W3CDTF">2024-11-15T11:11:44Z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8B6E55BC056F4DAFAA0B8CB597622ED2_13</vt:lpwstr>
  </property>
</Properties>
</file>