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658AB">
      <w:pPr>
        <w:spacing w:line="600" w:lineRule="exact"/>
        <w:jc w:val="center"/>
        <w:outlineLvl w:val="0"/>
        <w:rPr>
          <w:rFonts w:hint="eastAsia" w:ascii="方正小标宋_GBK" w:hAnsi="方正小标宋_GBK" w:eastAsia="方正小标宋_GBK" w:cs="方正小标宋_GBK"/>
          <w:b w:val="0"/>
          <w:bCs/>
          <w:color w:val="auto"/>
          <w:sz w:val="44"/>
          <w:szCs w:val="44"/>
          <w:lang w:eastAsia="zh-CN"/>
        </w:rPr>
      </w:pPr>
      <w:bookmarkStart w:id="0" w:name="_Toc15396616"/>
      <w:r>
        <w:rPr>
          <w:rFonts w:hint="eastAsia" w:ascii="方正小标宋_GBK" w:hAnsi="方正小标宋_GBK" w:eastAsia="方正小标宋_GBK" w:cs="方正小标宋_GBK"/>
          <w:b w:val="0"/>
          <w:bCs/>
          <w:color w:val="auto"/>
          <w:sz w:val="44"/>
          <w:szCs w:val="44"/>
          <w:lang w:eastAsia="zh-CN"/>
        </w:rPr>
        <w:t>黑水县残疾人联合会</w:t>
      </w:r>
    </w:p>
    <w:p w14:paraId="6F03C33F">
      <w:pPr>
        <w:spacing w:line="600" w:lineRule="exact"/>
        <w:jc w:val="center"/>
        <w:outlineLvl w:val="0"/>
        <w:rPr>
          <w:rFonts w:hint="eastAsia" w:ascii="方正小标宋_GBK" w:hAnsi="方正小标宋_GBK" w:eastAsia="方正小标宋_GBK" w:cs="方正小标宋_GBK"/>
          <w:b w:val="0"/>
          <w:bCs/>
          <w:color w:val="auto"/>
          <w:sz w:val="44"/>
          <w:szCs w:val="44"/>
        </w:rPr>
      </w:pPr>
      <w:r>
        <w:rPr>
          <w:rFonts w:hint="eastAsia" w:ascii="方正小标宋_GBK" w:hAnsi="方正小标宋_GBK" w:eastAsia="方正小标宋_GBK" w:cs="方正小标宋_GBK"/>
          <w:b w:val="0"/>
          <w:bCs/>
          <w:color w:val="auto"/>
          <w:sz w:val="44"/>
          <w:szCs w:val="44"/>
        </w:rPr>
        <w:t>20</w:t>
      </w:r>
      <w:r>
        <w:rPr>
          <w:rFonts w:hint="eastAsia" w:ascii="方正小标宋_GBK" w:hAnsi="方正小标宋_GBK" w:eastAsia="方正小标宋_GBK" w:cs="方正小标宋_GBK"/>
          <w:b w:val="0"/>
          <w:bCs/>
          <w:color w:val="auto"/>
          <w:sz w:val="44"/>
          <w:szCs w:val="44"/>
          <w:lang w:val="en-US" w:eastAsia="zh-CN"/>
        </w:rPr>
        <w:t>23</w:t>
      </w:r>
      <w:r>
        <w:rPr>
          <w:rFonts w:hint="eastAsia" w:ascii="方正小标宋_GBK" w:hAnsi="方正小标宋_GBK" w:eastAsia="方正小标宋_GBK" w:cs="方正小标宋_GBK"/>
          <w:b w:val="0"/>
          <w:bCs/>
          <w:color w:val="auto"/>
          <w:sz w:val="44"/>
          <w:szCs w:val="44"/>
        </w:rPr>
        <w:t>年部门整体支出绩效评价报告</w:t>
      </w:r>
      <w:bookmarkEnd w:id="0"/>
    </w:p>
    <w:p w14:paraId="3C42BDDD">
      <w:pPr>
        <w:spacing w:line="580" w:lineRule="exact"/>
        <w:ind w:firstLine="643" w:firstLineChars="200"/>
        <w:rPr>
          <w:rFonts w:ascii="仿宋_GB2312" w:hAnsi="黑体" w:eastAsia="仿宋_GB2312" w:cs="黑体"/>
          <w:b/>
          <w:sz w:val="32"/>
          <w:szCs w:val="32"/>
        </w:rPr>
      </w:pPr>
    </w:p>
    <w:p w14:paraId="2ADDB677">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46AD524A">
      <w:p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（一）机构组成。</w:t>
      </w:r>
    </w:p>
    <w:p w14:paraId="4247F312">
      <w:pPr>
        <w:snapToGrid w:val="0"/>
        <w:spacing w:line="52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color w:val="auto"/>
          <w:sz w:val="32"/>
          <w:szCs w:val="32"/>
        </w:rPr>
        <w:t>黑水县残疾人联合会是一级预算单位，是参照公务员管理的事业单位。1992年从民政局单列，升为正科级单位，内设</w:t>
      </w:r>
      <w:r>
        <w:rPr>
          <w:rFonts w:hint="eastAsia" w:ascii="仿宋_GB2312" w:hAnsi="仿宋_GB2312" w:eastAsia="仿宋_GB2312" w:cs="仿宋_GB2312"/>
          <w:color w:val="auto"/>
          <w:sz w:val="32"/>
          <w:szCs w:val="32"/>
          <w:lang w:eastAsia="zh-CN"/>
        </w:rPr>
        <w:t>康复、</w:t>
      </w:r>
      <w:r>
        <w:rPr>
          <w:rFonts w:hint="eastAsia" w:ascii="仿宋_GB2312" w:hAnsi="仿宋_GB2312" w:eastAsia="仿宋_GB2312" w:cs="仿宋_GB2312"/>
          <w:color w:val="auto"/>
          <w:sz w:val="32"/>
          <w:szCs w:val="32"/>
        </w:rPr>
        <w:t>教就、扶贫</w:t>
      </w:r>
      <w:r>
        <w:rPr>
          <w:rFonts w:hint="eastAsia" w:ascii="仿宋_GB2312" w:hAnsi="仿宋_GB2312" w:eastAsia="仿宋_GB2312" w:cs="仿宋_GB2312"/>
          <w:color w:val="auto"/>
          <w:sz w:val="32"/>
          <w:szCs w:val="32"/>
          <w:lang w:eastAsia="zh-CN"/>
        </w:rPr>
        <w:t>股室</w:t>
      </w:r>
      <w:r>
        <w:rPr>
          <w:rFonts w:hint="eastAsia" w:ascii="仿宋_GB2312" w:hAnsi="仿宋_GB2312" w:eastAsia="仿宋_GB2312" w:cs="仿宋_GB2312"/>
          <w:color w:val="auto"/>
          <w:sz w:val="32"/>
          <w:szCs w:val="32"/>
        </w:rPr>
        <w:t>、康复中心、办公室、财务室及县</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个乡镇和1</w:t>
      </w:r>
      <w:r>
        <w:rPr>
          <w:rFonts w:hint="eastAsia" w:ascii="仿宋_GB2312" w:hAnsi="仿宋_GB2312" w:eastAsia="仿宋_GB2312" w:cs="仿宋_GB2312"/>
          <w:color w:val="auto"/>
          <w:sz w:val="32"/>
          <w:szCs w:val="32"/>
          <w:lang w:val="en-US" w:eastAsia="zh-CN"/>
        </w:rPr>
        <w:t>04</w:t>
      </w:r>
      <w:r>
        <w:rPr>
          <w:rFonts w:hint="eastAsia" w:ascii="仿宋_GB2312" w:hAnsi="仿宋_GB2312" w:eastAsia="仿宋_GB2312" w:cs="仿宋_GB2312"/>
          <w:color w:val="auto"/>
          <w:sz w:val="32"/>
          <w:szCs w:val="32"/>
        </w:rPr>
        <w:t>个行政村的残疾人协会，我会系黑水县直接管辖。</w:t>
      </w:r>
    </w:p>
    <w:p w14:paraId="7FB51413">
      <w:pPr>
        <w:numPr>
          <w:ilvl w:val="0"/>
          <w:numId w:val="1"/>
        </w:numPr>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机构职能。</w:t>
      </w:r>
    </w:p>
    <w:p w14:paraId="7CADCC18">
      <w:pPr>
        <w:numPr>
          <w:ilvl w:val="0"/>
          <w:numId w:val="0"/>
        </w:numPr>
        <w:spacing w:line="560" w:lineRule="exact"/>
        <w:ind w:firstLine="640" w:firstLineChars="200"/>
        <w:rPr>
          <w:rFonts w:hint="eastAsia" w:eastAsia="仿宋_GB2312"/>
          <w:lang w:val="en-US" w:eastAsia="zh-CN"/>
        </w:rPr>
      </w:pPr>
      <w:r>
        <w:rPr>
          <w:rFonts w:hint="eastAsia" w:ascii="仿宋_GB2312" w:hAnsi="仿宋_GB2312" w:eastAsia="仿宋_GB2312" w:cs="仿宋_GB2312"/>
          <w:color w:val="auto"/>
          <w:sz w:val="32"/>
          <w:szCs w:val="32"/>
        </w:rPr>
        <w:t>根据黑府办发（1997）52号文件规定，主要职责是：开展和促进残疾人康复、扶贫、教育、劳动就业、文化生活、福利、社会服务，扶助残疾人平等参与社会生活；贯彻执行助残法律、法规，协助政府研究、制定和实施本县残疾人事业的发展规划和措施，对有关业务领域进行指导和管理；反映残疾人需求，维护残疾人合法权益</w:t>
      </w:r>
      <w:r>
        <w:rPr>
          <w:rFonts w:hint="eastAsia" w:ascii="仿宋_GB2312" w:hAnsi="仿宋_GB2312" w:eastAsia="仿宋_GB2312" w:cs="仿宋_GB2312"/>
          <w:color w:val="auto"/>
          <w:sz w:val="32"/>
          <w:szCs w:val="32"/>
          <w:lang w:eastAsia="zh-CN"/>
        </w:rPr>
        <w:t>。</w:t>
      </w:r>
    </w:p>
    <w:p w14:paraId="7E768B48">
      <w:pPr>
        <w:numPr>
          <w:ilvl w:val="0"/>
          <w:numId w:val="1"/>
        </w:numPr>
        <w:spacing w:line="580" w:lineRule="exact"/>
        <w:ind w:left="0" w:leftChars="0" w:firstLine="640" w:firstLineChars="200"/>
        <w:rPr>
          <w:rFonts w:hint="eastAsia" w:ascii="楷体" w:hAnsi="楷体" w:eastAsia="楷体" w:cs="楷体"/>
          <w:sz w:val="32"/>
          <w:szCs w:val="32"/>
        </w:rPr>
      </w:pPr>
      <w:r>
        <w:rPr>
          <w:rFonts w:hint="eastAsia" w:ascii="楷体" w:hAnsi="楷体" w:eastAsia="楷体" w:cs="楷体"/>
          <w:sz w:val="32"/>
          <w:szCs w:val="32"/>
        </w:rPr>
        <w:t>人员概况。</w:t>
      </w:r>
    </w:p>
    <w:p w14:paraId="1A01A2F8">
      <w:pPr>
        <w:pStyle w:val="2"/>
        <w:numPr>
          <w:ilvl w:val="0"/>
          <w:numId w:val="0"/>
        </w:numPr>
        <w:ind w:leftChars="200" w:firstLine="640" w:firstLineChars="200"/>
        <w:rPr>
          <w:rFonts w:ascii="仿宋_GB2312" w:hAnsi="仿宋" w:eastAsia="仿宋_GB2312" w:cs="仿宋_GB2312"/>
          <w:sz w:val="32"/>
          <w:szCs w:val="32"/>
        </w:rPr>
      </w:pPr>
      <w:r>
        <w:rPr>
          <w:rFonts w:hint="eastAsia" w:ascii="仿宋_GB2312" w:hAnsi="仿宋_GB2312" w:eastAsia="仿宋_GB2312" w:cs="仿宋_GB2312"/>
          <w:color w:val="auto"/>
          <w:kern w:val="2"/>
          <w:sz w:val="32"/>
          <w:szCs w:val="32"/>
          <w:lang w:val="en-US" w:eastAsia="zh-CN" w:bidi="ar-SA"/>
        </w:rPr>
        <w:t>黑水县残疾人联合会总编制4名，其中：行政编制3名，工勤1名。在职人员总数7人，其中：参公人员6人，工勤人员1名。</w:t>
      </w:r>
    </w:p>
    <w:p w14:paraId="7FBFABF9">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2669691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4A17EC89">
      <w:pPr>
        <w:pStyle w:val="2"/>
        <w:ind w:firstLine="640" w:firstLineChars="200"/>
      </w:pPr>
      <w:r>
        <w:rPr>
          <w:rFonts w:hint="eastAsia" w:ascii="仿宋_GB2312" w:hAnsi="仿宋" w:eastAsia="仿宋_GB2312"/>
          <w:color w:val="000000" w:themeColor="text1"/>
          <w:sz w:val="32"/>
          <w:szCs w:val="32"/>
          <w:shd w:val="clear" w:color="auto" w:fill="auto"/>
          <w:lang w:eastAsia="zh-CN"/>
        </w:rPr>
        <w:t>2023</w:t>
      </w:r>
      <w:r>
        <w:rPr>
          <w:rFonts w:hint="eastAsia" w:ascii="仿宋_GB2312" w:hAnsi="仿宋" w:eastAsia="仿宋_GB2312"/>
          <w:color w:val="000000" w:themeColor="text1"/>
          <w:sz w:val="32"/>
          <w:szCs w:val="32"/>
          <w:shd w:val="clear" w:color="auto" w:fill="auto"/>
        </w:rPr>
        <w:t>年本年收入合计</w:t>
      </w:r>
      <w:r>
        <w:rPr>
          <w:rFonts w:hint="eastAsia" w:ascii="仿宋_GB2312" w:hAnsi="仿宋" w:eastAsia="仿宋_GB2312"/>
          <w:color w:val="000000" w:themeColor="text1"/>
          <w:sz w:val="32"/>
          <w:szCs w:val="32"/>
          <w:shd w:val="clear" w:color="auto" w:fill="auto"/>
          <w:lang w:val="en-US" w:eastAsia="zh-CN"/>
        </w:rPr>
        <w:t>390.54</w:t>
      </w:r>
      <w:r>
        <w:rPr>
          <w:rFonts w:hint="eastAsia" w:ascii="仿宋_GB2312" w:hAnsi="仿宋" w:eastAsia="仿宋_GB2312"/>
          <w:color w:val="000000" w:themeColor="text1"/>
          <w:sz w:val="32"/>
          <w:szCs w:val="32"/>
          <w:shd w:val="clear" w:color="auto" w:fill="auto"/>
        </w:rPr>
        <w:t>万元，其中：一般公共预算财政拨款收入</w:t>
      </w:r>
      <w:r>
        <w:rPr>
          <w:rFonts w:hint="eastAsia" w:ascii="仿宋_GB2312" w:hAnsi="仿宋" w:eastAsia="仿宋_GB2312"/>
          <w:color w:val="000000" w:themeColor="text1"/>
          <w:sz w:val="32"/>
          <w:szCs w:val="32"/>
          <w:shd w:val="clear" w:color="auto" w:fill="auto"/>
          <w:lang w:val="en-US" w:eastAsia="zh-CN"/>
        </w:rPr>
        <w:t>385.69</w:t>
      </w:r>
      <w:r>
        <w:rPr>
          <w:rFonts w:hint="eastAsia" w:ascii="仿宋_GB2312" w:hAnsi="仿宋" w:eastAsia="仿宋_GB2312"/>
          <w:color w:val="000000" w:themeColor="text1"/>
          <w:sz w:val="32"/>
          <w:szCs w:val="32"/>
          <w:shd w:val="clear" w:color="auto" w:fill="auto"/>
        </w:rPr>
        <w:t>万元，占</w:t>
      </w:r>
      <w:r>
        <w:rPr>
          <w:rFonts w:hint="eastAsia" w:ascii="仿宋_GB2312" w:hAnsi="仿宋" w:eastAsia="仿宋_GB2312"/>
          <w:color w:val="000000" w:themeColor="text1"/>
          <w:sz w:val="32"/>
          <w:szCs w:val="32"/>
          <w:shd w:val="clear" w:color="auto" w:fill="auto"/>
          <w:lang w:val="en-US" w:eastAsia="zh-CN"/>
        </w:rPr>
        <w:t>98.76</w:t>
      </w:r>
      <w:r>
        <w:rPr>
          <w:rFonts w:hint="eastAsia" w:ascii="仿宋_GB2312" w:hAnsi="仿宋" w:eastAsia="仿宋_GB2312"/>
          <w:color w:val="000000" w:themeColor="text1"/>
          <w:sz w:val="32"/>
          <w:szCs w:val="32"/>
          <w:shd w:val="clear" w:color="auto" w:fill="auto"/>
        </w:rPr>
        <w:t>%；政府性基金预算财政拨款收入</w:t>
      </w:r>
      <w:r>
        <w:rPr>
          <w:rFonts w:hint="eastAsia" w:ascii="仿宋_GB2312" w:hAnsi="仿宋" w:eastAsia="仿宋_GB2312"/>
          <w:color w:val="000000" w:themeColor="text1"/>
          <w:sz w:val="32"/>
          <w:szCs w:val="32"/>
          <w:shd w:val="clear" w:color="auto" w:fill="auto"/>
          <w:lang w:val="en-US" w:eastAsia="zh-CN"/>
        </w:rPr>
        <w:t>4.85</w:t>
      </w:r>
      <w:r>
        <w:rPr>
          <w:rFonts w:hint="eastAsia" w:ascii="仿宋_GB2312" w:hAnsi="仿宋" w:eastAsia="仿宋_GB2312"/>
          <w:color w:val="000000" w:themeColor="text1"/>
          <w:sz w:val="32"/>
          <w:szCs w:val="32"/>
          <w:shd w:val="clear" w:color="auto" w:fill="auto"/>
        </w:rPr>
        <w:t>万元，占</w:t>
      </w:r>
      <w:r>
        <w:rPr>
          <w:rFonts w:hint="eastAsia" w:ascii="仿宋_GB2312" w:hAnsi="仿宋" w:eastAsia="仿宋_GB2312"/>
          <w:color w:val="000000" w:themeColor="text1"/>
          <w:sz w:val="32"/>
          <w:szCs w:val="32"/>
          <w:shd w:val="clear" w:color="auto" w:fill="auto"/>
          <w:lang w:val="en-US" w:eastAsia="zh-CN"/>
        </w:rPr>
        <w:t>1.24</w:t>
      </w:r>
      <w:r>
        <w:rPr>
          <w:rFonts w:hint="eastAsia" w:ascii="仿宋_GB2312" w:hAnsi="仿宋" w:eastAsia="仿宋_GB2312"/>
          <w:color w:val="000000" w:themeColor="text1"/>
          <w:sz w:val="32"/>
          <w:szCs w:val="32"/>
          <w:shd w:val="clear" w:color="auto" w:fill="auto"/>
        </w:rPr>
        <w:t>%</w:t>
      </w:r>
    </w:p>
    <w:p w14:paraId="55D3BC8B">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69856179">
      <w:pPr>
        <w:spacing w:line="600" w:lineRule="exact"/>
        <w:ind w:firstLine="640"/>
        <w:rPr>
          <w:rFonts w:hint="default" w:eastAsia="宋体"/>
          <w:lang w:val="en-US" w:eastAsia="zh-CN"/>
        </w:rPr>
      </w:pPr>
      <w:r>
        <w:rPr>
          <w:rFonts w:hint="eastAsia"/>
          <w:lang w:val="en-US" w:eastAsia="zh-CN"/>
        </w:rPr>
        <w:t xml:space="preserve">  </w:t>
      </w:r>
      <w:r>
        <w:rPr>
          <w:rFonts w:hint="eastAsia" w:ascii="仿宋_GB2312" w:hAnsi="仿宋" w:eastAsia="仿宋_GB2312"/>
          <w:color w:val="000000" w:themeColor="text1"/>
          <w:sz w:val="32"/>
          <w:szCs w:val="32"/>
          <w:shd w:val="clear" w:color="auto" w:fill="auto"/>
          <w:lang w:eastAsia="zh-CN"/>
        </w:rPr>
        <w:t>2023</w:t>
      </w:r>
      <w:r>
        <w:rPr>
          <w:rFonts w:hint="eastAsia" w:ascii="仿宋_GB2312" w:hAnsi="仿宋" w:eastAsia="仿宋_GB2312"/>
          <w:color w:val="000000" w:themeColor="text1"/>
          <w:sz w:val="32"/>
          <w:szCs w:val="32"/>
          <w:shd w:val="clear" w:color="auto" w:fill="auto"/>
        </w:rPr>
        <w:t>年一般公共预算财政拨款支出</w:t>
      </w:r>
      <w:r>
        <w:rPr>
          <w:rFonts w:hint="eastAsia" w:ascii="仿宋_GB2312" w:hAnsi="仿宋" w:eastAsia="仿宋_GB2312"/>
          <w:color w:val="000000" w:themeColor="text1"/>
          <w:sz w:val="32"/>
          <w:szCs w:val="32"/>
          <w:shd w:val="clear" w:color="auto" w:fill="auto"/>
          <w:lang w:val="en-US" w:eastAsia="zh-CN"/>
        </w:rPr>
        <w:t>390.54</w:t>
      </w:r>
      <w:r>
        <w:rPr>
          <w:rFonts w:hint="eastAsia" w:ascii="仿宋_GB2312" w:hAnsi="仿宋" w:eastAsia="仿宋_GB2312"/>
          <w:color w:val="000000" w:themeColor="text1"/>
          <w:sz w:val="32"/>
          <w:szCs w:val="32"/>
          <w:shd w:val="clear" w:color="auto" w:fill="auto"/>
        </w:rPr>
        <w:t>万元，主要用于以下方面:</w:t>
      </w:r>
      <w:r>
        <w:rPr>
          <w:rFonts w:hint="eastAsia" w:ascii="仿宋_GB2312" w:hAnsi="仿宋_GB2312" w:eastAsia="仿宋_GB2312" w:cs="仿宋_GB2312"/>
          <w:b/>
          <w:bCs/>
          <w:sz w:val="32"/>
          <w:szCs w:val="32"/>
        </w:rPr>
        <w:t>社会保障和就业</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sz w:val="32"/>
          <w:szCs w:val="32"/>
        </w:rPr>
        <w:t>支出为</w:t>
      </w:r>
      <w:r>
        <w:rPr>
          <w:rFonts w:hint="eastAsia" w:ascii="仿宋_GB2312" w:hAnsi="仿宋_GB2312" w:eastAsia="仿宋_GB2312" w:cs="仿宋_GB2312"/>
          <w:sz w:val="32"/>
          <w:szCs w:val="32"/>
          <w:lang w:val="en-US" w:eastAsia="zh-CN"/>
        </w:rPr>
        <w:t>333.27</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85.34</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卫生健康</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sz w:val="32"/>
          <w:szCs w:val="32"/>
        </w:rPr>
        <w:t>支出为</w:t>
      </w:r>
      <w:r>
        <w:rPr>
          <w:rFonts w:hint="eastAsia" w:ascii="仿宋_GB2312" w:hAnsi="仿宋_GB2312" w:eastAsia="仿宋_GB2312" w:cs="仿宋_GB2312"/>
          <w:sz w:val="32"/>
          <w:szCs w:val="32"/>
          <w:lang w:val="en-US" w:eastAsia="zh-CN"/>
        </w:rPr>
        <w:t>9.68</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2.48</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农林水</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sz w:val="32"/>
          <w:szCs w:val="32"/>
        </w:rPr>
        <w:t>支出为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7.68</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住房保障</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sz w:val="32"/>
          <w:szCs w:val="32"/>
        </w:rPr>
        <w:t>支出为</w:t>
      </w:r>
      <w:r>
        <w:rPr>
          <w:rFonts w:hint="eastAsia" w:ascii="仿宋_GB2312" w:hAnsi="仿宋_GB2312" w:eastAsia="仿宋_GB2312" w:cs="仿宋_GB2312"/>
          <w:sz w:val="32"/>
          <w:szCs w:val="32"/>
          <w:lang w:val="en-US" w:eastAsia="zh-CN"/>
        </w:rPr>
        <w:t>12.74</w:t>
      </w:r>
      <w:r>
        <w:rPr>
          <w:rFonts w:hint="eastAsia" w:ascii="仿宋_GB2312" w:hAnsi="仿宋_GB2312" w:eastAsia="仿宋_GB2312" w:cs="仿宋_GB2312"/>
          <w:sz w:val="32"/>
          <w:szCs w:val="32"/>
        </w:rPr>
        <w:t>万元，占比</w:t>
      </w:r>
      <w:r>
        <w:rPr>
          <w:rFonts w:hint="eastAsia" w:ascii="仿宋_GB2312" w:hAnsi="仿宋_GB2312" w:eastAsia="仿宋_GB2312" w:cs="仿宋_GB2312"/>
          <w:sz w:val="32"/>
          <w:szCs w:val="32"/>
          <w:lang w:val="en-US" w:eastAsia="zh-CN"/>
        </w:rPr>
        <w:t>3.26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eastAsia="zh-CN"/>
        </w:rPr>
        <w:t>其他支出</w:t>
      </w:r>
      <w:r>
        <w:rPr>
          <w:rFonts w:hint="eastAsia" w:ascii="仿宋_GB2312" w:hAnsi="仿宋_GB2312" w:eastAsia="仿宋_GB2312" w:cs="仿宋_GB2312"/>
          <w:b w:val="0"/>
          <w:bCs w:val="0"/>
          <w:sz w:val="32"/>
          <w:szCs w:val="32"/>
          <w:lang w:eastAsia="zh-CN"/>
        </w:rPr>
        <w:t>为</w:t>
      </w:r>
      <w:r>
        <w:rPr>
          <w:rFonts w:hint="eastAsia" w:ascii="仿宋_GB2312" w:hAnsi="仿宋_GB2312" w:eastAsia="仿宋_GB2312" w:cs="仿宋_GB2312"/>
          <w:b w:val="0"/>
          <w:bCs w:val="0"/>
          <w:sz w:val="32"/>
          <w:szCs w:val="32"/>
          <w:lang w:val="en-US" w:eastAsia="zh-CN"/>
        </w:rPr>
        <w:t>4.85万元，占比1.24%。</w:t>
      </w:r>
    </w:p>
    <w:p w14:paraId="7FC0D022">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145EBA0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0459F008">
      <w:p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eastAsia="zh-CN"/>
        </w:rPr>
        <w:t>本单位严格按照</w:t>
      </w:r>
      <w:r>
        <w:rPr>
          <w:rFonts w:hint="eastAsia" w:ascii="仿宋_GB2312" w:hAnsi="仿宋_GB2312" w:eastAsia="仿宋_GB2312" w:cs="仿宋_GB2312"/>
          <w:color w:val="auto"/>
          <w:sz w:val="32"/>
          <w:szCs w:val="32"/>
          <w:lang w:val="en-US" w:eastAsia="zh-CN"/>
        </w:rPr>
        <w:t>县财政局“人员经费按标准，公用经费按定额”的预算原则，根据县财政局关于做好2023年财务工作预算的通知要求，客观真实编制了2022年部门预算，2023年财政资金总支出为支出390.54万元（其中基本支出220.61万元、项目支出169.93万元）。预算编制是我单位预算体制最基本的环节,是预算管理体制改革的核心。预算编制秉承实事求是的原则，对我单位财政支出做出合理规划，对财政管理体制的完善、活动范围的合理界定、监督和约束都具有重要作用。</w:t>
      </w:r>
    </w:p>
    <w:p w14:paraId="195A7E3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w:t>
      </w:r>
    </w:p>
    <w:p w14:paraId="3FB5EB3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0A4C699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我</w:t>
      </w:r>
      <w:r>
        <w:rPr>
          <w:rFonts w:hint="eastAsia" w:ascii="仿宋_GB2312" w:hAnsi="仿宋" w:eastAsia="仿宋_GB2312" w:cs="仿宋_GB2312"/>
          <w:sz w:val="32"/>
          <w:szCs w:val="32"/>
          <w:lang w:eastAsia="zh-CN"/>
        </w:rPr>
        <w:t>会</w:t>
      </w:r>
      <w:r>
        <w:rPr>
          <w:rFonts w:hint="eastAsia" w:ascii="仿宋_GB2312" w:hAnsi="仿宋" w:eastAsia="仿宋_GB2312" w:cs="仿宋_GB2312"/>
          <w:sz w:val="32"/>
          <w:szCs w:val="32"/>
        </w:rPr>
        <w:t>预算内经费和专项基金实行“收支两条线”管理，在报账处理上严格按照财经纪律制度等要求实施报账制,实行专款专用。预算内经费和专项基金我单位按照有关法律法规和财务制度严格执行，经费组织决算及报表的审核、报送与财政部门逐一核对，确保经费预决算的严肃性、准确性。包括专项预算项目程序严密、规划合理、结果符合、分配科学、分配及时、专项预算绩效目标完成、实施绩效、违规记录等情况。</w:t>
      </w:r>
    </w:p>
    <w:p w14:paraId="1DF409B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60433EE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开展和促进残疾人康复,提高残疾人生产生活能力,维护残疾人合法权益,关注残疾人生产生活，加大残疾人救助力度。配合民政局为低保残疾人开展重度残疾人护理补贴、困难残疾人生活费补贴审核工作</w:t>
      </w:r>
    </w:p>
    <w:p w14:paraId="4604604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扎实推进残疾人康复工作。结合残疾人基本服务状况与需求专项调查行动实施残疾人精准康复需求调查，做好残疾人助听、助行等常规康复项目服务，做好残疾人创业就业帮扶。积极开展残疾人就业技能培训，扎实推动残疾人自主就业（创业）扶持</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 xml:space="preserve"> </w:t>
      </w:r>
    </w:p>
    <w:p w14:paraId="269B1F6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包括部门自评质量、绩效目标公开和自评公开、评价结果整改和应用结果反馈等情况。</w:t>
      </w:r>
    </w:p>
    <w:p w14:paraId="353C4249">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3E00A4B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4E96C53F">
      <w:pPr>
        <w:keepNext w:val="0"/>
        <w:keepLines w:val="0"/>
        <w:pageBreakBefore w:val="0"/>
        <w:widowControl w:val="0"/>
        <w:kinsoku/>
        <w:wordWrap/>
        <w:overflowPunct/>
        <w:topLinePunct w:val="0"/>
        <w:autoSpaceDE/>
        <w:autoSpaceDN/>
        <w:bidi w:val="0"/>
        <w:adjustRightInd/>
        <w:spacing w:line="560" w:lineRule="exact"/>
        <w:ind w:firstLine="480" w:firstLineChars="150"/>
        <w:jc w:val="left"/>
        <w:textAlignment w:val="auto"/>
        <w:rPr>
          <w:rFonts w:hint="eastAsia" w:ascii="仿宋" w:hAnsi="仿宋" w:eastAsia="仿宋"/>
          <w:color w:val="auto"/>
          <w:sz w:val="32"/>
          <w:szCs w:val="32"/>
        </w:rPr>
      </w:pPr>
      <w:r>
        <w:rPr>
          <w:rFonts w:hint="eastAsia" w:ascii="仿宋" w:hAnsi="仿宋" w:eastAsia="仿宋"/>
          <w:color w:val="auto"/>
          <w:sz w:val="32"/>
          <w:szCs w:val="32"/>
        </w:rPr>
        <w:t>按照国家政策法规规定，结合本部门的实际情况，建立</w:t>
      </w:r>
    </w:p>
    <w:p w14:paraId="4457598D">
      <w:pPr>
        <w:keepNext w:val="0"/>
        <w:keepLines w:val="0"/>
        <w:pageBreakBefore w:val="0"/>
        <w:widowControl w:val="0"/>
        <w:kinsoku/>
        <w:wordWrap/>
        <w:overflowPunct/>
        <w:topLinePunct w:val="0"/>
        <w:autoSpaceDE/>
        <w:autoSpaceDN/>
        <w:bidi w:val="0"/>
        <w:adjustRightInd/>
        <w:spacing w:line="560" w:lineRule="exact"/>
        <w:jc w:val="left"/>
        <w:textAlignment w:val="auto"/>
      </w:pPr>
      <w:r>
        <w:rPr>
          <w:rFonts w:hint="eastAsia" w:ascii="仿宋" w:hAnsi="仿宋" w:eastAsia="仿宋"/>
          <w:color w:val="auto"/>
          <w:sz w:val="32"/>
          <w:szCs w:val="32"/>
        </w:rPr>
        <w:t>健全了财务管理制度和约束机制，依法、有效地使用财政资金，提高财政资金使用效率，合理分配人、财、物，完成了部门职能目标，实现了较高的工作效率和支出绩效。结合工作开展情况，我</w:t>
      </w:r>
      <w:r>
        <w:rPr>
          <w:rFonts w:hint="eastAsia" w:ascii="仿宋" w:hAnsi="仿宋" w:eastAsia="仿宋"/>
          <w:color w:val="auto"/>
          <w:sz w:val="32"/>
          <w:szCs w:val="32"/>
          <w:lang w:eastAsia="zh-CN"/>
        </w:rPr>
        <w:t>单位</w:t>
      </w:r>
      <w:r>
        <w:rPr>
          <w:rFonts w:hint="eastAsia" w:ascii="仿宋" w:hAnsi="仿宋" w:eastAsia="仿宋"/>
          <w:color w:val="auto"/>
          <w:sz w:val="32"/>
          <w:szCs w:val="32"/>
          <w:lang w:val="en-US" w:eastAsia="zh-CN"/>
        </w:rPr>
        <w:t>2023</w:t>
      </w:r>
      <w:bookmarkStart w:id="1" w:name="_GoBack"/>
      <w:bookmarkEnd w:id="1"/>
      <w:r>
        <w:rPr>
          <w:rFonts w:hint="eastAsia" w:ascii="仿宋" w:hAnsi="仿宋" w:eastAsia="仿宋"/>
          <w:color w:val="auto"/>
          <w:sz w:val="32"/>
          <w:szCs w:val="32"/>
          <w:lang w:val="en-US" w:eastAsia="zh-CN"/>
        </w:rPr>
        <w:t>年度</w:t>
      </w:r>
      <w:r>
        <w:rPr>
          <w:rFonts w:hint="eastAsia" w:ascii="仿宋" w:hAnsi="仿宋" w:eastAsia="仿宋"/>
          <w:color w:val="auto"/>
          <w:sz w:val="32"/>
          <w:szCs w:val="32"/>
        </w:rPr>
        <w:t>支出绩效综合评价自评得分9</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分。</w:t>
      </w:r>
    </w:p>
    <w:p w14:paraId="27B45440">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4E406365">
      <w:pPr>
        <w:keepNext w:val="0"/>
        <w:keepLines w:val="0"/>
        <w:pageBreakBefore w:val="0"/>
        <w:widowControl w:val="0"/>
        <w:kinsoku/>
        <w:wordWrap/>
        <w:overflowPunct/>
        <w:topLinePunct w:val="0"/>
        <w:autoSpaceDE/>
        <w:autoSpaceDN/>
        <w:bidi w:val="0"/>
        <w:adjustRightInd/>
        <w:spacing w:afterAutospacing="0" w:line="560" w:lineRule="exact"/>
        <w:ind w:firstLine="640" w:firstLineChars="200"/>
        <w:textAlignment w:val="auto"/>
        <w:outlineLvl w:val="9"/>
      </w:pPr>
      <w:r>
        <w:rPr>
          <w:rFonts w:hint="eastAsia" w:ascii="仿宋_GB2312" w:hAnsi="仿宋" w:eastAsia="仿宋_GB2312" w:cs="仿宋_GB2312"/>
          <w:color w:val="auto"/>
          <w:sz w:val="32"/>
          <w:szCs w:val="32"/>
          <w:lang w:val="en-US" w:eastAsia="zh-CN"/>
        </w:rPr>
        <w:t>财务公开与监督建设有待进一步提高。</w:t>
      </w:r>
      <w:r>
        <w:rPr>
          <w:rFonts w:hint="eastAsia" w:ascii="仿宋_GB2312" w:hAnsi="仿宋_GB2312" w:eastAsia="仿宋_GB2312" w:cs="仿宋_GB2312"/>
          <w:sz w:val="32"/>
          <w:szCs w:val="32"/>
        </w:rPr>
        <w:t>对财务</w:t>
      </w:r>
      <w:r>
        <w:rPr>
          <w:rFonts w:hint="eastAsia" w:ascii="仿宋_GB2312" w:hAnsi="仿宋_GB2312" w:eastAsia="仿宋_GB2312" w:cs="仿宋_GB2312"/>
          <w:sz w:val="32"/>
          <w:szCs w:val="32"/>
          <w:lang w:eastAsia="zh-CN"/>
        </w:rPr>
        <w:t>人员的</w:t>
      </w:r>
      <w:r>
        <w:rPr>
          <w:rFonts w:hint="eastAsia" w:ascii="仿宋_GB2312" w:hAnsi="仿宋_GB2312" w:eastAsia="仿宋_GB2312" w:cs="仿宋_GB2312"/>
          <w:sz w:val="32"/>
          <w:szCs w:val="32"/>
        </w:rPr>
        <w:t>业务知识</w:t>
      </w:r>
      <w:r>
        <w:rPr>
          <w:rFonts w:hint="eastAsia" w:ascii="仿宋_GB2312" w:hAnsi="仿宋_GB2312" w:eastAsia="仿宋_GB2312" w:cs="仿宋_GB2312"/>
          <w:sz w:val="32"/>
          <w:szCs w:val="32"/>
          <w:lang w:eastAsia="zh-CN"/>
        </w:rPr>
        <w:t>提升培训力度</w:t>
      </w:r>
      <w:r>
        <w:rPr>
          <w:rFonts w:hint="eastAsia" w:ascii="仿宋_GB2312" w:hAnsi="仿宋_GB2312" w:eastAsia="仿宋_GB2312" w:cs="仿宋_GB2312"/>
          <w:sz w:val="32"/>
          <w:szCs w:val="32"/>
        </w:rPr>
        <w:t>不够。</w:t>
      </w:r>
    </w:p>
    <w:p w14:paraId="635254EE">
      <w:pPr>
        <w:numPr>
          <w:ilvl w:val="0"/>
          <w:numId w:val="3"/>
        </w:numPr>
        <w:spacing w:line="580" w:lineRule="exact"/>
        <w:ind w:left="0" w:leftChars="0"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改进建议。</w:t>
      </w:r>
    </w:p>
    <w:p w14:paraId="4A11A880">
      <w:p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1、加强资金的管理，在助残惠残资金的使用范围上严格把关，按照规定进行公示。</w:t>
      </w:r>
    </w:p>
    <w:p w14:paraId="27C9B9E7">
      <w:p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2、及时总结助残惠残项目在实施过程中存在的问题及好的经验，进一步加大政策宣传力度，提高助残惠残项目申报率，进一步完善各项补贴落实监督工作机制，及时反馈上报发放情况。 </w:t>
      </w:r>
    </w:p>
    <w:p w14:paraId="1CC71BF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auto"/>
          <w:sz w:val="32"/>
          <w:szCs w:val="32"/>
        </w:rPr>
        <w:t>我们将进一步重视预算的编制工作，提高预算编制的精确度，提高财政资金使用效率，尽量减少预算执行调整、结转和结余注销的情形。</w:t>
      </w:r>
    </w:p>
    <w:p w14:paraId="0BBB6FA1">
      <w:pPr>
        <w:widowControl/>
        <w:jc w:val="left"/>
        <w:rPr>
          <w:rFonts w:ascii="仿宋_GB2312" w:hAnsi="仿宋_GB2312" w:eastAsia="仿宋_GB2312" w:cs="仿宋_GB2312"/>
          <w:sz w:val="32"/>
          <w:szCs w:val="32"/>
        </w:rPr>
      </w:pPr>
    </w:p>
    <w:p w14:paraId="06A63046">
      <w:pPr>
        <w:pStyle w:val="2"/>
        <w:widowControl w:val="0"/>
        <w:numPr>
          <w:numId w:val="0"/>
        </w:numPr>
        <w:spacing w:after="120" w:line="480" w:lineRule="auto"/>
        <w:jc w:val="both"/>
      </w:pPr>
    </w:p>
    <w:p w14:paraId="3896A905">
      <w:pPr>
        <w:spacing w:line="580" w:lineRule="exact"/>
        <w:ind w:firstLine="640" w:firstLineChars="200"/>
        <w:rPr>
          <w:rFonts w:ascii="仿宋_GB2312" w:hAnsi="仿宋_GB2312" w:eastAsia="仿宋_GB2312" w:cs="仿宋_GB2312"/>
          <w:sz w:val="32"/>
          <w:szCs w:val="32"/>
        </w:rPr>
      </w:pPr>
    </w:p>
    <w:p w14:paraId="3524D954">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1DE07"/>
    <w:multiLevelType w:val="singleLevel"/>
    <w:tmpl w:val="9791DE07"/>
    <w:lvl w:ilvl="0" w:tentative="0">
      <w:start w:val="2"/>
      <w:numFmt w:val="chineseCounting"/>
      <w:suff w:val="nothing"/>
      <w:lvlText w:val="（%1）"/>
      <w:lvlJc w:val="left"/>
      <w:rPr>
        <w:rFonts w:hint="eastAsia"/>
      </w:rPr>
    </w:lvl>
  </w:abstractNum>
  <w:abstractNum w:abstractNumId="1">
    <w:nsid w:val="DFDCABFB"/>
    <w:multiLevelType w:val="singleLevel"/>
    <w:tmpl w:val="DFDCABFB"/>
    <w:lvl w:ilvl="0" w:tentative="0">
      <w:start w:val="2"/>
      <w:numFmt w:val="chineseCounting"/>
      <w:suff w:val="nothing"/>
      <w:lvlText w:val="（%1）"/>
      <w:lvlJc w:val="left"/>
      <w:rPr>
        <w:rFonts w:hint="eastAsia"/>
      </w:rPr>
    </w:lvl>
  </w:abstractNum>
  <w:abstractNum w:abstractNumId="2">
    <w:nsid w:val="6633248C"/>
    <w:multiLevelType w:val="singleLevel"/>
    <w:tmpl w:val="6633248C"/>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wZTgxMDM1ZDI5NjdhZDViMjc3ZjgyOGMzMDMwZGIifQ=="/>
  </w:docVars>
  <w:rsids>
    <w:rsidRoot w:val="00491B22"/>
    <w:rsid w:val="00291808"/>
    <w:rsid w:val="00491B22"/>
    <w:rsid w:val="0052390C"/>
    <w:rsid w:val="03F51722"/>
    <w:rsid w:val="05257DE5"/>
    <w:rsid w:val="06336531"/>
    <w:rsid w:val="06DC0977"/>
    <w:rsid w:val="139D4FEA"/>
    <w:rsid w:val="19A03A86"/>
    <w:rsid w:val="1BF754B3"/>
    <w:rsid w:val="1C47468D"/>
    <w:rsid w:val="209B4FA7"/>
    <w:rsid w:val="24D91E5B"/>
    <w:rsid w:val="26864004"/>
    <w:rsid w:val="2BC41856"/>
    <w:rsid w:val="2CD0422B"/>
    <w:rsid w:val="2E114AFB"/>
    <w:rsid w:val="2F2F348A"/>
    <w:rsid w:val="31B1578B"/>
    <w:rsid w:val="3251196A"/>
    <w:rsid w:val="33BE2D1F"/>
    <w:rsid w:val="3489363D"/>
    <w:rsid w:val="34EB1F43"/>
    <w:rsid w:val="36435EC2"/>
    <w:rsid w:val="39241B86"/>
    <w:rsid w:val="396226AE"/>
    <w:rsid w:val="3A8855F6"/>
    <w:rsid w:val="41605725"/>
    <w:rsid w:val="4DD21759"/>
    <w:rsid w:val="4DD97D2F"/>
    <w:rsid w:val="516E79EA"/>
    <w:rsid w:val="5E0C4813"/>
    <w:rsid w:val="60D032A5"/>
    <w:rsid w:val="670E33AA"/>
    <w:rsid w:val="6953779A"/>
    <w:rsid w:val="6DCC7B1B"/>
    <w:rsid w:val="74BB2697"/>
    <w:rsid w:val="76634D94"/>
    <w:rsid w:val="798D4602"/>
    <w:rsid w:val="7FE94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footer"/>
    <w:basedOn w:val="1"/>
    <w:link w:val="8"/>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uiPriority w:val="99"/>
    <w:rPr>
      <w:sz w:val="18"/>
      <w:szCs w:val="18"/>
    </w:rPr>
  </w:style>
  <w:style w:type="character" w:customStyle="1" w:styleId="8">
    <w:name w:val="页脚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332</Words>
  <Characters>337</Characters>
  <Lines>2</Lines>
  <Paragraphs>1</Paragraphs>
  <TotalTime>0</TotalTime>
  <ScaleCrop>false</ScaleCrop>
  <LinksUpToDate>false</LinksUpToDate>
  <CharactersWithSpaces>337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杨</cp:lastModifiedBy>
  <dcterms:modified xsi:type="dcterms:W3CDTF">2024-09-09T03:50:41Z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7C6B75FA99C042C0A1DC475D46277051_13</vt:lpwstr>
  </property>
</Properties>
</file>