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/>
          <w:color w:val="000000"/>
          <w:kern w:val="0"/>
          <w:sz w:val="44"/>
          <w:szCs w:val="44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color w:val="000000"/>
          <w:kern w:val="0"/>
          <w:sz w:val="44"/>
          <w:szCs w:val="44"/>
          <w:lang w:val="en-US" w:eastAsia="zh-CN" w:bidi="ar"/>
        </w:rPr>
        <w:t>黑水县残疾人联合会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/>
          <w:color w:val="000000"/>
          <w:kern w:val="0"/>
          <w:sz w:val="44"/>
          <w:szCs w:val="44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color w:val="000000"/>
          <w:kern w:val="0"/>
          <w:sz w:val="44"/>
          <w:szCs w:val="44"/>
          <w:lang w:val="en-US" w:eastAsia="zh-CN" w:bidi="ar"/>
        </w:rPr>
        <w:t>关于2024年残疾人事业发展项目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/>
          <w:color w:val="000000"/>
          <w:kern w:val="0"/>
          <w:sz w:val="44"/>
          <w:szCs w:val="44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color w:val="000000"/>
          <w:kern w:val="0"/>
          <w:sz w:val="44"/>
          <w:szCs w:val="44"/>
          <w:lang w:val="en-US" w:eastAsia="zh-CN" w:bidi="ar"/>
        </w:rPr>
        <w:t>支出绩效评价报告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contextualSpacing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contextualSpacing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根据《黑水县财政局关于开展202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年县级部门绩效自评工作的通知》(黑财〔20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25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〕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号)文件要求，我单位高度重视，成立了以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残疾人联合会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会长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肖新斌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为组长、分管领导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何世斌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为副组长、财务人员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占木基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为成员的绩效评价工作小组，对本单位202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年度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残疾人事业发展资金的专项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绩效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项目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进行自评，评价报告如下：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rPr>
          <w:rFonts w:ascii="黑体" w:hAnsi="宋体" w:eastAsia="黑体"/>
          <w:highlight w:val="none"/>
          <w:lang w:val="zh-CN"/>
        </w:rPr>
      </w:pPr>
      <w:r>
        <w:rPr>
          <w:rFonts w:hint="eastAsia" w:ascii="黑体" w:hAnsi="宋体" w:eastAsia="黑体"/>
          <w:highlight w:val="none"/>
        </w:rPr>
        <w:t>一、</w:t>
      </w:r>
      <w:r>
        <w:rPr>
          <w:rFonts w:hint="eastAsia" w:ascii="黑体" w:hAnsi="宋体" w:eastAsia="黑体"/>
          <w:highlight w:val="none"/>
          <w:lang w:val="zh-CN"/>
        </w:rPr>
        <w:t>项目概况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2" w:firstLineChars="200"/>
        <w:textAlignment w:val="auto"/>
        <w:rPr>
          <w:rFonts w:hint="eastAsia" w:ascii="楷体_GB2312" w:hAnsi="宋体" w:eastAsia="楷体_GB2312"/>
          <w:b/>
          <w:color w:val="auto"/>
          <w:sz w:val="32"/>
          <w:szCs w:val="32"/>
          <w:highlight w:val="none"/>
          <w:u w:val="none"/>
          <w:lang w:val="zh-CN"/>
        </w:rPr>
      </w:pPr>
      <w:r>
        <w:rPr>
          <w:rFonts w:hint="eastAsia" w:ascii="楷体_GB2312" w:hAnsi="宋体" w:eastAsia="楷体_GB2312"/>
          <w:b/>
          <w:color w:val="auto"/>
          <w:sz w:val="32"/>
          <w:szCs w:val="32"/>
          <w:highlight w:val="none"/>
          <w:u w:val="none"/>
          <w:lang w:val="zh-CN"/>
        </w:rPr>
        <w:t>（一）设立背景及基本情况。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textAlignment w:val="auto"/>
        <w:rPr>
          <w:rFonts w:hint="eastAsia" w:ascii="仿宋_GB231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根据《</w:t>
      </w:r>
      <w:r>
        <w:rPr>
          <w:rFonts w:hint="eastAsia" w:ascii="仿宋_GB2312" w:hAnsi="仿宋_GB2312" w:eastAsia="仿宋_GB2312" w:cs="仿宋_GB2312"/>
          <w:sz w:val="32"/>
          <w:szCs w:val="32"/>
        </w:rPr>
        <w:t>四川省财政厅、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国家税务总</w:t>
      </w:r>
      <w:r>
        <w:rPr>
          <w:rFonts w:hint="eastAsia" w:ascii="仿宋_GB2312" w:hAnsi="仿宋_GB2312" w:eastAsia="仿宋_GB2312" w:cs="仿宋_GB2312"/>
          <w:sz w:val="32"/>
          <w:szCs w:val="32"/>
        </w:rPr>
        <w:t>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四川省税务局</w:t>
      </w:r>
      <w:r>
        <w:rPr>
          <w:rFonts w:hint="eastAsia" w:ascii="仿宋_GB2312" w:hAnsi="仿宋_GB2312" w:eastAsia="仿宋_GB2312" w:cs="仿宋_GB2312"/>
          <w:sz w:val="32"/>
          <w:szCs w:val="32"/>
        </w:rPr>
        <w:t>、四川省残疾人联合会关于印发&lt;四川省残疾人就业保障金征收使用管理实施办法&gt;的通知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》（川财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〔20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〕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号）</w:t>
      </w:r>
      <w:r>
        <w:rPr>
          <w:rFonts w:ascii="仿宋_GB2312" w:eastAsia="仿宋_GB2312"/>
          <w:sz w:val="32"/>
          <w:szCs w:val="32"/>
        </w:rPr>
        <w:t>《财政厅关于下达</w:t>
      </w:r>
      <w:r>
        <w:rPr>
          <w:rFonts w:hint="eastAsia" w:ascii="仿宋_GB2312"/>
          <w:sz w:val="32"/>
          <w:szCs w:val="32"/>
          <w:lang w:eastAsia="zh-CN"/>
        </w:rPr>
        <w:t>2024</w:t>
      </w:r>
      <w:r>
        <w:rPr>
          <w:rFonts w:ascii="仿宋_GB2312" w:eastAsia="仿宋_GB2312"/>
          <w:sz w:val="32"/>
          <w:szCs w:val="32"/>
        </w:rPr>
        <w:t>年省级财政残疾人事业发展补助资金的通知》（川财社〔</w:t>
      </w:r>
      <w:r>
        <w:rPr>
          <w:rFonts w:hint="eastAsia" w:ascii="仿宋_GB2312"/>
          <w:sz w:val="32"/>
          <w:szCs w:val="32"/>
          <w:lang w:eastAsia="zh-CN"/>
        </w:rPr>
        <w:t>2024</w:t>
      </w:r>
      <w:r>
        <w:rPr>
          <w:rFonts w:ascii="仿宋_GB2312" w:eastAsia="仿宋_GB2312"/>
          <w:sz w:val="32"/>
          <w:szCs w:val="32"/>
        </w:rPr>
        <w:t>〕</w:t>
      </w:r>
      <w:r>
        <w:rPr>
          <w:rFonts w:hint="eastAsia" w:ascii="仿宋_GB2312"/>
          <w:sz w:val="32"/>
          <w:szCs w:val="32"/>
          <w:lang w:val="en-US" w:eastAsia="zh-CN"/>
        </w:rPr>
        <w:t>19</w:t>
      </w:r>
      <w:r>
        <w:rPr>
          <w:rFonts w:ascii="仿宋_GB2312" w:eastAsia="仿宋_GB2312"/>
          <w:sz w:val="32"/>
          <w:szCs w:val="32"/>
        </w:rPr>
        <w:t>号</w:t>
      </w:r>
      <w:r>
        <w:rPr>
          <w:rFonts w:hint="eastAsia" w:ascii="仿宋_GB2312"/>
          <w:sz w:val="32"/>
          <w:szCs w:val="32"/>
          <w:lang w:eastAsia="zh-CN"/>
        </w:rPr>
        <w:t>等</w:t>
      </w:r>
      <w:r>
        <w:rPr>
          <w:rFonts w:hint="eastAsia" w:ascii="仿宋_GB2312" w:hAnsi="仿宋_GB2312" w:eastAsia="仿宋_GB2312" w:cs="仿宋_GB2312"/>
          <w:sz w:val="32"/>
          <w:szCs w:val="32"/>
        </w:rPr>
        <w:t>文件内容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，残疾人保障金</w:t>
      </w:r>
      <w:r>
        <w:rPr>
          <w:rFonts w:hint="eastAsia" w:ascii="仿宋_GB2312" w:hAnsi="仿宋_GB2312" w:eastAsia="仿宋_GB2312" w:cs="仿宋_GB2312"/>
          <w:sz w:val="32"/>
          <w:szCs w:val="32"/>
        </w:rPr>
        <w:t>主要用于保障残疾人生活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支持残疾人就业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及残疾人就业服务机构的正常经费开支。</w:t>
      </w:r>
      <w:r>
        <w:rPr>
          <w:rFonts w:hint="eastAsia" w:ascii="仿宋_GB231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02</w:t>
      </w:r>
      <w:r>
        <w:rPr>
          <w:rFonts w:hint="eastAsia" w:ascii="仿宋_GB2312" w:hAnsi="仿宋_GB2312" w:cs="仿宋_GB2312"/>
          <w:color w:val="auto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年,我单位按照省、州残联关于残疾人事业发展补助任务分配，结合</w:t>
      </w:r>
      <w:r>
        <w:rPr>
          <w:rFonts w:hint="eastAsia" w:ascii="仿宋_GB2312" w:hAnsi="仿宋_GB2312" w:eastAsia="仿宋_GB2312" w:cs="仿宋_GB2312"/>
          <w:i w:val="0"/>
          <w:caps w:val="0"/>
          <w:color w:val="191919"/>
          <w:spacing w:val="0"/>
          <w:sz w:val="32"/>
          <w:szCs w:val="32"/>
          <w:shd w:val="clear" w:color="auto" w:fill="FFFFFF"/>
          <w:lang w:eastAsia="zh-CN"/>
        </w:rPr>
        <w:t>巩固拓展脱贫攻坚成果</w:t>
      </w:r>
      <w:r>
        <w:rPr>
          <w:rFonts w:hint="eastAsia" w:ascii="仿宋_GB2312" w:hAnsi="仿宋_GB2312" w:eastAsia="仿宋_GB2312" w:cs="仿宋_GB2312"/>
          <w:i w:val="0"/>
          <w:caps w:val="0"/>
          <w:color w:val="191919"/>
          <w:spacing w:val="0"/>
          <w:sz w:val="32"/>
          <w:szCs w:val="32"/>
          <w:shd w:val="clear" w:color="auto" w:fill="FFFFFF"/>
        </w:rPr>
        <w:t>同乡村振兴有效衔接</w:t>
      </w:r>
      <w:r>
        <w:rPr>
          <w:rFonts w:hint="eastAsia" w:ascii="仿宋_GB2312" w:hAnsi="仿宋_GB2312" w:eastAsia="仿宋_GB2312" w:cs="仿宋_GB2312"/>
          <w:i w:val="0"/>
          <w:caps w:val="0"/>
          <w:color w:val="191919"/>
          <w:spacing w:val="0"/>
          <w:sz w:val="32"/>
          <w:szCs w:val="32"/>
          <w:shd w:val="clear" w:color="auto" w:fill="FFFFFF"/>
          <w:lang w:eastAsia="zh-CN"/>
        </w:rPr>
        <w:t>工作要求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积极推进</w:t>
      </w:r>
      <w:r>
        <w:rPr>
          <w:rFonts w:hint="eastAsia" w:ascii="仿宋_GB2312" w:hAnsi="仿宋_GB2312" w:cs="仿宋_GB2312"/>
          <w:color w:val="auto"/>
          <w:sz w:val="32"/>
          <w:szCs w:val="32"/>
          <w:lang w:val="en-US" w:eastAsia="zh-CN"/>
        </w:rPr>
        <w:t>残疾人事业发展资金的专项项目。</w:t>
      </w:r>
      <w:r>
        <w:rPr>
          <w:rFonts w:hint="eastAsia" w:ascii="仿宋_GB2312" w:eastAsia="仿宋_GB2312"/>
        </w:rPr>
        <w:t>全面支持落实好残疾人就业、医疗康复、社会保障等方面的扶持政策，健全残疾人权益保障制度和扶残助残服务体系，提升残疾人基本公共服务保障水平，帮助残疾人同步迈进全面小康社会</w:t>
      </w:r>
      <w:r>
        <w:rPr>
          <w:rFonts w:hint="eastAsia" w:ascii="仿宋_GB2312"/>
          <w:lang w:eastAsia="zh-CN"/>
        </w:rPr>
        <w:t>。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jc w:val="left"/>
        <w:textAlignment w:val="auto"/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en-US" w:eastAsia="zh-CN"/>
        </w:rPr>
        <w:t>实施目的及支持方向</w:t>
      </w:r>
      <w:r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en-US" w:eastAsia="zh-CN"/>
        </w:rPr>
        <w:t>。</w:t>
      </w:r>
    </w:p>
    <w:p>
      <w:pPr>
        <w:adjustRightInd w:val="0"/>
        <w:snapToGrid w:val="0"/>
        <w:spacing w:line="520" w:lineRule="exact"/>
        <w:ind w:firstLine="642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经费按照县委组织的分配方案，具有现实需求，依法依规认真履行。</w:t>
      </w:r>
    </w:p>
    <w:p>
      <w:pPr>
        <w:pStyle w:val="9"/>
        <w:keepNext w:val="0"/>
        <w:keepLines w:val="0"/>
        <w:widowControl/>
        <w:numPr>
          <w:ilvl w:val="0"/>
          <w:numId w:val="1"/>
        </w:numPr>
        <w:suppressLineNumbers w:val="0"/>
        <w:shd w:val="clear" w:fill="FFFFFF"/>
        <w:spacing w:before="210" w:beforeAutospacing="0" w:after="210" w:afterAutospacing="0" w:line="450" w:lineRule="atLeast"/>
        <w:ind w:left="0" w:leftChars="0" w:right="0" w:firstLine="0" w:firstLineChars="0"/>
        <w:jc w:val="left"/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zh-CN" w:eastAsia="zh-CN"/>
        </w:rPr>
      </w:pPr>
      <w:r>
        <w:rPr>
          <w:rFonts w:hint="default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en-US" w:eastAsia="zh-CN"/>
        </w:rPr>
        <w:t>预算安排及分配管理</w:t>
      </w:r>
      <w:r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zh-CN" w:eastAsia="zh-CN"/>
        </w:rPr>
        <w:t>。</w:t>
      </w:r>
    </w:p>
    <w:p>
      <w:pPr>
        <w:pStyle w:val="9"/>
        <w:keepNext w:val="0"/>
        <w:keepLines w:val="0"/>
        <w:widowControl/>
        <w:numPr>
          <w:ilvl w:val="0"/>
          <w:numId w:val="0"/>
        </w:numPr>
        <w:suppressLineNumbers w:val="0"/>
        <w:shd w:val="clear" w:fill="FFFFFF"/>
        <w:spacing w:before="210" w:beforeAutospacing="0" w:after="210" w:afterAutospacing="0" w:line="450" w:lineRule="atLeast"/>
        <w:ind w:leftChars="0" w:right="0" w:rightChars="0" w:firstLine="640" w:firstLineChars="200"/>
        <w:jc w:val="left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1.中央下达残疾人事业发展补助资金专项转移支付预算</w:t>
      </w:r>
      <w:r>
        <w:rPr>
          <w:rFonts w:hint="eastAsia" w:ascii="仿宋_GB2312" w:hAnsi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28.94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万元，其中</w:t>
      </w:r>
      <w:r>
        <w:rPr>
          <w:rFonts w:hint="eastAsia" w:ascii="仿宋_GB2312" w:hAnsi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中央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一般公共预算</w:t>
      </w:r>
      <w:r>
        <w:rPr>
          <w:rFonts w:hint="eastAsia" w:ascii="仿宋_GB2312" w:hAnsi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22.24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万元，中央彩票公益金</w:t>
      </w:r>
      <w:r>
        <w:rPr>
          <w:rFonts w:hint="eastAsia" w:ascii="仿宋_GB2312" w:hAnsi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6.7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万元</w:t>
      </w:r>
      <w:r>
        <w:rPr>
          <w:rFonts w:hint="eastAsia" w:ascii="仿宋_GB2312" w:hAnsi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。</w:t>
      </w:r>
    </w:p>
    <w:p>
      <w:pPr>
        <w:pStyle w:val="9"/>
        <w:keepNext w:val="0"/>
        <w:keepLines w:val="0"/>
        <w:widowControl/>
        <w:suppressLineNumbers w:val="0"/>
        <w:shd w:val="clear" w:fill="FFFFFF"/>
        <w:spacing w:before="210" w:beforeAutospacing="0" w:after="210" w:afterAutospacing="0" w:line="450" w:lineRule="atLeast"/>
        <w:ind w:left="0" w:right="0" w:firstLine="739" w:firstLineChars="231"/>
        <w:jc w:val="left"/>
        <w:rPr>
          <w:rFonts w:hint="default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2.省、市、区三级配套残疾人事业发展补助专项资金预算</w:t>
      </w:r>
      <w:r>
        <w:rPr>
          <w:rFonts w:hint="eastAsia" w:ascii="仿宋_GB2312" w:hAnsi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150.88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万元，其中省级</w:t>
      </w:r>
      <w:r>
        <w:rPr>
          <w:rFonts w:hint="eastAsia" w:ascii="仿宋_GB2312" w:hAnsi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一般公共预算7.46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万元，</w:t>
      </w:r>
      <w:r>
        <w:rPr>
          <w:rFonts w:hint="eastAsia" w:ascii="仿宋_GB2312" w:hAnsi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省级彩票公益金3.672万元，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市级配套资金</w:t>
      </w:r>
      <w:r>
        <w:rPr>
          <w:rFonts w:hint="eastAsia" w:ascii="仿宋_GB2312" w:hAnsi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22.64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万元，县级配套</w:t>
      </w:r>
      <w:r>
        <w:rPr>
          <w:rFonts w:hint="eastAsia" w:ascii="仿宋_GB2312" w:hAnsi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67.11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万元</w:t>
      </w:r>
      <w:r>
        <w:rPr>
          <w:rFonts w:hint="eastAsia" w:ascii="仿宋_GB2312" w:hAnsi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，东西部对口支援资金30万元和文化交流交往资金20万元。</w:t>
      </w:r>
    </w:p>
    <w:p>
      <w:pPr>
        <w:pStyle w:val="9"/>
        <w:keepNext w:val="0"/>
        <w:keepLines w:val="0"/>
        <w:widowControl/>
        <w:suppressLineNumbers w:val="0"/>
        <w:shd w:val="clear" w:fill="FFFFFF"/>
        <w:spacing w:before="210" w:beforeAutospacing="0" w:after="210" w:afterAutospacing="0" w:line="450" w:lineRule="atLeast"/>
        <w:ind w:left="0" w:right="0" w:firstLine="739" w:firstLineChars="231"/>
        <w:jc w:val="left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资金计划用于残疾人联络员误工补贴、全国助残日活动资金、温暖万家行慰问困难残疾人活动资金、智慧量服手持终端费用、文化进家庭“五个一”、0-6岁残疾人康复救助、残疾人居家托养、农村贫困残疾人实用技术培训、机动车燃油补贴、七岁以上残疾人康复、家庭医生签约增值服务、居家灵活就业、残疾人事业发展补助资金、东西部对口援建等项目。</w:t>
      </w:r>
    </w:p>
    <w:p>
      <w:pPr>
        <w:pStyle w:val="9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leftChars="0" w:right="0" w:firstLine="0" w:firstLineChars="0"/>
        <w:jc w:val="left"/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zh-CN" w:eastAsia="zh-CN"/>
        </w:rPr>
      </w:pPr>
      <w:r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zh-CN" w:eastAsia="zh-CN"/>
        </w:rPr>
        <w:t>项目绩效目标设置。</w:t>
      </w:r>
    </w:p>
    <w:p>
      <w:pPr>
        <w:pStyle w:val="9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rightChars="0" w:firstLine="640" w:firstLineChars="200"/>
        <w:jc w:val="left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1</w:t>
      </w:r>
      <w:r>
        <w:rPr>
          <w:rFonts w:hint="eastAsia" w:ascii="仿宋_GB2312" w:hAnsi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.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 w:bidi="ar-SA"/>
        </w:rPr>
        <w:t>项目整体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绩效目标</w:t>
      </w:r>
    </w:p>
    <w:p>
      <w:pPr>
        <w:pStyle w:val="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739" w:firstLineChars="231"/>
        <w:jc w:val="left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落实好残疾人就业、医疗康复、社会保障等扶持政策，健全残疾人权益保障制度和扶残助残服务体系，完成残疾人基本康复服务、农村实用技术培训、残疾人机动轮椅车燃油补贴、残疾儿童康复救助、残疾人居家托养家庭医生签约增值服务、居家灵活就业、残疾人事业发展补助资金、残疾人文化服务项目等工作，有效提升了残疾人基本公共服务保障水平。</w:t>
      </w:r>
    </w:p>
    <w:p>
      <w:pPr>
        <w:pStyle w:val="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0"/>
        <w:jc w:val="left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2.项目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 w:bidi="ar-SA"/>
        </w:rPr>
        <w:t>区域和具体绩效目标设置</w:t>
      </w:r>
    </w:p>
    <w:p>
      <w:pPr>
        <w:pStyle w:val="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739" w:firstLineChars="231"/>
        <w:jc w:val="left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</w:pPr>
      <w:r>
        <w:rPr>
          <w:rFonts w:hint="eastAsia" w:ascii="仿宋_GB2312" w:hAnsi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2024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年全州提供残疾人基本康复服务600人次、参加农村实用技术培训30人、提供托养服务210人、发放残疾人机动轮椅车燃油补贴</w:t>
      </w:r>
      <w:r>
        <w:rPr>
          <w:rFonts w:hint="eastAsia" w:ascii="仿宋_GB2312" w:hAnsi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44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人、救助残疾儿童</w:t>
      </w:r>
      <w:r>
        <w:rPr>
          <w:rFonts w:hint="eastAsia" w:ascii="仿宋_GB2312" w:hAnsi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6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人、发放残疾人联络员务工补贴104人、完成残疾人文化进家庭“五个一”20户、发放灵活就业补贴95人、家庭医生签约增值服务28人次、扶持残疾人发展生产，实现自主就业创业，发放各类物资补贴，创业就业补助；开展实用技术培训、补贴残疾人职业技能学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outlineLvl w:val="9"/>
        <w:rPr>
          <w:rFonts w:hint="eastAsia" w:ascii="黑体" w:hAnsi="宋体" w:eastAsia="黑体"/>
          <w:highlight w:val="none"/>
          <w:lang w:eastAsia="zh-CN"/>
        </w:rPr>
      </w:pPr>
      <w:r>
        <w:rPr>
          <w:rFonts w:hint="eastAsia" w:ascii="黑体" w:hAnsi="宋体" w:eastAsia="黑体"/>
          <w:highlight w:val="none"/>
        </w:rPr>
        <w:t>二、</w:t>
      </w:r>
      <w:r>
        <w:rPr>
          <w:rFonts w:hint="eastAsia" w:ascii="黑体" w:hAnsi="宋体" w:eastAsia="黑体"/>
          <w:highlight w:val="none"/>
          <w:lang w:eastAsia="zh-CN"/>
        </w:rPr>
        <w:t>评价实施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textAlignment w:val="auto"/>
        <w:outlineLvl w:val="0"/>
        <w:rPr>
          <w:rFonts w:ascii="仿宋_GB2312"/>
          <w:szCs w:val="32"/>
        </w:rPr>
      </w:pPr>
      <w:r>
        <w:rPr>
          <w:rFonts w:hint="eastAsia" w:ascii="楷体_GB2312" w:hAnsi="宋体" w:eastAsia="楷体_GB2312"/>
          <w:b/>
          <w:color w:val="auto"/>
          <w:sz w:val="32"/>
          <w:szCs w:val="32"/>
          <w:highlight w:val="none"/>
          <w:u w:val="none"/>
          <w:lang w:val="zh-CN"/>
        </w:rPr>
        <w:t>（一）评价目的。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firstLine="960" w:firstLineChars="300"/>
        <w:textAlignment w:val="auto"/>
        <w:outlineLvl w:val="9"/>
        <w:rPr>
          <w:rFonts w:hint="eastAsia" w:eastAsia="仿宋_GB2312" w:cs="Times New Roman"/>
          <w:szCs w:val="32"/>
          <w:lang w:eastAsia="zh-CN"/>
        </w:rPr>
      </w:pPr>
      <w:r>
        <w:rPr>
          <w:rFonts w:hint="eastAsia" w:eastAsia="仿宋_GB2312" w:cs="Times New Roman"/>
          <w:szCs w:val="32"/>
        </w:rPr>
        <w:t>通过绩效评价，及时发现项目实施中存在的薄弱环节，总结推广好的经验和做法，进一步规范项目管理。</w:t>
      </w:r>
    </w:p>
    <w:p>
      <w:pPr>
        <w:pStyle w:val="9"/>
        <w:keepNext w:val="0"/>
        <w:keepLines w:val="0"/>
        <w:widowControl/>
        <w:numPr>
          <w:ilvl w:val="0"/>
          <w:numId w:val="0"/>
        </w:numPr>
        <w:suppressLineNumbers w:val="0"/>
        <w:shd w:val="clear" w:fill="FFFFFF"/>
        <w:spacing w:before="210" w:beforeAutospacing="0" w:after="210" w:afterAutospacing="0" w:line="450" w:lineRule="atLeast"/>
        <w:ind w:left="420" w:leftChars="0" w:right="0" w:rightChars="0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楷体_GB2312" w:hAnsi="宋体" w:eastAsia="楷体_GB2312"/>
          <w:b/>
          <w:color w:val="auto"/>
          <w:sz w:val="32"/>
          <w:szCs w:val="32"/>
          <w:highlight w:val="none"/>
          <w:u w:val="none"/>
          <w:lang w:val="zh-CN"/>
        </w:rPr>
        <w:t>（二）预设问题及评价重点。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firstLine="640"/>
        <w:textAlignment w:val="auto"/>
        <w:outlineLvl w:val="9"/>
        <w:rPr>
          <w:rFonts w:hint="eastAsia" w:ascii="Times New Roman" w:hAnsi="Times New Roman" w:eastAsia="仿宋_GB2312" w:cs="Times New Roman"/>
          <w:szCs w:val="32"/>
          <w:lang w:val="zh-CN"/>
        </w:rPr>
      </w:pPr>
      <w:r>
        <w:rPr>
          <w:rFonts w:hint="eastAsia" w:ascii="Times New Roman" w:hAnsi="Times New Roman" w:eastAsia="仿宋_GB2312" w:cs="Times New Roman"/>
          <w:szCs w:val="32"/>
          <w:lang w:val="zh-CN"/>
        </w:rPr>
        <w:t>1.长效机制建立情况。项目实施单位是否已建立项目实施管理制度等。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firstLine="640"/>
        <w:textAlignment w:val="auto"/>
        <w:outlineLvl w:val="9"/>
        <w:rPr>
          <w:rFonts w:hint="eastAsia" w:ascii="Times New Roman" w:hAnsi="Times New Roman" w:eastAsia="仿宋_GB2312" w:cs="Times New Roman"/>
          <w:szCs w:val="32"/>
          <w:lang w:val="zh-CN"/>
        </w:rPr>
      </w:pPr>
      <w:r>
        <w:rPr>
          <w:rFonts w:hint="eastAsia" w:ascii="Times New Roman" w:hAnsi="Times New Roman" w:eastAsia="仿宋_GB2312" w:cs="Times New Roman"/>
          <w:szCs w:val="32"/>
          <w:lang w:val="zh-CN"/>
        </w:rPr>
        <w:t>2.项目实施程序严密性。建设项目的招投标资料是否完整、真实，有无弄虚作假套取财政资金等问题。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firstLine="640"/>
        <w:textAlignment w:val="auto"/>
        <w:outlineLvl w:val="9"/>
        <w:rPr>
          <w:rFonts w:hint="eastAsia" w:ascii="Times New Roman" w:hAnsi="Times New Roman" w:eastAsia="仿宋_GB2312" w:cs="Times New Roman"/>
          <w:szCs w:val="32"/>
          <w:lang w:val="zh-CN"/>
        </w:rPr>
      </w:pPr>
      <w:r>
        <w:rPr>
          <w:rFonts w:hint="eastAsia" w:ascii="Times New Roman" w:hAnsi="Times New Roman" w:eastAsia="仿宋_GB2312" w:cs="Times New Roman"/>
          <w:szCs w:val="32"/>
          <w:lang w:val="zh-CN"/>
        </w:rPr>
        <w:t>3.资金拨付和使用的合规性。是否按国库集中支付规定办理资金拨付手续；是否不按时拨付，造成滞留资金积压；资金是否专款专用，是否随意变更项目内容及地点；是否遵守《现金管理暂行条例》规定；是否有挤古、挪用、截留等违纪违规等问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firstLine="640"/>
        <w:textAlignment w:val="auto"/>
        <w:outlineLvl w:val="9"/>
        <w:rPr>
          <w:rFonts w:hint="eastAsia" w:ascii="Times New Roman" w:hAnsi="Times New Roman" w:eastAsia="仿宋_GB2312" w:cs="Times New Roman"/>
          <w:szCs w:val="32"/>
          <w:lang w:val="zh-CN"/>
        </w:rPr>
      </w:pPr>
      <w:r>
        <w:rPr>
          <w:rFonts w:hint="eastAsia" w:ascii="Times New Roman" w:hAnsi="Times New Roman" w:eastAsia="仿宋_GB2312" w:cs="Times New Roman"/>
          <w:szCs w:val="32"/>
          <w:lang w:val="zh-CN"/>
        </w:rPr>
        <w:t>4.信息的公开透明度。项目资金管理单位的公开公示情况。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firstLine="640"/>
        <w:textAlignment w:val="auto"/>
        <w:outlineLvl w:val="9"/>
        <w:rPr>
          <w:rFonts w:hint="eastAsia" w:ascii="Times New Roman" w:hAnsi="Times New Roman" w:eastAsia="仿宋_GB2312" w:cs="Times New Roman"/>
          <w:szCs w:val="32"/>
          <w:lang w:val="zh-CN"/>
        </w:rPr>
      </w:pPr>
      <w:r>
        <w:rPr>
          <w:rFonts w:hint="eastAsia" w:ascii="Times New Roman" w:hAnsi="Times New Roman" w:eastAsia="仿宋_GB2312" w:cs="Times New Roman"/>
          <w:szCs w:val="32"/>
          <w:lang w:val="zh-CN"/>
        </w:rPr>
        <w:t>5.财务管理和会计核算规范性。财务核算是否符合《中华人民共和国会计法》《会计基础工作规范》等要求、是否符合基本建设财务管理和会计制度规定。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firstLine="640"/>
        <w:textAlignment w:val="auto"/>
        <w:outlineLvl w:val="9"/>
        <w:rPr>
          <w:rFonts w:hint="eastAsia" w:cs="Times New Roman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zCs w:val="32"/>
          <w:lang w:val="zh-CN"/>
        </w:rPr>
        <w:t>6.项目实施单位绩效自评情况。项目实施单位是否严格按照预算绩效管理规定开展绩效自评。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2" w:firstLineChars="200"/>
        <w:contextualSpacing/>
        <w:jc w:val="left"/>
        <w:textAlignment w:val="auto"/>
        <w:outlineLvl w:val="9"/>
        <w:rPr>
          <w:rFonts w:hint="eastAsia" w:ascii="楷体_GB2312" w:hAnsi="宋体" w:eastAsia="楷体_GB2312"/>
          <w:b/>
          <w:color w:val="auto"/>
          <w:sz w:val="32"/>
          <w:szCs w:val="32"/>
          <w:highlight w:val="none"/>
          <w:u w:val="none"/>
          <w:lang w:val="zh-CN"/>
        </w:rPr>
      </w:pPr>
      <w:r>
        <w:rPr>
          <w:rFonts w:hint="eastAsia" w:ascii="楷体_GB2312" w:hAnsi="宋体" w:eastAsia="楷体_GB2312"/>
          <w:b/>
          <w:color w:val="auto"/>
          <w:sz w:val="32"/>
          <w:szCs w:val="32"/>
          <w:highlight w:val="none"/>
          <w:u w:val="none"/>
          <w:lang w:val="zh-CN"/>
        </w:rPr>
        <w:t>评价选点。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contextualSpacing/>
        <w:jc w:val="left"/>
        <w:textAlignment w:val="auto"/>
        <w:outlineLvl w:val="9"/>
        <w:rPr>
          <w:rFonts w:hint="default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</w:pPr>
      <w:r>
        <w:rPr>
          <w:rFonts w:hint="eastAsia" w:ascii="仿宋_GB2312" w:hAnsi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全县。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spacing w:line="578" w:lineRule="exact"/>
        <w:ind w:left="0" w:leftChars="0" w:firstLine="642" w:firstLineChars="200"/>
        <w:textAlignment w:val="auto"/>
        <w:outlineLvl w:val="9"/>
        <w:rPr>
          <w:rFonts w:hint="eastAsia" w:ascii="楷体_GB2312" w:hAnsi="宋体" w:eastAsia="楷体_GB2312"/>
          <w:b/>
          <w:color w:val="auto"/>
          <w:sz w:val="32"/>
          <w:szCs w:val="32"/>
          <w:highlight w:val="none"/>
          <w:u w:val="none"/>
          <w:lang w:val="zh-CN"/>
        </w:rPr>
      </w:pPr>
      <w:r>
        <w:rPr>
          <w:rFonts w:hint="eastAsia" w:ascii="楷体_GB2312" w:hAnsi="宋体" w:eastAsia="楷体_GB2312"/>
          <w:b/>
          <w:color w:val="auto"/>
          <w:sz w:val="32"/>
          <w:szCs w:val="32"/>
          <w:highlight w:val="none"/>
          <w:u w:val="none"/>
          <w:lang w:val="zh-CN"/>
        </w:rPr>
        <w:t>评价方法。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78" w:lineRule="exact"/>
        <w:ind w:firstLine="640" w:firstLineChars="200"/>
        <w:textAlignment w:val="auto"/>
        <w:outlineLvl w:val="9"/>
        <w:rPr>
          <w:rFonts w:hint="eastAsia" w:eastAsia="仿宋_GB2312" w:cs="Times New Roman"/>
          <w:szCs w:val="32"/>
          <w:lang w:eastAsia="zh-CN"/>
        </w:rPr>
      </w:pPr>
      <w:r>
        <w:rPr>
          <w:rFonts w:eastAsia="仿宋_GB2312" w:cs="Times New Roman"/>
          <w:szCs w:val="32"/>
        </w:rPr>
        <w:t>单位自评法</w:t>
      </w:r>
      <w:r>
        <w:rPr>
          <w:rFonts w:hint="eastAsia" w:cs="Times New Roman"/>
          <w:szCs w:val="32"/>
          <w:lang w:eastAsia="zh-CN"/>
        </w:rPr>
        <w:t>：</w:t>
      </w:r>
      <w:r>
        <w:rPr>
          <w:rFonts w:hint="eastAsia" w:cs="Times New Roman"/>
          <w:szCs w:val="32"/>
          <w:lang w:val="en-US" w:eastAsia="zh-CN"/>
        </w:rPr>
        <w:t>2024</w:t>
      </w:r>
      <w:r>
        <w:rPr>
          <w:rFonts w:hint="eastAsia" w:ascii="仿宋_GB2312"/>
        </w:rPr>
        <w:t>年度预算项目绩效评估工作通过</w:t>
      </w:r>
      <w:r>
        <w:rPr>
          <w:rFonts w:hint="eastAsia" w:ascii="仿宋_GB2312"/>
          <w:lang w:val="en-US" w:eastAsia="zh-CN"/>
        </w:rPr>
        <w:t>线上与线下相结合的</w:t>
      </w:r>
      <w:r>
        <w:rPr>
          <w:rFonts w:hint="eastAsia" w:ascii="仿宋_GB2312"/>
        </w:rPr>
        <w:t>方式开展。按照有关规定和工作安排，我单位开展自行评估，通过</w:t>
      </w:r>
      <w:r>
        <w:rPr>
          <w:rFonts w:hint="eastAsia" w:ascii="仿宋_GB2312"/>
          <w:lang w:val="en-US" w:eastAsia="zh-CN"/>
        </w:rPr>
        <w:t>自行成立</w:t>
      </w:r>
      <w:r>
        <w:rPr>
          <w:rFonts w:hint="eastAsia" w:ascii="仿宋_GB2312"/>
        </w:rPr>
        <w:t>等方式组建评估组，通过收集被评估项目相关基础资料，并查阅资料、收集数据信息等，深入论证分析后，形成绩效评</w:t>
      </w:r>
      <w:r>
        <w:rPr>
          <w:rFonts w:hint="eastAsia" w:ascii="仿宋_GB2312"/>
          <w:lang w:val="en-US" w:eastAsia="zh-CN"/>
        </w:rPr>
        <w:t>自评</w:t>
      </w:r>
      <w:r>
        <w:rPr>
          <w:rFonts w:hint="eastAsia" w:ascii="仿宋_GB2312"/>
        </w:rPr>
        <w:t>估报告。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firstLine="640"/>
        <w:textAlignment w:val="auto"/>
        <w:outlineLvl w:val="9"/>
        <w:rPr>
          <w:rFonts w:hint="eastAsia" w:ascii="楷体_GB2312" w:hAnsi="宋体" w:eastAsia="楷体_GB2312"/>
          <w:b/>
          <w:color w:val="auto"/>
          <w:sz w:val="32"/>
          <w:szCs w:val="32"/>
          <w:highlight w:val="none"/>
          <w:u w:val="none"/>
          <w:lang w:val="zh-CN"/>
        </w:rPr>
      </w:pPr>
      <w:r>
        <w:rPr>
          <w:rFonts w:hint="eastAsia" w:ascii="楷体_GB2312" w:hAnsi="宋体" w:eastAsia="楷体_GB2312"/>
          <w:b/>
          <w:color w:val="auto"/>
          <w:sz w:val="32"/>
          <w:szCs w:val="32"/>
          <w:highlight w:val="none"/>
          <w:u w:val="none"/>
          <w:lang w:val="zh-CN"/>
        </w:rPr>
        <w:t>（五）评价组织。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firstLine="640"/>
        <w:textAlignment w:val="auto"/>
        <w:outlineLvl w:val="9"/>
        <w:rPr>
          <w:rFonts w:hint="eastAsia" w:eastAsia="仿宋_GB2312" w:cs="Times New Roman"/>
          <w:bCs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我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部门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成立了以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残疾人联合会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会长</w:t>
      </w:r>
      <w:r>
        <w:rPr>
          <w:rFonts w:hint="eastAsia" w:ascii="仿宋_GB2312" w:hAnsi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肖新斌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为组长、分管领导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何世斌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为副组长、财务人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员</w:t>
      </w:r>
      <w:r>
        <w:rPr>
          <w:rFonts w:hint="eastAsia" w:ascii="仿宋_GB2312" w:hAnsi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占木基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为成员的绩效评价工作小组</w:t>
      </w:r>
      <w:r>
        <w:rPr>
          <w:rFonts w:hint="eastAsia" w:cs="Times New Roman"/>
          <w:szCs w:val="32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rPr>
          <w:rFonts w:ascii="仿宋_GB2312" w:hAnsi="宋体"/>
          <w:color w:val="auto"/>
          <w:sz w:val="32"/>
          <w:szCs w:val="32"/>
          <w:highlight w:val="none"/>
          <w:u w:val="none"/>
          <w:lang w:val="zh-CN"/>
        </w:rPr>
      </w:pPr>
      <w:r>
        <w:rPr>
          <w:rFonts w:hint="eastAsia" w:ascii="黑体" w:hAnsi="宋体" w:eastAsia="黑体"/>
          <w:color w:val="auto"/>
          <w:sz w:val="32"/>
          <w:szCs w:val="32"/>
          <w:highlight w:val="none"/>
          <w:u w:val="none"/>
        </w:rPr>
        <w:t>三、</w:t>
      </w:r>
      <w:r>
        <w:rPr>
          <w:rFonts w:hint="eastAsia" w:ascii="黑体" w:hAnsi="宋体" w:eastAsia="黑体"/>
          <w:color w:val="auto"/>
          <w:sz w:val="32"/>
          <w:szCs w:val="32"/>
          <w:highlight w:val="none"/>
          <w:u w:val="none"/>
          <w:lang w:eastAsia="zh-CN"/>
        </w:rPr>
        <w:t>绩效分析</w:t>
      </w:r>
      <w:r>
        <w:rPr>
          <w:rFonts w:hint="eastAsia" w:ascii="仿宋_GB2312" w:hAnsi="宋体"/>
          <w:color w:val="auto"/>
          <w:sz w:val="32"/>
          <w:szCs w:val="32"/>
          <w:highlight w:val="none"/>
          <w:u w:val="none"/>
          <w:lang w:val="zh-CN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firstLine="640"/>
        <w:textAlignment w:val="auto"/>
        <w:outlineLvl w:val="9"/>
        <w:rPr>
          <w:rFonts w:hint="eastAsia" w:eastAsia="仿宋_GB2312" w:cs="Times New Roman"/>
          <w:szCs w:val="32"/>
          <w:lang w:val="en-US" w:eastAsia="zh-CN"/>
        </w:rPr>
      </w:pPr>
      <w:r>
        <w:rPr>
          <w:rFonts w:hint="eastAsia" w:cs="Times New Roman"/>
          <w:szCs w:val="32"/>
          <w:lang w:val="en-US" w:eastAsia="zh-CN"/>
        </w:rPr>
        <w:t>2024年我部门残疾人事业发展资金项目绩效分析：1.</w:t>
      </w:r>
      <w:r>
        <w:rPr>
          <w:rFonts w:hint="eastAsia" w:eastAsia="仿宋_GB2312" w:cs="Times New Roman"/>
          <w:szCs w:val="32"/>
          <w:lang w:val="zh-CN" w:eastAsia="zh-CN"/>
        </w:rPr>
        <w:t>通用指标</w:t>
      </w:r>
      <w:r>
        <w:rPr>
          <w:rFonts w:hint="eastAsia" w:cs="Times New Roman"/>
          <w:szCs w:val="32"/>
          <w:lang w:val="zh-CN" w:eastAsia="zh-CN"/>
        </w:rPr>
        <w:t>（</w:t>
      </w:r>
      <w:r>
        <w:rPr>
          <w:rFonts w:hint="eastAsia" w:cs="Times New Roman"/>
          <w:szCs w:val="32"/>
          <w:lang w:val="en-US" w:eastAsia="zh-CN"/>
        </w:rPr>
        <w:t>得分：54分</w:t>
      </w:r>
      <w:r>
        <w:rPr>
          <w:rFonts w:hint="eastAsia" w:cs="Times New Roman"/>
          <w:szCs w:val="32"/>
          <w:lang w:val="zh-CN" w:eastAsia="zh-CN"/>
        </w:rPr>
        <w:t>）；</w:t>
      </w:r>
      <w:r>
        <w:rPr>
          <w:rFonts w:hint="eastAsia" w:cs="Times New Roman"/>
          <w:szCs w:val="32"/>
          <w:lang w:val="en-US" w:eastAsia="zh-CN"/>
        </w:rPr>
        <w:t>2.</w:t>
      </w:r>
      <w:r>
        <w:rPr>
          <w:rFonts w:hint="eastAsia" w:eastAsia="仿宋_GB2312" w:cs="Times New Roman"/>
          <w:szCs w:val="32"/>
          <w:lang w:val="zh-CN" w:eastAsia="zh-CN"/>
        </w:rPr>
        <w:t>专用指标</w:t>
      </w:r>
      <w:r>
        <w:rPr>
          <w:rFonts w:hint="eastAsia" w:cs="Times New Roman"/>
          <w:szCs w:val="32"/>
          <w:lang w:val="zh-CN" w:eastAsia="zh-CN"/>
        </w:rPr>
        <w:t>（</w:t>
      </w:r>
      <w:r>
        <w:rPr>
          <w:rFonts w:hint="eastAsia" w:cs="Times New Roman"/>
          <w:szCs w:val="32"/>
          <w:lang w:val="en-US" w:eastAsia="zh-CN"/>
        </w:rPr>
        <w:t>得分：30分</w:t>
      </w:r>
      <w:r>
        <w:rPr>
          <w:rFonts w:hint="eastAsia" w:cs="Times New Roman"/>
          <w:szCs w:val="32"/>
          <w:lang w:val="zh-CN" w:eastAsia="zh-CN"/>
        </w:rPr>
        <w:t>）；</w:t>
      </w:r>
      <w:r>
        <w:rPr>
          <w:rFonts w:hint="eastAsia" w:cs="Times New Roman"/>
          <w:szCs w:val="32"/>
          <w:lang w:val="en-US" w:eastAsia="zh-CN"/>
        </w:rPr>
        <w:t>3.</w:t>
      </w:r>
      <w:r>
        <w:rPr>
          <w:rFonts w:hint="eastAsia" w:eastAsia="仿宋_GB2312" w:cs="Times New Roman"/>
          <w:szCs w:val="32"/>
          <w:lang w:val="zh-CN" w:eastAsia="zh-CN"/>
        </w:rPr>
        <w:t>个性指标</w:t>
      </w:r>
      <w:r>
        <w:rPr>
          <w:rFonts w:hint="eastAsia" w:cs="Times New Roman"/>
          <w:szCs w:val="32"/>
          <w:lang w:val="zh-CN" w:eastAsia="zh-CN"/>
        </w:rPr>
        <w:t>（</w:t>
      </w:r>
      <w:r>
        <w:rPr>
          <w:rFonts w:hint="eastAsia" w:cs="Times New Roman"/>
          <w:szCs w:val="32"/>
          <w:lang w:val="en-US" w:eastAsia="zh-CN"/>
        </w:rPr>
        <w:t>得分：16分</w:t>
      </w:r>
      <w:r>
        <w:rPr>
          <w:rFonts w:hint="eastAsia" w:cs="Times New Roman"/>
          <w:szCs w:val="32"/>
          <w:lang w:val="zh-CN" w:eastAsia="zh-CN"/>
        </w:rPr>
        <w:t>）；</w:t>
      </w:r>
      <w:r>
        <w:rPr>
          <w:rFonts w:hint="eastAsia" w:cs="Times New Roman"/>
          <w:szCs w:val="32"/>
          <w:lang w:val="en-US" w:eastAsia="zh-CN"/>
        </w:rPr>
        <w:t>项目</w:t>
      </w:r>
      <w:r>
        <w:rPr>
          <w:rFonts w:hint="default" w:eastAsia="仿宋_GB2312" w:cs="Times New Roman"/>
          <w:szCs w:val="32"/>
          <w:lang w:val="zh-CN" w:eastAsia="zh-CN"/>
        </w:rPr>
        <w:t>绩效</w:t>
      </w:r>
      <w:r>
        <w:rPr>
          <w:rFonts w:hint="eastAsia" w:cs="Times New Roman"/>
          <w:szCs w:val="32"/>
          <w:lang w:val="en-US" w:eastAsia="zh-CN"/>
        </w:rPr>
        <w:t>整体</w:t>
      </w:r>
      <w:r>
        <w:rPr>
          <w:rFonts w:hint="eastAsia" w:eastAsia="仿宋_GB2312" w:cs="Times New Roman"/>
          <w:szCs w:val="32"/>
          <w:lang w:val="zh-CN" w:eastAsia="zh-CN"/>
        </w:rPr>
        <w:t>评分</w:t>
      </w:r>
      <w:r>
        <w:rPr>
          <w:rFonts w:hint="eastAsia" w:cs="Times New Roman"/>
          <w:szCs w:val="32"/>
          <w:lang w:val="en-US" w:eastAsia="zh-CN"/>
        </w:rPr>
        <w:t>为98分。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/>
        <w:textAlignment w:val="auto"/>
        <w:outlineLvl w:val="9"/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zh-CN"/>
        </w:rPr>
        <w:t>（一）</w:t>
      </w:r>
      <w:r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en-US" w:eastAsia="zh-CN"/>
        </w:rPr>
        <w:t>通用指标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绩效分析。</w:t>
      </w:r>
      <w:r>
        <w:rPr>
          <w:rFonts w:hint="eastAsia" w:cs="Times New Roman"/>
          <w:szCs w:val="32"/>
          <w:lang w:val="zh-CN" w:eastAsia="zh-CN"/>
        </w:rPr>
        <w:t>（</w:t>
      </w:r>
      <w:r>
        <w:rPr>
          <w:rFonts w:hint="eastAsia" w:cs="Times New Roman"/>
          <w:szCs w:val="32"/>
          <w:lang w:val="en-US" w:eastAsia="zh-CN"/>
        </w:rPr>
        <w:t>得分：54分</w:t>
      </w:r>
      <w:r>
        <w:rPr>
          <w:rFonts w:hint="eastAsia" w:cs="Times New Roman"/>
          <w:szCs w:val="32"/>
          <w:lang w:val="zh-CN"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/>
        <w:textAlignment w:val="auto"/>
        <w:outlineLvl w:val="9"/>
        <w:rPr>
          <w:rFonts w:hint="eastAsia" w:cs="Times New Roman"/>
          <w:szCs w:val="32"/>
          <w:lang w:val="zh-CN" w:eastAsia="zh-CN"/>
        </w:rPr>
      </w:pPr>
      <w:r>
        <w:rPr>
          <w:rFonts w:hint="eastAsia" w:ascii="楷体_GB2312" w:hAnsi="楷体_GB2312" w:eastAsia="楷体_GB2312" w:cs="楷体_GB2312"/>
          <w:color w:val="auto"/>
          <w:szCs w:val="32"/>
          <w:lang w:val="en-US" w:eastAsia="zh-CN"/>
        </w:rPr>
        <w:t>1.</w:t>
      </w:r>
      <w:r>
        <w:rPr>
          <w:rFonts w:hint="eastAsia" w:ascii="楷体_GB2312" w:hAnsi="楷体_GB2312" w:eastAsia="楷体_GB2312" w:cs="楷体_GB2312"/>
          <w:color w:val="auto"/>
          <w:szCs w:val="32"/>
          <w:lang w:eastAsia="zh-CN"/>
        </w:rPr>
        <w:t>项目决策。</w:t>
      </w:r>
      <w:r>
        <w:rPr>
          <w:rFonts w:hint="eastAsia" w:cs="Times New Roman"/>
          <w:szCs w:val="32"/>
          <w:lang w:val="zh-CN" w:eastAsia="zh-CN"/>
        </w:rPr>
        <w:t>（</w:t>
      </w:r>
      <w:r>
        <w:rPr>
          <w:rFonts w:hint="eastAsia" w:cs="Times New Roman"/>
          <w:szCs w:val="32"/>
          <w:lang w:val="en-US" w:eastAsia="zh-CN"/>
        </w:rPr>
        <w:t>得分：18分</w:t>
      </w:r>
      <w:r>
        <w:rPr>
          <w:rFonts w:hint="eastAsia" w:cs="Times New Roman"/>
          <w:szCs w:val="32"/>
          <w:lang w:val="zh-CN" w:eastAsia="zh-CN"/>
        </w:rPr>
        <w:t>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default" w:ascii="仿宋_GB2312"/>
          <w:lang w:val="en-US" w:eastAsia="zh-CN"/>
        </w:rPr>
      </w:pPr>
      <w:r>
        <w:rPr>
          <w:rFonts w:hint="eastAsia" w:cs="Times New Roman"/>
          <w:color w:val="auto"/>
          <w:szCs w:val="32"/>
          <w:lang w:val="en-US" w:eastAsia="zh-CN"/>
        </w:rPr>
        <w:t>(1)</w:t>
      </w:r>
      <w:r>
        <w:rPr>
          <w:rFonts w:hint="eastAsia" w:ascii="Times New Roman" w:hAnsi="Times New Roman" w:cs="Times New Roman"/>
          <w:color w:val="auto"/>
          <w:szCs w:val="32"/>
          <w:lang w:eastAsia="zh-CN"/>
        </w:rPr>
        <w:t>决策程序</w:t>
      </w:r>
      <w:r>
        <w:rPr>
          <w:rFonts w:hint="eastAsia" w:cs="Times New Roman"/>
          <w:color w:val="auto"/>
          <w:szCs w:val="32"/>
          <w:lang w:val="en-US" w:eastAsia="zh-CN"/>
        </w:rPr>
        <w:t>:为了</w:t>
      </w:r>
      <w:r>
        <w:rPr>
          <w:rFonts w:hint="eastAsia" w:ascii="仿宋_GB2312" w:eastAsia="仿宋_GB2312"/>
        </w:rPr>
        <w:t>全面支持落实好残疾人就业、医疗康复、社会保障等方面的扶持政策，健全残疾人权益保障制度和扶残助残服务体系，提升残疾人基本公共服务保障水平，帮助残疾人同步迈进全面小康社会</w:t>
      </w:r>
      <w:r>
        <w:rPr>
          <w:rFonts w:hint="eastAsia" w:ascii="仿宋_GB2312"/>
          <w:lang w:eastAsia="zh-CN"/>
        </w:rPr>
        <w:t>。</w:t>
      </w:r>
      <w:r>
        <w:rPr>
          <w:rFonts w:hint="eastAsia" w:ascii="仿宋_GB2312" w:hAnsi="Times New Roman" w:eastAsia="仿宋_GB2312" w:cs="仿宋_GB2312"/>
          <w:sz w:val="32"/>
          <w:szCs w:val="32"/>
          <w:lang w:val="zh-CN" w:eastAsia="zh-CN" w:bidi="ar-SA"/>
        </w:rPr>
        <w:t>（</w:t>
      </w:r>
      <w:r>
        <w:rPr>
          <w:rFonts w:hint="eastAsia" w:ascii="仿宋_GB2312" w:hAnsi="Times New Roman" w:eastAsia="仿宋_GB2312" w:cs="仿宋_GB2312"/>
          <w:sz w:val="32"/>
          <w:szCs w:val="32"/>
          <w:lang w:val="en-US" w:eastAsia="zh-CN" w:bidi="ar-SA"/>
        </w:rPr>
        <w:t>得分：</w:t>
      </w:r>
      <w:r>
        <w:rPr>
          <w:rFonts w:hint="eastAsia" w:ascii="仿宋_GB2312" w:cs="仿宋_GB2312"/>
          <w:sz w:val="32"/>
          <w:szCs w:val="32"/>
          <w:lang w:val="en-US" w:eastAsia="zh-CN" w:bidi="ar-SA"/>
        </w:rPr>
        <w:t>6</w:t>
      </w:r>
      <w:r>
        <w:rPr>
          <w:rFonts w:hint="eastAsia" w:ascii="仿宋_GB2312" w:hAnsi="Times New Roman" w:eastAsia="仿宋_GB2312" w:cs="仿宋_GB2312"/>
          <w:sz w:val="32"/>
          <w:szCs w:val="32"/>
          <w:lang w:val="en-US" w:eastAsia="zh-CN" w:bidi="ar-SA"/>
        </w:rPr>
        <w:t>分</w:t>
      </w:r>
      <w:r>
        <w:rPr>
          <w:rFonts w:hint="eastAsia" w:ascii="仿宋_GB2312" w:hAnsi="Times New Roman" w:eastAsia="仿宋_GB2312" w:cs="仿宋_GB2312"/>
          <w:sz w:val="32"/>
          <w:szCs w:val="32"/>
          <w:lang w:val="zh-CN" w:eastAsia="zh-CN" w:bidi="ar-SA"/>
        </w:rPr>
        <w:t>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eastAsia" w:cs="Times New Roman"/>
          <w:color w:val="auto"/>
          <w:szCs w:val="32"/>
          <w:lang w:eastAsia="zh-CN"/>
        </w:rPr>
      </w:pPr>
      <w:r>
        <w:rPr>
          <w:rFonts w:hint="eastAsia" w:cs="Times New Roman"/>
          <w:color w:val="auto"/>
          <w:szCs w:val="32"/>
          <w:lang w:val="en-US" w:eastAsia="zh-CN"/>
        </w:rPr>
        <w:t>(2)</w:t>
      </w:r>
      <w:r>
        <w:rPr>
          <w:rFonts w:hint="eastAsia" w:ascii="Times New Roman" w:hAnsi="Times New Roman" w:cs="Times New Roman"/>
          <w:color w:val="auto"/>
          <w:szCs w:val="32"/>
          <w:lang w:eastAsia="zh-CN"/>
        </w:rPr>
        <w:t>规划论证</w:t>
      </w:r>
      <w:r>
        <w:rPr>
          <w:rFonts w:hint="eastAsia" w:cs="Times New Roman"/>
          <w:color w:val="auto"/>
          <w:szCs w:val="32"/>
          <w:lang w:eastAsia="zh-CN"/>
        </w:rPr>
        <w:t>：项目规划论证是</w:t>
      </w:r>
      <w:r>
        <w:rPr>
          <w:rFonts w:hint="default" w:cs="Times New Roman"/>
          <w:color w:val="auto"/>
          <w:szCs w:val="32"/>
          <w:lang w:eastAsia="zh-CN"/>
        </w:rPr>
        <w:t>否</w:t>
      </w:r>
      <w:r>
        <w:rPr>
          <w:rFonts w:hint="eastAsia" w:cs="Times New Roman"/>
          <w:color w:val="auto"/>
          <w:szCs w:val="32"/>
          <w:lang w:eastAsia="zh-CN"/>
        </w:rPr>
        <w:t>符合中省要求，项目绩效目标设置科学合理。目标1.为残疾儿童提供康复救助服务；目标2.为残疾儿童提供早期干预服务；目标3.为残疾学生提供助学服务；目标4.为智力、精神和重度残疾人提供托养服务；目标5.为农村贫困残疾人提供实用技术培训服务；目标6.为残疾人发放灵活就业补贴；目标7.为残疾人提供残疾人公共文化服务-文化进家庭“五个一”服务；目标8.开展残疾人群众性体育活动；目标9.为贫困重度残疾人家庭提供生活环境无障碍改造服务；目标10.为贫困智力精神和重度残疾人发放残疾评定补贴。</w:t>
      </w:r>
      <w:r>
        <w:rPr>
          <w:rFonts w:hint="eastAsia" w:ascii="仿宋_GB2312" w:hAnsi="Times New Roman" w:eastAsia="仿宋_GB2312" w:cs="仿宋_GB2312"/>
          <w:sz w:val="32"/>
          <w:szCs w:val="32"/>
          <w:lang w:val="zh-CN" w:eastAsia="zh-CN" w:bidi="ar-SA"/>
        </w:rPr>
        <w:t>（</w:t>
      </w:r>
      <w:r>
        <w:rPr>
          <w:rFonts w:hint="eastAsia" w:ascii="仿宋_GB2312" w:hAnsi="Times New Roman" w:eastAsia="仿宋_GB2312" w:cs="仿宋_GB2312"/>
          <w:sz w:val="32"/>
          <w:szCs w:val="32"/>
          <w:lang w:val="en-US" w:eastAsia="zh-CN" w:bidi="ar-SA"/>
        </w:rPr>
        <w:t>得分：</w:t>
      </w:r>
      <w:r>
        <w:rPr>
          <w:rFonts w:hint="eastAsia" w:ascii="仿宋_GB2312" w:cs="仿宋_GB2312"/>
          <w:sz w:val="32"/>
          <w:szCs w:val="32"/>
          <w:lang w:val="en-US" w:eastAsia="zh-CN" w:bidi="ar-SA"/>
        </w:rPr>
        <w:t>6</w:t>
      </w:r>
      <w:r>
        <w:rPr>
          <w:rFonts w:hint="eastAsia" w:ascii="仿宋_GB2312" w:hAnsi="Times New Roman" w:eastAsia="仿宋_GB2312" w:cs="仿宋_GB2312"/>
          <w:sz w:val="32"/>
          <w:szCs w:val="32"/>
          <w:lang w:val="en-US" w:eastAsia="zh-CN" w:bidi="ar-SA"/>
        </w:rPr>
        <w:t>分</w:t>
      </w:r>
      <w:r>
        <w:rPr>
          <w:rFonts w:hint="eastAsia" w:ascii="仿宋_GB2312" w:hAnsi="Times New Roman" w:eastAsia="仿宋_GB2312" w:cs="仿宋_GB2312"/>
          <w:sz w:val="32"/>
          <w:szCs w:val="32"/>
          <w:lang w:val="zh-CN" w:eastAsia="zh-CN" w:bidi="ar-SA"/>
        </w:rPr>
        <w:t>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default" w:eastAsia="仿宋_GB2312" w:cs="Times New Roman"/>
          <w:color w:val="auto"/>
          <w:szCs w:val="32"/>
          <w:lang w:val="en-US" w:eastAsia="zh-CN"/>
        </w:rPr>
      </w:pPr>
      <w:r>
        <w:rPr>
          <w:rFonts w:hint="eastAsia" w:cs="Times New Roman"/>
          <w:color w:val="auto"/>
          <w:szCs w:val="32"/>
          <w:lang w:val="en-US" w:eastAsia="zh-CN"/>
        </w:rPr>
        <w:t>(3)</w:t>
      </w:r>
      <w:r>
        <w:rPr>
          <w:rFonts w:hint="eastAsia" w:ascii="Times New Roman" w:hAnsi="Times New Roman" w:cs="Times New Roman"/>
          <w:color w:val="auto"/>
          <w:szCs w:val="32"/>
          <w:lang w:eastAsia="zh-CN"/>
        </w:rPr>
        <w:t>资金投向</w:t>
      </w:r>
      <w:r>
        <w:rPr>
          <w:rFonts w:hint="eastAsia" w:cs="Times New Roman"/>
          <w:color w:val="auto"/>
          <w:szCs w:val="32"/>
          <w:lang w:eastAsia="zh-CN"/>
        </w:rPr>
        <w:t>：项目资金是与项目总体规划、相关行业事业发展相匹配，聚焦重大任务、重点领域、重点环节和重点项目。体现“集中力量办大事”原则，避免“撒胡椒面”</w:t>
      </w:r>
      <w:r>
        <w:rPr>
          <w:rFonts w:hint="eastAsia" w:ascii="仿宋_GB2312" w:hAnsi="Times New Roman" w:eastAsia="仿宋_GB2312" w:cs="仿宋_GB2312"/>
          <w:sz w:val="32"/>
          <w:szCs w:val="32"/>
          <w:lang w:val="zh-CN" w:eastAsia="zh-CN" w:bidi="ar-SA"/>
        </w:rPr>
        <w:t>（</w:t>
      </w:r>
      <w:r>
        <w:rPr>
          <w:rFonts w:hint="eastAsia" w:ascii="仿宋_GB2312" w:hAnsi="Times New Roman" w:eastAsia="仿宋_GB2312" w:cs="仿宋_GB2312"/>
          <w:sz w:val="32"/>
          <w:szCs w:val="32"/>
          <w:lang w:val="en-US" w:eastAsia="zh-CN" w:bidi="ar-SA"/>
        </w:rPr>
        <w:t>得分：</w:t>
      </w:r>
      <w:r>
        <w:rPr>
          <w:rFonts w:hint="eastAsia" w:ascii="仿宋_GB2312" w:cs="仿宋_GB2312"/>
          <w:sz w:val="32"/>
          <w:szCs w:val="32"/>
          <w:lang w:val="en-US" w:eastAsia="zh-CN" w:bidi="ar-SA"/>
        </w:rPr>
        <w:t>6</w:t>
      </w:r>
      <w:r>
        <w:rPr>
          <w:rFonts w:hint="eastAsia" w:ascii="仿宋_GB2312" w:hAnsi="Times New Roman" w:eastAsia="仿宋_GB2312" w:cs="仿宋_GB2312"/>
          <w:sz w:val="32"/>
          <w:szCs w:val="32"/>
          <w:lang w:val="en-US" w:eastAsia="zh-CN" w:bidi="ar-SA"/>
        </w:rPr>
        <w:t>分</w:t>
      </w:r>
      <w:r>
        <w:rPr>
          <w:rFonts w:hint="eastAsia" w:ascii="仿宋_GB2312" w:hAnsi="Times New Roman" w:eastAsia="仿宋_GB2312" w:cs="仿宋_GB2312"/>
          <w:sz w:val="32"/>
          <w:szCs w:val="32"/>
          <w:lang w:val="zh-CN" w:eastAsia="zh-CN" w:bidi="ar-SA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/>
        <w:textAlignment w:val="auto"/>
        <w:outlineLvl w:val="9"/>
        <w:rPr>
          <w:rFonts w:hint="eastAsia" w:cs="Times New Roman"/>
          <w:szCs w:val="32"/>
          <w:lang w:val="zh-CN" w:eastAsia="zh-CN"/>
        </w:rPr>
      </w:pPr>
      <w:r>
        <w:rPr>
          <w:rFonts w:hint="eastAsia" w:ascii="楷体_GB2312" w:hAnsi="楷体_GB2312" w:eastAsia="楷体_GB2312" w:cs="楷体_GB2312"/>
          <w:color w:val="auto"/>
          <w:szCs w:val="32"/>
          <w:lang w:val="en-US" w:eastAsia="zh-CN"/>
        </w:rPr>
        <w:t>2.</w:t>
      </w:r>
      <w:r>
        <w:rPr>
          <w:rFonts w:hint="eastAsia" w:ascii="楷体_GB2312" w:hAnsi="楷体_GB2312" w:eastAsia="楷体_GB2312" w:cs="楷体_GB2312"/>
          <w:color w:val="auto"/>
          <w:szCs w:val="32"/>
          <w:lang w:eastAsia="zh-CN"/>
        </w:rPr>
        <w:t>项目管理。</w:t>
      </w:r>
      <w:r>
        <w:rPr>
          <w:rFonts w:hint="eastAsia" w:cs="Times New Roman"/>
          <w:szCs w:val="32"/>
          <w:lang w:val="zh-CN" w:eastAsia="zh-CN"/>
        </w:rPr>
        <w:t>（</w:t>
      </w:r>
      <w:r>
        <w:rPr>
          <w:rFonts w:hint="eastAsia" w:cs="Times New Roman"/>
          <w:szCs w:val="32"/>
          <w:lang w:val="en-US" w:eastAsia="zh-CN"/>
        </w:rPr>
        <w:t>得分：18分</w:t>
      </w:r>
      <w:r>
        <w:rPr>
          <w:rFonts w:hint="eastAsia" w:cs="Times New Roman"/>
          <w:szCs w:val="32"/>
          <w:lang w:val="zh-CN"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/>
        <w:textAlignment w:val="auto"/>
        <w:outlineLvl w:val="9"/>
        <w:rPr>
          <w:rFonts w:hint="eastAsia" w:cs="Times New Roman"/>
          <w:szCs w:val="32"/>
          <w:lang w:val="zh-CN" w:eastAsia="zh-CN"/>
        </w:rPr>
      </w:pPr>
      <w:bookmarkStart w:id="0" w:name="OLE_LINK4"/>
      <w:r>
        <w:rPr>
          <w:rFonts w:hint="eastAsia" w:cs="Times New Roman"/>
          <w:color w:val="auto"/>
          <w:szCs w:val="32"/>
          <w:lang w:eastAsia="zh-CN"/>
        </w:rPr>
        <w:t>（</w:t>
      </w:r>
      <w:r>
        <w:rPr>
          <w:rFonts w:hint="eastAsia" w:cs="Times New Roman"/>
          <w:color w:val="auto"/>
          <w:szCs w:val="32"/>
          <w:lang w:val="en-US" w:eastAsia="zh-CN"/>
        </w:rPr>
        <w:t>1</w:t>
      </w:r>
      <w:r>
        <w:rPr>
          <w:rFonts w:hint="eastAsia" w:cs="Times New Roman"/>
          <w:color w:val="auto"/>
          <w:szCs w:val="32"/>
          <w:lang w:eastAsia="zh-CN"/>
        </w:rPr>
        <w:t>）</w:t>
      </w:r>
      <w:r>
        <w:rPr>
          <w:rFonts w:hint="eastAsia" w:ascii="Times New Roman" w:hAnsi="Times New Roman" w:cs="Times New Roman"/>
          <w:color w:val="auto"/>
          <w:szCs w:val="32"/>
          <w:lang w:eastAsia="zh-CN"/>
        </w:rPr>
        <w:t>制度办法</w:t>
      </w:r>
      <w:r>
        <w:rPr>
          <w:rFonts w:hint="eastAsia" w:cs="Times New Roman"/>
          <w:color w:val="auto"/>
          <w:szCs w:val="32"/>
          <w:lang w:eastAsia="zh-CN"/>
        </w:rPr>
        <w:t>：</w:t>
      </w:r>
      <w:r>
        <w:rPr>
          <w:rFonts w:hint="eastAsia" w:cs="Times New Roman"/>
          <w:color w:val="auto"/>
          <w:szCs w:val="32"/>
          <w:lang w:val="en-US" w:eastAsia="zh-CN"/>
        </w:rPr>
        <w:t>根据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四川省财政厅、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国家税务总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局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四川省税务局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、四川省残疾人联合会关于印发&lt;四川省残疾人就业保</w:t>
      </w:r>
      <w:r>
        <w:rPr>
          <w:rFonts w:hint="eastAsia" w:ascii="仿宋_GB2312" w:hAnsi="仿宋_GB2312" w:eastAsia="仿宋_GB2312" w:cs="仿宋_GB2312"/>
          <w:color w:val="auto"/>
          <w:w w:val="95"/>
          <w:sz w:val="32"/>
          <w:szCs w:val="32"/>
        </w:rPr>
        <w:t>障金征收使用管理实施办法&gt;的通知》（川财</w:t>
      </w:r>
      <w:r>
        <w:rPr>
          <w:rFonts w:hint="eastAsia" w:ascii="仿宋_GB2312" w:hAnsi="仿宋_GB2312" w:eastAsia="仿宋_GB2312" w:cs="仿宋_GB2312"/>
          <w:color w:val="auto"/>
          <w:w w:val="95"/>
          <w:sz w:val="32"/>
          <w:szCs w:val="32"/>
          <w:lang w:eastAsia="zh-CN"/>
        </w:rPr>
        <w:t>规</w:t>
      </w:r>
      <w:r>
        <w:rPr>
          <w:rFonts w:hint="eastAsia" w:ascii="仿宋_GB2312" w:hAnsi="仿宋_GB2312" w:eastAsia="仿宋_GB2312" w:cs="仿宋_GB2312"/>
          <w:color w:val="auto"/>
          <w:w w:val="95"/>
          <w:sz w:val="32"/>
          <w:szCs w:val="32"/>
        </w:rPr>
        <w:t>〔20</w:t>
      </w:r>
      <w:r>
        <w:rPr>
          <w:rFonts w:hint="eastAsia" w:ascii="仿宋_GB2312" w:hAnsi="仿宋_GB2312" w:eastAsia="仿宋_GB2312" w:cs="仿宋_GB2312"/>
          <w:color w:val="auto"/>
          <w:w w:val="95"/>
          <w:sz w:val="32"/>
          <w:szCs w:val="32"/>
          <w:lang w:val="en-US" w:eastAsia="zh-CN"/>
        </w:rPr>
        <w:t>21</w:t>
      </w:r>
      <w:r>
        <w:rPr>
          <w:rFonts w:hint="eastAsia" w:ascii="仿宋_GB2312" w:hAnsi="仿宋_GB2312" w:eastAsia="仿宋_GB2312" w:cs="仿宋_GB2312"/>
          <w:color w:val="auto"/>
          <w:w w:val="95"/>
          <w:sz w:val="32"/>
          <w:szCs w:val="32"/>
        </w:rPr>
        <w:t>〕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号）</w:t>
      </w:r>
      <w:r>
        <w:rPr>
          <w:rFonts w:hint="eastAsia" w:ascii="仿宋_GB2312" w:hAnsi="仿宋_GB2312" w:cs="仿宋_GB2312"/>
          <w:color w:val="auto"/>
          <w:sz w:val="32"/>
          <w:szCs w:val="32"/>
          <w:lang w:val="en-US" w:eastAsia="zh-CN"/>
        </w:rPr>
        <w:t>等相关的残保金制度执行</w:t>
      </w:r>
      <w:r>
        <w:rPr>
          <w:rFonts w:hint="eastAsia" w:cs="Times New Roman"/>
          <w:szCs w:val="32"/>
          <w:lang w:val="zh-CN" w:eastAsia="zh-CN"/>
        </w:rPr>
        <w:t>（</w:t>
      </w:r>
      <w:r>
        <w:rPr>
          <w:rFonts w:hint="eastAsia" w:cs="Times New Roman"/>
          <w:szCs w:val="32"/>
          <w:lang w:val="en-US" w:eastAsia="zh-CN"/>
        </w:rPr>
        <w:t>得分：2分</w:t>
      </w:r>
      <w:r>
        <w:rPr>
          <w:rFonts w:hint="eastAsia" w:cs="Times New Roman"/>
          <w:szCs w:val="32"/>
          <w:lang w:val="zh-CN"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/>
        <w:textAlignment w:val="auto"/>
        <w:outlineLvl w:val="9"/>
        <w:rPr>
          <w:rFonts w:hint="eastAsia" w:ascii="Times New Roman" w:hAnsi="Times New Roman" w:cs="Times New Roman"/>
          <w:color w:val="auto"/>
          <w:szCs w:val="32"/>
          <w:lang w:eastAsia="zh-CN"/>
        </w:rPr>
      </w:pPr>
      <w:r>
        <w:rPr>
          <w:rFonts w:hint="eastAsia" w:ascii="仿宋" w:hAnsi="仿宋" w:eastAsia="仿宋"/>
          <w:color w:val="auto"/>
          <w:sz w:val="32"/>
          <w:szCs w:val="32"/>
          <w:lang w:eastAsia="zh-CN"/>
        </w:rPr>
        <w:t>（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/>
          <w:color w:val="auto"/>
          <w:sz w:val="32"/>
          <w:szCs w:val="32"/>
          <w:lang w:eastAsia="zh-CN"/>
        </w:rPr>
        <w:t>）</w:t>
      </w:r>
      <w:r>
        <w:rPr>
          <w:rFonts w:hint="eastAsia" w:ascii="Times New Roman" w:hAnsi="Times New Roman" w:cs="Times New Roman"/>
          <w:color w:val="auto"/>
          <w:szCs w:val="32"/>
          <w:lang w:eastAsia="zh-CN"/>
        </w:rPr>
        <w:t>分配管理</w:t>
      </w:r>
      <w:r>
        <w:rPr>
          <w:rFonts w:hint="eastAsia" w:cs="Times New Roman"/>
          <w:color w:val="auto"/>
          <w:szCs w:val="32"/>
          <w:lang w:eastAsia="zh-CN"/>
        </w:rPr>
        <w:t>：明确项目申报审核程序，按规定程序履行项目审批，</w:t>
      </w:r>
      <w:r>
        <w:rPr>
          <w:rFonts w:hint="eastAsia" w:cs="Times New Roman"/>
          <w:color w:val="auto"/>
          <w:szCs w:val="32"/>
          <w:lang w:val="en-US" w:eastAsia="zh-CN"/>
        </w:rPr>
        <w:t>要求残疾人事业发展资金</w:t>
      </w:r>
      <w:r>
        <w:rPr>
          <w:rFonts w:hint="eastAsia" w:ascii="Times New Roman" w:hAnsi="Times New Roman" w:cs="Times New Roman"/>
          <w:color w:val="auto"/>
          <w:szCs w:val="32"/>
          <w:lang w:eastAsia="zh-CN"/>
        </w:rPr>
        <w:t>项目</w:t>
      </w:r>
      <w:r>
        <w:rPr>
          <w:rFonts w:hint="eastAsia" w:cs="Times New Roman"/>
          <w:color w:val="auto"/>
          <w:szCs w:val="32"/>
          <w:lang w:val="en-US" w:eastAsia="zh-CN"/>
        </w:rPr>
        <w:t>用于残疾人职业培训、职业教育、职业康复</w:t>
      </w:r>
      <w:r>
        <w:rPr>
          <w:rFonts w:hint="default" w:cs="Times New Roman"/>
          <w:color w:val="auto"/>
          <w:szCs w:val="32"/>
          <w:lang w:eastAsia="zh-CN"/>
        </w:rPr>
        <w:t>以及</w:t>
      </w:r>
      <w:r>
        <w:rPr>
          <w:rFonts w:hint="eastAsia" w:cs="Times New Roman"/>
          <w:color w:val="auto"/>
          <w:szCs w:val="32"/>
          <w:lang w:val="en-US" w:eastAsia="zh-CN"/>
        </w:rPr>
        <w:t>确有困难的残疾人救急补助支出。</w:t>
      </w:r>
      <w:r>
        <w:rPr>
          <w:rFonts w:hint="eastAsia" w:cs="Times New Roman"/>
          <w:szCs w:val="32"/>
          <w:lang w:val="zh-CN" w:eastAsia="zh-CN"/>
        </w:rPr>
        <w:t>（</w:t>
      </w:r>
      <w:r>
        <w:rPr>
          <w:rFonts w:hint="eastAsia" w:cs="Times New Roman"/>
          <w:szCs w:val="32"/>
          <w:lang w:val="en-US" w:eastAsia="zh-CN"/>
        </w:rPr>
        <w:t>得分：10分</w:t>
      </w:r>
      <w:r>
        <w:rPr>
          <w:rFonts w:hint="eastAsia" w:cs="Times New Roman"/>
          <w:szCs w:val="32"/>
          <w:lang w:val="zh-CN"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/>
        <w:textAlignment w:val="auto"/>
        <w:outlineLvl w:val="9"/>
        <w:rPr>
          <w:rFonts w:hint="eastAsia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cs="Times New Roman"/>
          <w:color w:val="auto"/>
          <w:szCs w:val="32"/>
          <w:lang w:eastAsia="zh-CN"/>
        </w:rPr>
        <w:t>（</w:t>
      </w:r>
      <w:r>
        <w:rPr>
          <w:rFonts w:hint="eastAsia" w:cs="Times New Roman"/>
          <w:color w:val="auto"/>
          <w:szCs w:val="32"/>
          <w:lang w:val="en-US" w:eastAsia="zh-CN"/>
        </w:rPr>
        <w:t>3</w:t>
      </w:r>
      <w:r>
        <w:rPr>
          <w:rFonts w:hint="eastAsia" w:cs="Times New Roman"/>
          <w:color w:val="auto"/>
          <w:szCs w:val="32"/>
          <w:lang w:eastAsia="zh-CN"/>
        </w:rPr>
        <w:t>）</w:t>
      </w:r>
      <w:r>
        <w:rPr>
          <w:rFonts w:hint="eastAsia" w:ascii="Times New Roman" w:hAnsi="Times New Roman" w:cs="Times New Roman"/>
          <w:color w:val="auto"/>
          <w:szCs w:val="32"/>
          <w:lang w:eastAsia="zh-CN"/>
        </w:rPr>
        <w:t>绩效监管</w:t>
      </w:r>
      <w:r>
        <w:rPr>
          <w:rFonts w:hint="eastAsia" w:cs="Times New Roman"/>
          <w:color w:val="auto"/>
          <w:szCs w:val="32"/>
          <w:lang w:eastAsia="zh-CN"/>
        </w:rPr>
        <w:t>：</w:t>
      </w:r>
      <w:r>
        <w:rPr>
          <w:rFonts w:hint="eastAsia" w:ascii="Times New Roman" w:hAnsi="Times New Roman" w:cs="Times New Roman"/>
          <w:color w:val="auto"/>
          <w:szCs w:val="32"/>
          <w:lang w:eastAsia="zh-CN"/>
        </w:rPr>
        <w:t>审批符合</w:t>
      </w:r>
      <w:r>
        <w:rPr>
          <w:rFonts w:hint="eastAsia" w:cs="Times New Roman"/>
          <w:color w:val="auto"/>
          <w:szCs w:val="32"/>
          <w:lang w:val="en-US" w:eastAsia="zh-CN"/>
        </w:rPr>
        <w:t>专项项目</w:t>
      </w:r>
      <w:r>
        <w:rPr>
          <w:rFonts w:hint="eastAsia" w:ascii="Times New Roman" w:hAnsi="Times New Roman" w:cs="Times New Roman"/>
          <w:color w:val="auto"/>
          <w:szCs w:val="32"/>
          <w:lang w:eastAsia="zh-CN"/>
        </w:rPr>
        <w:t>管理要求</w:t>
      </w:r>
      <w:r>
        <w:rPr>
          <w:rFonts w:hint="eastAsia" w:cs="Times New Roman"/>
          <w:color w:val="auto"/>
          <w:szCs w:val="32"/>
          <w:lang w:eastAsia="zh-CN"/>
        </w:rPr>
        <w:t>。建立健全预算执行动态监控机制和内部监督检查机制,切实履行内部监督职责。</w:t>
      </w:r>
      <w:r>
        <w:rPr>
          <w:rFonts w:hint="eastAsia" w:cs="Times New Roman"/>
          <w:color w:val="auto"/>
          <w:szCs w:val="32"/>
          <w:lang w:val="en-US" w:eastAsia="zh-CN"/>
        </w:rPr>
        <w:t>但</w:t>
      </w:r>
      <w:r>
        <w:rPr>
          <w:rFonts w:hint="eastAsia" w:ascii="仿宋_GB2312" w:hAnsi="仿宋_GB2312" w:eastAsia="仿宋_GB2312" w:cs="仿宋_GB2312"/>
          <w:b w:val="0"/>
          <w:bCs w:val="0"/>
          <w:w w:val="95"/>
          <w:kern w:val="0"/>
          <w:position w:val="0"/>
          <w:sz w:val="32"/>
          <w:szCs w:val="32"/>
          <w:highlight w:val="none"/>
          <w:lang w:val="en-US" w:eastAsia="zh-CN" w:bidi="ar-SA"/>
        </w:rPr>
        <w:t>绩效考核意识有待进一步加强，内部绩效管理制度还不够完善，评价体系有待进一步健全。</w:t>
      </w:r>
      <w:r>
        <w:rPr>
          <w:rFonts w:hint="eastAsia" w:cs="Times New Roman"/>
          <w:szCs w:val="32"/>
          <w:lang w:val="zh-CN" w:eastAsia="zh-CN"/>
        </w:rPr>
        <w:t>（</w:t>
      </w:r>
      <w:r>
        <w:rPr>
          <w:rFonts w:hint="eastAsia" w:cs="Times New Roman"/>
          <w:szCs w:val="32"/>
          <w:lang w:val="en-US" w:eastAsia="zh-CN"/>
        </w:rPr>
        <w:t>得分：6分</w:t>
      </w:r>
      <w:r>
        <w:rPr>
          <w:rFonts w:hint="eastAsia" w:cs="Times New Roman"/>
          <w:szCs w:val="32"/>
          <w:lang w:val="zh-CN" w:eastAsia="zh-CN"/>
        </w:rPr>
        <w:t>）</w:t>
      </w:r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/>
        <w:textAlignment w:val="auto"/>
        <w:outlineLvl w:val="9"/>
        <w:rPr>
          <w:rFonts w:hint="eastAsia" w:cs="Times New Roman"/>
          <w:szCs w:val="32"/>
          <w:lang w:val="zh-CN" w:eastAsia="zh-CN"/>
        </w:rPr>
      </w:pPr>
      <w:r>
        <w:rPr>
          <w:rFonts w:hint="eastAsia" w:ascii="楷体_GB2312" w:hAnsi="楷体_GB2312" w:eastAsia="楷体_GB2312" w:cs="楷体_GB2312"/>
          <w:color w:val="auto"/>
          <w:szCs w:val="32"/>
          <w:lang w:val="en-US" w:eastAsia="zh-CN"/>
        </w:rPr>
        <w:t>3.项目实施。</w:t>
      </w:r>
      <w:r>
        <w:rPr>
          <w:rFonts w:hint="eastAsia" w:cs="Times New Roman"/>
          <w:szCs w:val="32"/>
          <w:lang w:val="zh-CN" w:eastAsia="zh-CN"/>
        </w:rPr>
        <w:t>（</w:t>
      </w:r>
      <w:r>
        <w:rPr>
          <w:rFonts w:hint="eastAsia" w:cs="Times New Roman"/>
          <w:szCs w:val="32"/>
          <w:lang w:val="en-US" w:eastAsia="zh-CN"/>
        </w:rPr>
        <w:t>得分：9分</w:t>
      </w:r>
      <w:r>
        <w:rPr>
          <w:rFonts w:hint="eastAsia" w:cs="Times New Roman"/>
          <w:szCs w:val="32"/>
          <w:lang w:val="zh-CN"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/>
        <w:textAlignment w:val="auto"/>
        <w:outlineLvl w:val="9"/>
        <w:rPr>
          <w:rFonts w:hint="eastAsia" w:ascii="Times New Roman" w:hAnsi="Times New Roman" w:cs="Times New Roman"/>
          <w:color w:val="auto"/>
          <w:szCs w:val="32"/>
          <w:lang w:eastAsia="zh-CN"/>
        </w:rPr>
      </w:pPr>
      <w:bookmarkStart w:id="1" w:name="OLE_LINK5"/>
      <w:r>
        <w:rPr>
          <w:rFonts w:hint="eastAsia" w:cs="Times New Roman"/>
          <w:color w:val="auto"/>
          <w:szCs w:val="32"/>
          <w:lang w:eastAsia="zh-CN"/>
        </w:rPr>
        <w:t>（</w:t>
      </w:r>
      <w:r>
        <w:rPr>
          <w:rFonts w:hint="eastAsia" w:cs="Times New Roman"/>
          <w:color w:val="auto"/>
          <w:szCs w:val="32"/>
          <w:lang w:val="en-US" w:eastAsia="zh-CN"/>
        </w:rPr>
        <w:t>1</w:t>
      </w:r>
      <w:r>
        <w:rPr>
          <w:rFonts w:hint="eastAsia" w:cs="Times New Roman"/>
          <w:color w:val="auto"/>
          <w:szCs w:val="32"/>
          <w:lang w:eastAsia="zh-CN"/>
        </w:rPr>
        <w:t>）</w:t>
      </w:r>
      <w:r>
        <w:rPr>
          <w:rFonts w:hint="eastAsia" w:ascii="Times New Roman" w:hAnsi="Times New Roman" w:cs="Times New Roman"/>
          <w:color w:val="auto"/>
          <w:szCs w:val="32"/>
          <w:lang w:eastAsia="zh-CN"/>
        </w:rPr>
        <w:t>预算</w:t>
      </w:r>
      <w:r>
        <w:rPr>
          <w:rFonts w:hint="eastAsia" w:eastAsia="仿宋_GB2312" w:cs="Times New Roman"/>
          <w:color w:val="auto"/>
          <w:szCs w:val="32"/>
          <w:lang w:val="zh-CN" w:eastAsia="zh-CN"/>
        </w:rPr>
        <w:t>执行</w:t>
      </w:r>
      <w:r>
        <w:rPr>
          <w:rFonts w:hint="eastAsia" w:cs="Times New Roman"/>
          <w:color w:val="auto"/>
          <w:szCs w:val="32"/>
          <w:lang w:val="zh-CN" w:eastAsia="zh-CN"/>
        </w:rPr>
        <w:t>：</w:t>
      </w:r>
      <w:r>
        <w:rPr>
          <w:rFonts w:hint="eastAsia" w:cs="Times New Roman"/>
          <w:color w:val="auto"/>
          <w:szCs w:val="32"/>
          <w:lang w:val="en-US" w:eastAsia="zh-CN"/>
        </w:rPr>
        <w:t>2024年</w:t>
      </w:r>
      <w:r>
        <w:rPr>
          <w:rFonts w:hint="eastAsia" w:ascii="仿宋_GB2312"/>
          <w:lang w:val="en-US" w:eastAsia="zh-CN"/>
        </w:rPr>
        <w:t>残疾</w:t>
      </w:r>
      <w:r>
        <w:rPr>
          <w:rFonts w:hint="default" w:ascii="仿宋_GB2312"/>
          <w:lang w:eastAsia="zh-CN"/>
        </w:rPr>
        <w:t>人</w:t>
      </w:r>
      <w:r>
        <w:rPr>
          <w:rFonts w:hint="eastAsia" w:ascii="仿宋_GB2312"/>
          <w:lang w:val="en-US" w:eastAsia="zh-CN"/>
        </w:rPr>
        <w:t>事业发展资金</w:t>
      </w:r>
      <w:r>
        <w:rPr>
          <w:rFonts w:hint="eastAsia" w:ascii="仿宋_GB2312" w:eastAsia="仿宋_GB2312"/>
        </w:rPr>
        <w:t>项目申报预算</w:t>
      </w:r>
      <w:r>
        <w:rPr>
          <w:rFonts w:hint="eastAsia" w:ascii="仿宋_GB2312"/>
          <w:highlight w:val="none"/>
          <w:lang w:val="en-US" w:eastAsia="zh-CN"/>
        </w:rPr>
        <w:t>179.82</w:t>
      </w:r>
      <w:r>
        <w:rPr>
          <w:rFonts w:hint="eastAsia" w:ascii="仿宋_GB2312" w:eastAsia="仿宋_GB2312"/>
        </w:rPr>
        <w:t>万元，</w:t>
      </w:r>
      <w:r>
        <w:rPr>
          <w:rFonts w:hint="eastAsia" w:ascii="仿宋_GB2312"/>
          <w:lang w:val="en-US" w:eastAsia="zh-CN"/>
        </w:rPr>
        <w:t>实际预算</w:t>
      </w:r>
      <w:r>
        <w:rPr>
          <w:rFonts w:hint="eastAsia" w:ascii="仿宋_GB2312" w:eastAsia="仿宋_GB2312"/>
        </w:rPr>
        <w:t>为</w:t>
      </w:r>
      <w:r>
        <w:rPr>
          <w:rFonts w:hint="eastAsia" w:ascii="仿宋_GB2312"/>
          <w:highlight w:val="none"/>
          <w:lang w:val="en-US" w:eastAsia="zh-CN"/>
        </w:rPr>
        <w:t>179.82</w:t>
      </w:r>
      <w:r>
        <w:rPr>
          <w:rFonts w:hint="eastAsia" w:ascii="仿宋_GB2312" w:eastAsia="仿宋_GB2312"/>
        </w:rPr>
        <w:t>万元，</w:t>
      </w:r>
      <w:r>
        <w:rPr>
          <w:rFonts w:hint="eastAsia" w:ascii="仿宋_GB2312"/>
          <w:lang w:val="en-US" w:eastAsia="zh-CN"/>
        </w:rPr>
        <w:t>全年执行资金为</w:t>
      </w:r>
      <w:r>
        <w:rPr>
          <w:rFonts w:hint="eastAsia" w:ascii="仿宋_GB2312"/>
          <w:highlight w:val="none"/>
          <w:lang w:val="en-US" w:eastAsia="zh-CN"/>
        </w:rPr>
        <w:t>179.82</w:t>
      </w:r>
      <w:r>
        <w:rPr>
          <w:rFonts w:hint="eastAsia" w:ascii="仿宋_GB2312"/>
          <w:lang w:val="en-US" w:eastAsia="zh-CN"/>
        </w:rPr>
        <w:t>万元，执行率为100%</w:t>
      </w:r>
      <w:r>
        <w:rPr>
          <w:rFonts w:hint="eastAsia" w:ascii="仿宋_GB2312" w:eastAsia="仿宋_GB2312"/>
        </w:rPr>
        <w:t>资金来源为</w:t>
      </w:r>
      <w:r>
        <w:rPr>
          <w:rFonts w:hint="eastAsia" w:ascii="仿宋_GB2312"/>
          <w:lang w:val="en-US" w:eastAsia="zh-CN"/>
        </w:rPr>
        <w:t>中央、省级和县级资金。</w:t>
      </w:r>
      <w:r>
        <w:rPr>
          <w:rFonts w:hint="eastAsia" w:cs="Times New Roman"/>
          <w:szCs w:val="32"/>
          <w:lang w:val="zh-CN" w:eastAsia="zh-CN"/>
        </w:rPr>
        <w:t>（</w:t>
      </w:r>
      <w:r>
        <w:rPr>
          <w:rFonts w:hint="eastAsia" w:cs="Times New Roman"/>
          <w:szCs w:val="32"/>
          <w:lang w:val="en-US" w:eastAsia="zh-CN"/>
        </w:rPr>
        <w:t>得分：6分</w:t>
      </w:r>
      <w:r>
        <w:rPr>
          <w:rFonts w:hint="eastAsia" w:cs="Times New Roman"/>
          <w:szCs w:val="32"/>
          <w:lang w:val="zh-CN"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/>
        <w:textAlignment w:val="auto"/>
        <w:outlineLvl w:val="9"/>
        <w:rPr>
          <w:rFonts w:hint="eastAsia" w:ascii="仿宋_GB2312" w:hAnsi="Times New Roman" w:cs="Times New Roman"/>
          <w:lang w:val="en-US" w:eastAsia="zh-CN"/>
        </w:rPr>
      </w:pPr>
      <w:r>
        <w:rPr>
          <w:rFonts w:hint="eastAsia" w:cs="Times New Roman"/>
          <w:color w:val="auto"/>
          <w:szCs w:val="32"/>
          <w:lang w:eastAsia="zh-CN"/>
        </w:rPr>
        <w:t>（</w:t>
      </w:r>
      <w:r>
        <w:rPr>
          <w:rFonts w:hint="eastAsia" w:cs="Times New Roman"/>
          <w:color w:val="auto"/>
          <w:szCs w:val="32"/>
          <w:lang w:val="en-US" w:eastAsia="zh-CN"/>
        </w:rPr>
        <w:t>2</w:t>
      </w:r>
      <w:r>
        <w:rPr>
          <w:rFonts w:hint="eastAsia" w:cs="Times New Roman"/>
          <w:color w:val="auto"/>
          <w:szCs w:val="32"/>
          <w:lang w:eastAsia="zh-CN"/>
        </w:rPr>
        <w:t>）</w:t>
      </w:r>
      <w:r>
        <w:rPr>
          <w:rFonts w:hint="eastAsia" w:ascii="Times New Roman" w:hAnsi="Times New Roman" w:cs="Times New Roman"/>
          <w:color w:val="auto"/>
          <w:szCs w:val="32"/>
          <w:lang w:eastAsia="zh-CN"/>
        </w:rPr>
        <w:t>资金使用</w:t>
      </w:r>
      <w:r>
        <w:rPr>
          <w:rFonts w:hint="eastAsia" w:cs="Times New Roman"/>
          <w:color w:val="auto"/>
          <w:szCs w:val="32"/>
          <w:lang w:eastAsia="zh-CN"/>
        </w:rPr>
        <w:t>：</w:t>
      </w:r>
      <w:r>
        <w:rPr>
          <w:rFonts w:hint="eastAsia" w:ascii="仿宋_GB2312" w:hAnsi="Times New Roman" w:cs="Times New Roman"/>
          <w:lang w:val="zh-CN" w:eastAsia="zh-CN"/>
        </w:rPr>
        <w:t>截止</w:t>
      </w:r>
      <w:r>
        <w:rPr>
          <w:rFonts w:hint="eastAsia" w:ascii="仿宋_GB2312" w:cs="Times New Roman"/>
          <w:lang w:val="en-US" w:eastAsia="zh-CN"/>
        </w:rPr>
        <w:t>2024</w:t>
      </w:r>
      <w:r>
        <w:rPr>
          <w:rFonts w:hint="eastAsia" w:ascii="仿宋_GB2312" w:hAnsi="Times New Roman" w:cs="Times New Roman"/>
          <w:lang w:val="zh-CN" w:eastAsia="zh-CN"/>
        </w:rPr>
        <w:t>年</w:t>
      </w:r>
      <w:r>
        <w:rPr>
          <w:rFonts w:hint="eastAsia" w:ascii="仿宋_GB2312" w:hAnsi="Times New Roman" w:cs="Times New Roman"/>
          <w:lang w:val="en-US" w:eastAsia="zh-CN"/>
        </w:rPr>
        <w:t>12</w:t>
      </w:r>
      <w:r>
        <w:rPr>
          <w:rFonts w:hint="eastAsia" w:ascii="仿宋_GB2312" w:hAnsi="Times New Roman" w:cs="Times New Roman"/>
          <w:lang w:val="zh-CN" w:eastAsia="zh-CN"/>
        </w:rPr>
        <w:t>月31日已完成预算指标</w:t>
      </w:r>
      <w:r>
        <w:rPr>
          <w:rFonts w:hint="eastAsia" w:ascii="仿宋_GB2312" w:cs="Times New Roman"/>
          <w:highlight w:val="none"/>
          <w:lang w:val="en-US" w:eastAsia="zh-CN"/>
        </w:rPr>
        <w:t>179.82</w:t>
      </w:r>
      <w:r>
        <w:rPr>
          <w:rFonts w:hint="eastAsia" w:ascii="仿宋_GB2312" w:hAnsi="Times New Roman" w:cs="Times New Roman"/>
          <w:lang w:val="zh-CN" w:eastAsia="zh-CN"/>
        </w:rPr>
        <w:t>万元，完成率</w:t>
      </w:r>
      <w:r>
        <w:rPr>
          <w:rFonts w:hint="eastAsia" w:ascii="仿宋_GB2312" w:hAnsi="Times New Roman" w:cs="Times New Roman"/>
          <w:lang w:val="en-US" w:eastAsia="zh-CN"/>
        </w:rPr>
        <w:t>100</w:t>
      </w:r>
      <w:r>
        <w:rPr>
          <w:rFonts w:hint="eastAsia" w:ascii="仿宋_GB2312" w:hAnsi="Times New Roman" w:cs="Times New Roman"/>
          <w:lang w:val="zh-CN" w:eastAsia="zh-CN"/>
        </w:rPr>
        <w:t>%；中期评估为良好，本着节能降耗的原则，降低能源消耗，取得了较好的成效</w:t>
      </w:r>
      <w:r>
        <w:rPr>
          <w:rFonts w:hint="eastAsia" w:ascii="仿宋_GB2312" w:hAnsi="Times New Roman" w:cs="Times New Roman"/>
          <w:lang w:val="en-US" w:eastAsia="zh-CN"/>
        </w:rPr>
        <w:t>。项目资金使用、拨付符合国家财经法规、财务管理制度及有关专项资金管理制度办法规定和审批程序，不存在超范围、超标准、超进度使用专项资金，不存在资金损失浪费、长期沉淀、截留、挤占、挪用、虚列支出等情况，项目实施遵守相关法律法规。</w:t>
      </w:r>
      <w:r>
        <w:rPr>
          <w:rFonts w:hint="eastAsia" w:cs="Times New Roman"/>
          <w:szCs w:val="32"/>
          <w:lang w:val="zh-CN" w:eastAsia="zh-CN"/>
        </w:rPr>
        <w:t>（</w:t>
      </w:r>
      <w:r>
        <w:rPr>
          <w:rFonts w:hint="eastAsia" w:cs="Times New Roman"/>
          <w:szCs w:val="32"/>
          <w:lang w:val="en-US" w:eastAsia="zh-CN"/>
        </w:rPr>
        <w:t>得分：3分</w:t>
      </w:r>
      <w:r>
        <w:rPr>
          <w:rFonts w:hint="eastAsia" w:cs="Times New Roman"/>
          <w:szCs w:val="32"/>
          <w:lang w:val="zh-CN" w:eastAsia="zh-CN"/>
        </w:rPr>
        <w:t>）</w:t>
      </w:r>
    </w:p>
    <w:bookmarkEnd w:id="1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/>
        <w:textAlignment w:val="auto"/>
        <w:outlineLvl w:val="9"/>
        <w:rPr>
          <w:rFonts w:hint="eastAsia" w:ascii="Times New Roman" w:hAnsi="Times New Roman" w:cs="Times New Roman"/>
          <w:color w:val="auto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color w:val="auto"/>
          <w:szCs w:val="32"/>
          <w:lang w:val="en-US" w:eastAsia="zh-CN"/>
        </w:rPr>
        <w:t>4.项目结果。</w:t>
      </w:r>
      <w:r>
        <w:rPr>
          <w:rFonts w:hint="eastAsia" w:cs="Times New Roman"/>
          <w:szCs w:val="32"/>
          <w:lang w:val="zh-CN" w:eastAsia="zh-CN"/>
        </w:rPr>
        <w:t>（</w:t>
      </w:r>
      <w:r>
        <w:rPr>
          <w:rFonts w:hint="eastAsia" w:cs="Times New Roman"/>
          <w:szCs w:val="32"/>
          <w:lang w:val="en-US" w:eastAsia="zh-CN"/>
        </w:rPr>
        <w:t>得分：6分</w:t>
      </w:r>
      <w:r>
        <w:rPr>
          <w:rFonts w:hint="eastAsia" w:cs="Times New Roman"/>
          <w:szCs w:val="32"/>
          <w:lang w:val="zh-CN"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/>
        <w:textAlignment w:val="auto"/>
        <w:outlineLvl w:val="9"/>
        <w:rPr>
          <w:rFonts w:hint="eastAsia" w:cs="Times New Roman"/>
          <w:color w:val="auto"/>
          <w:szCs w:val="32"/>
          <w:lang w:eastAsia="zh-CN"/>
        </w:rPr>
      </w:pPr>
      <w:bookmarkStart w:id="2" w:name="OLE_LINK6"/>
      <w:r>
        <w:rPr>
          <w:rFonts w:hint="eastAsia" w:cs="Times New Roman"/>
          <w:color w:val="auto"/>
          <w:szCs w:val="32"/>
          <w:lang w:val="en-US" w:eastAsia="zh-CN"/>
        </w:rPr>
        <w:t>（1）</w:t>
      </w:r>
      <w:r>
        <w:rPr>
          <w:rFonts w:hint="eastAsia" w:ascii="Times New Roman" w:hAnsi="Times New Roman" w:cs="Times New Roman"/>
          <w:color w:val="auto"/>
          <w:szCs w:val="32"/>
          <w:lang w:eastAsia="zh-CN"/>
        </w:rPr>
        <w:t>目标完成</w:t>
      </w:r>
      <w:r>
        <w:rPr>
          <w:rFonts w:hint="eastAsia" w:cs="Times New Roman"/>
          <w:color w:val="auto"/>
          <w:szCs w:val="32"/>
          <w:lang w:eastAsia="zh-CN"/>
        </w:rPr>
        <w:t>：</w:t>
      </w:r>
      <w:r>
        <w:rPr>
          <w:rFonts w:hint="eastAsia" w:ascii="仿宋_GB2312"/>
          <w:lang w:val="en-US" w:eastAsia="zh-CN"/>
        </w:rPr>
        <w:t>残疾</w:t>
      </w:r>
      <w:r>
        <w:rPr>
          <w:rFonts w:hint="default" w:ascii="仿宋_GB2312"/>
          <w:lang w:eastAsia="zh-CN"/>
        </w:rPr>
        <w:t>人</w:t>
      </w:r>
      <w:r>
        <w:rPr>
          <w:rFonts w:hint="eastAsia" w:ascii="仿宋_GB2312"/>
          <w:lang w:val="en-US" w:eastAsia="zh-CN"/>
        </w:rPr>
        <w:t>事业发展资金</w:t>
      </w:r>
      <w:r>
        <w:rPr>
          <w:rFonts w:hint="eastAsia" w:cs="Times New Roman"/>
          <w:color w:val="auto"/>
          <w:szCs w:val="32"/>
          <w:lang w:eastAsia="zh-CN"/>
        </w:rPr>
        <w:t>项目完成</w:t>
      </w:r>
      <w:r>
        <w:rPr>
          <w:rFonts w:hint="eastAsia" w:cs="Times New Roman"/>
          <w:color w:val="auto"/>
          <w:szCs w:val="32"/>
          <w:lang w:val="en-US" w:eastAsia="zh-CN"/>
        </w:rPr>
        <w:t>了发放残疾人补助金、开展残疾人职业培训以及帮助残疾儿童康复等</w:t>
      </w:r>
      <w:r>
        <w:rPr>
          <w:rFonts w:hint="eastAsia" w:cs="Times New Roman"/>
          <w:color w:val="auto"/>
          <w:szCs w:val="32"/>
          <w:lang w:eastAsia="zh-CN"/>
        </w:rPr>
        <w:t>目标，实施结果与绩效目标相匹配</w:t>
      </w:r>
      <w:r>
        <w:rPr>
          <w:rFonts w:hint="eastAsia" w:ascii="楷体_GB2312" w:hAnsi="楷体_GB2312" w:eastAsia="楷体_GB2312" w:cs="楷体_GB2312"/>
          <w:color w:val="auto"/>
          <w:szCs w:val="32"/>
          <w:lang w:val="en-US" w:eastAsia="zh-CN"/>
        </w:rPr>
        <w:t>。</w:t>
      </w:r>
      <w:r>
        <w:rPr>
          <w:rFonts w:hint="eastAsia" w:cs="Times New Roman"/>
          <w:szCs w:val="32"/>
          <w:lang w:val="zh-CN" w:eastAsia="zh-CN"/>
        </w:rPr>
        <w:t>（</w:t>
      </w:r>
      <w:r>
        <w:rPr>
          <w:rFonts w:hint="eastAsia" w:cs="Times New Roman"/>
          <w:szCs w:val="32"/>
          <w:lang w:val="en-US" w:eastAsia="zh-CN"/>
        </w:rPr>
        <w:t>得分：6分</w:t>
      </w:r>
      <w:r>
        <w:rPr>
          <w:rFonts w:hint="eastAsia" w:cs="Times New Roman"/>
          <w:szCs w:val="32"/>
          <w:lang w:val="zh-CN"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640" w:leftChars="200" w:firstLine="0" w:firstLineChars="0"/>
        <w:textAlignment w:val="auto"/>
        <w:outlineLvl w:val="9"/>
        <w:rPr>
          <w:rFonts w:hint="default" w:ascii="Times New Roman" w:hAnsi="Times New Roman" w:cs="Times New Roman"/>
          <w:color w:val="auto"/>
          <w:szCs w:val="32"/>
          <w:lang w:val="en-US" w:eastAsia="zh-CN"/>
        </w:rPr>
      </w:pPr>
      <w:r>
        <w:rPr>
          <w:rFonts w:hint="eastAsia" w:cs="Times New Roman"/>
          <w:color w:val="auto"/>
          <w:szCs w:val="32"/>
          <w:lang w:eastAsia="zh-CN"/>
        </w:rPr>
        <w:t>（</w:t>
      </w:r>
      <w:r>
        <w:rPr>
          <w:rFonts w:hint="eastAsia" w:cs="Times New Roman"/>
          <w:color w:val="auto"/>
          <w:szCs w:val="32"/>
          <w:lang w:val="en-US" w:eastAsia="zh-CN"/>
        </w:rPr>
        <w:t>2</w:t>
      </w:r>
      <w:r>
        <w:rPr>
          <w:rFonts w:hint="eastAsia" w:cs="Times New Roman"/>
          <w:color w:val="auto"/>
          <w:szCs w:val="32"/>
          <w:lang w:eastAsia="zh-CN"/>
        </w:rPr>
        <w:t>）</w:t>
      </w:r>
      <w:r>
        <w:rPr>
          <w:rFonts w:hint="eastAsia" w:ascii="Times New Roman" w:hAnsi="Times New Roman" w:cs="Times New Roman"/>
          <w:color w:val="auto"/>
          <w:szCs w:val="32"/>
          <w:lang w:eastAsia="zh-CN"/>
        </w:rPr>
        <w:t>完成时效</w:t>
      </w:r>
      <w:r>
        <w:rPr>
          <w:rFonts w:hint="eastAsia" w:cs="Times New Roman"/>
          <w:color w:val="auto"/>
          <w:szCs w:val="32"/>
          <w:lang w:eastAsia="zh-CN"/>
        </w:rPr>
        <w:t>：</w:t>
      </w: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我单位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2024</w:t>
      </w: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年度项目</w:t>
      </w:r>
      <w:r>
        <w:rPr>
          <w:rFonts w:hint="eastAsia" w:ascii="仿宋_GB2312"/>
          <w:lang w:val="en-US" w:eastAsia="zh-CN"/>
        </w:rPr>
        <w:t>残疾</w:t>
      </w:r>
      <w:r>
        <w:rPr>
          <w:rFonts w:hint="default" w:ascii="仿宋_GB2312"/>
          <w:lang w:eastAsia="zh-CN"/>
        </w:rPr>
        <w:t>人</w:t>
      </w:r>
      <w:bookmarkStart w:id="6" w:name="_GoBack"/>
      <w:bookmarkEnd w:id="6"/>
      <w:r>
        <w:rPr>
          <w:rFonts w:hint="eastAsia" w:ascii="仿宋_GB2312"/>
          <w:lang w:val="en-US" w:eastAsia="zh-CN"/>
        </w:rPr>
        <w:t>事业发展资金实际完成时间与计划完成时间的相符。</w:t>
      </w:r>
      <w:r>
        <w:rPr>
          <w:rFonts w:hint="eastAsia" w:cs="Times New Roman"/>
          <w:szCs w:val="32"/>
          <w:lang w:val="zh-CN" w:eastAsia="zh-CN"/>
        </w:rPr>
        <w:t>（</w:t>
      </w:r>
      <w:r>
        <w:rPr>
          <w:rFonts w:hint="eastAsia" w:cs="Times New Roman"/>
          <w:szCs w:val="32"/>
          <w:lang w:val="en-US" w:eastAsia="zh-CN"/>
        </w:rPr>
        <w:t>得分：3分</w:t>
      </w:r>
      <w:r>
        <w:rPr>
          <w:rFonts w:hint="eastAsia" w:cs="Times New Roman"/>
          <w:szCs w:val="32"/>
          <w:lang w:val="zh-CN" w:eastAsia="zh-CN"/>
        </w:rPr>
        <w:t>）</w:t>
      </w:r>
    </w:p>
    <w:bookmarkEnd w:id="2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640" w:leftChars="200" w:firstLine="0" w:firstLineChars="0"/>
        <w:textAlignment w:val="auto"/>
        <w:outlineLvl w:val="9"/>
        <w:rPr>
          <w:rFonts w:hint="eastAsia" w:ascii="楷体_GB2312" w:hAnsi="楷体_GB2312" w:eastAsia="楷体_GB2312" w:cs="楷体_GB2312"/>
          <w:color w:val="auto"/>
          <w:szCs w:val="32"/>
          <w:lang w:val="zh-CN" w:eastAsia="zh-CN"/>
        </w:rPr>
      </w:pPr>
      <w:r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zh-CN"/>
        </w:rPr>
        <w:t>（二）</w:t>
      </w:r>
      <w:r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en-US" w:eastAsia="zh-CN"/>
        </w:rPr>
        <w:t>专用指标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绩效分析。</w:t>
      </w:r>
      <w:r>
        <w:rPr>
          <w:rFonts w:hint="eastAsia" w:cs="Times New Roman"/>
          <w:szCs w:val="32"/>
          <w:lang w:val="zh-CN" w:eastAsia="zh-CN"/>
        </w:rPr>
        <w:t>（</w:t>
      </w:r>
      <w:r>
        <w:rPr>
          <w:rFonts w:hint="eastAsia" w:cs="Times New Roman"/>
          <w:szCs w:val="32"/>
          <w:lang w:val="en-US" w:eastAsia="zh-CN"/>
        </w:rPr>
        <w:t>得分：30分</w:t>
      </w:r>
      <w:r>
        <w:rPr>
          <w:rFonts w:hint="eastAsia" w:cs="Times New Roman"/>
          <w:szCs w:val="32"/>
          <w:lang w:val="zh-CN"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leftChars="0" w:firstLine="640" w:firstLineChars="200"/>
        <w:textAlignment w:val="auto"/>
        <w:outlineLvl w:val="9"/>
        <w:rPr>
          <w:rFonts w:hint="eastAsia" w:cs="Times New Roman"/>
          <w:szCs w:val="32"/>
          <w:lang w:val="zh-CN" w:eastAsia="zh-CN"/>
        </w:rPr>
      </w:pPr>
      <w:bookmarkStart w:id="3" w:name="OLE_LINK3"/>
      <w:r>
        <w:rPr>
          <w:rFonts w:hint="eastAsia" w:ascii="楷体_GB2312" w:hAnsi="楷体_GB2312" w:eastAsia="楷体_GB2312" w:cs="楷体_GB2312"/>
          <w:color w:val="auto"/>
          <w:szCs w:val="32"/>
          <w:lang w:val="en-US" w:eastAsia="zh-CN"/>
        </w:rPr>
        <w:t>1.</w:t>
      </w:r>
      <w:r>
        <w:rPr>
          <w:rFonts w:hint="eastAsia" w:ascii="楷体_GB2312" w:hAnsi="楷体_GB2312" w:eastAsia="楷体_GB2312" w:cs="楷体_GB2312"/>
          <w:color w:val="auto"/>
          <w:szCs w:val="32"/>
          <w:lang w:val="zh-CN" w:eastAsia="zh-CN"/>
        </w:rPr>
        <w:t>行政运转。</w:t>
      </w:r>
      <w:r>
        <w:rPr>
          <w:rFonts w:hint="eastAsia" w:cs="Times New Roman"/>
          <w:szCs w:val="32"/>
          <w:lang w:val="zh-CN" w:eastAsia="zh-CN"/>
        </w:rPr>
        <w:t>（</w:t>
      </w:r>
      <w:r>
        <w:rPr>
          <w:rFonts w:hint="eastAsia" w:cs="Times New Roman"/>
          <w:szCs w:val="32"/>
          <w:lang w:val="en-US" w:eastAsia="zh-CN"/>
        </w:rPr>
        <w:t>得分：30分</w:t>
      </w:r>
      <w:r>
        <w:rPr>
          <w:rFonts w:hint="eastAsia" w:cs="Times New Roman"/>
          <w:szCs w:val="32"/>
          <w:lang w:val="zh-CN"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640" w:leftChars="200" w:firstLine="0" w:firstLineChars="0"/>
        <w:textAlignment w:val="auto"/>
        <w:outlineLvl w:val="9"/>
        <w:rPr>
          <w:rFonts w:hint="eastAsia" w:ascii="楷体_GB2312" w:hAnsi="楷体_GB2312" w:eastAsia="楷体_GB2312" w:cs="楷体_GB2312"/>
          <w:color w:val="auto"/>
          <w:szCs w:val="32"/>
          <w:lang w:val="zh-CN" w:eastAsia="zh-CN"/>
        </w:rPr>
      </w:pPr>
      <w:r>
        <w:rPr>
          <w:rFonts w:hint="eastAsia" w:cs="Times New Roman"/>
          <w:color w:val="auto"/>
          <w:szCs w:val="32"/>
          <w:lang w:val="zh-CN" w:eastAsia="zh-CN"/>
        </w:rPr>
        <w:t>（</w:t>
      </w:r>
      <w:r>
        <w:rPr>
          <w:rFonts w:hint="eastAsia" w:cs="Times New Roman"/>
          <w:color w:val="auto"/>
          <w:szCs w:val="32"/>
          <w:lang w:val="en-US" w:eastAsia="zh-CN"/>
        </w:rPr>
        <w:t>1</w:t>
      </w:r>
      <w:r>
        <w:rPr>
          <w:rFonts w:hint="eastAsia" w:cs="Times New Roman"/>
          <w:color w:val="auto"/>
          <w:szCs w:val="32"/>
          <w:lang w:val="zh-CN" w:eastAsia="zh-CN"/>
        </w:rPr>
        <w:t>）</w:t>
      </w: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用途合规性</w:t>
      </w:r>
      <w:r>
        <w:rPr>
          <w:rFonts w:hint="eastAsia" w:cs="Times New Roman"/>
          <w:color w:val="auto"/>
          <w:szCs w:val="32"/>
          <w:lang w:val="en-US" w:eastAsia="zh-CN"/>
        </w:rPr>
        <w:t>：项</w:t>
      </w: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目资金分配均衡公平，资金实际支持对象符合管理要求，符合支持对象范围</w:t>
      </w:r>
      <w:r>
        <w:rPr>
          <w:rFonts w:hint="eastAsia" w:cs="Times New Roman"/>
          <w:color w:val="auto"/>
          <w:szCs w:val="32"/>
          <w:lang w:val="en-US" w:eastAsia="zh-CN"/>
        </w:rPr>
        <w:t>。</w:t>
      </w:r>
      <w:r>
        <w:rPr>
          <w:rFonts w:hint="eastAsia" w:cs="Times New Roman"/>
          <w:szCs w:val="32"/>
          <w:lang w:val="zh-CN" w:eastAsia="zh-CN"/>
        </w:rPr>
        <w:t>（</w:t>
      </w:r>
      <w:r>
        <w:rPr>
          <w:rFonts w:hint="eastAsia" w:cs="Times New Roman"/>
          <w:szCs w:val="32"/>
          <w:lang w:val="en-US" w:eastAsia="zh-CN"/>
        </w:rPr>
        <w:t>得分：10分</w:t>
      </w:r>
      <w:r>
        <w:rPr>
          <w:rFonts w:hint="eastAsia" w:cs="Times New Roman"/>
          <w:szCs w:val="32"/>
          <w:lang w:val="zh-CN"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640" w:leftChars="200" w:firstLine="0" w:firstLineChars="0"/>
        <w:textAlignment w:val="auto"/>
        <w:outlineLvl w:val="9"/>
        <w:rPr>
          <w:rFonts w:hint="eastAsia" w:cs="Times New Roman"/>
          <w:color w:val="auto"/>
          <w:szCs w:val="32"/>
          <w:lang w:val="zh-CN" w:eastAsia="zh-CN"/>
        </w:rPr>
      </w:pP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（2）程序合规性</w:t>
      </w:r>
      <w:r>
        <w:rPr>
          <w:rFonts w:hint="eastAsia" w:cs="Times New Roman"/>
          <w:color w:val="auto"/>
          <w:szCs w:val="32"/>
          <w:lang w:val="en-US" w:eastAsia="zh-CN"/>
        </w:rPr>
        <w:t>：项</w:t>
      </w: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目资金</w:t>
      </w:r>
      <w:r>
        <w:rPr>
          <w:rFonts w:hint="eastAsia" w:cs="Times New Roman"/>
          <w:color w:val="auto"/>
          <w:szCs w:val="32"/>
          <w:lang w:val="en-US" w:eastAsia="zh-CN"/>
        </w:rPr>
        <w:t>按照专项资金管理要求，程序合规合法。</w:t>
      </w:r>
      <w:r>
        <w:rPr>
          <w:rFonts w:hint="eastAsia" w:cs="Times New Roman"/>
          <w:szCs w:val="32"/>
          <w:lang w:val="zh-CN" w:eastAsia="zh-CN"/>
        </w:rPr>
        <w:t>（</w:t>
      </w:r>
      <w:r>
        <w:rPr>
          <w:rFonts w:hint="eastAsia" w:cs="Times New Roman"/>
          <w:szCs w:val="32"/>
          <w:lang w:val="en-US" w:eastAsia="zh-CN"/>
        </w:rPr>
        <w:t>得分：10分</w:t>
      </w:r>
      <w:r>
        <w:rPr>
          <w:rFonts w:hint="eastAsia" w:cs="Times New Roman"/>
          <w:szCs w:val="32"/>
          <w:lang w:val="zh-CN"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640" w:leftChars="200" w:firstLine="0" w:firstLineChars="0"/>
        <w:textAlignment w:val="auto"/>
        <w:outlineLvl w:val="9"/>
        <w:rPr>
          <w:rFonts w:hint="eastAsia" w:ascii="楷体_GB2312" w:hAnsi="楷体_GB2312" w:eastAsia="楷体_GB2312" w:cs="楷体_GB2312"/>
          <w:color w:val="auto"/>
          <w:szCs w:val="32"/>
          <w:lang w:val="zh-CN" w:eastAsia="zh-CN"/>
        </w:rPr>
      </w:pPr>
      <w:r>
        <w:rPr>
          <w:rFonts w:hint="eastAsia" w:cs="Times New Roman"/>
          <w:color w:val="auto"/>
          <w:szCs w:val="32"/>
          <w:lang w:val="en-US" w:eastAsia="zh-CN"/>
        </w:rPr>
        <w:t>（3）标准合规性:按照专项资金管理要求，及时有效完成项目资金的实施和兑现。</w:t>
      </w:r>
      <w:r>
        <w:rPr>
          <w:rFonts w:hint="eastAsia" w:cs="Times New Roman"/>
          <w:szCs w:val="32"/>
          <w:lang w:val="zh-CN" w:eastAsia="zh-CN"/>
        </w:rPr>
        <w:t>（</w:t>
      </w:r>
      <w:r>
        <w:rPr>
          <w:rFonts w:hint="eastAsia" w:cs="Times New Roman"/>
          <w:szCs w:val="32"/>
          <w:lang w:val="en-US" w:eastAsia="zh-CN"/>
        </w:rPr>
        <w:t>得分：10分</w:t>
      </w:r>
      <w:r>
        <w:rPr>
          <w:rFonts w:hint="eastAsia" w:cs="Times New Roman"/>
          <w:szCs w:val="32"/>
          <w:lang w:val="zh-CN" w:eastAsia="zh-CN"/>
        </w:rPr>
        <w:t>）</w:t>
      </w:r>
    </w:p>
    <w:bookmarkEnd w:id="3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/>
        <w:textAlignment w:val="auto"/>
        <w:outlineLvl w:val="9"/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zh-CN"/>
        </w:rPr>
        <w:t>（三）</w:t>
      </w:r>
      <w:r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en-US" w:eastAsia="zh-CN"/>
        </w:rPr>
        <w:t>个性指标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绩效分析。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firstLine="640" w:firstLineChars="200"/>
        <w:textAlignment w:val="auto"/>
        <w:outlineLvl w:val="9"/>
        <w:rPr>
          <w:rFonts w:hint="eastAsia" w:ascii="Times New Roman" w:hAnsi="Times New Roman" w:cs="Times New Roman"/>
          <w:color w:val="auto"/>
          <w:szCs w:val="32"/>
          <w:lang w:val="en-US" w:eastAsia="zh-CN"/>
        </w:rPr>
      </w:pP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我部门在规定范围内做好</w:t>
      </w:r>
      <w:r>
        <w:rPr>
          <w:rFonts w:hint="eastAsia" w:cs="Times New Roman"/>
          <w:color w:val="auto"/>
          <w:szCs w:val="32"/>
          <w:lang w:val="en-US" w:eastAsia="zh-CN"/>
        </w:rPr>
        <w:t>残疾人联合会残疾人事业发展项目</w:t>
      </w: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个性化绩效评价指标具有特定的针对性，能够更好地反映其特定业务领域的表现，可以加强</w:t>
      </w:r>
      <w:r>
        <w:rPr>
          <w:rFonts w:hint="eastAsia" w:cs="Times New Roman"/>
          <w:color w:val="auto"/>
          <w:szCs w:val="32"/>
          <w:lang w:val="en-US" w:eastAsia="zh-CN"/>
        </w:rPr>
        <w:t>残疾人就业、医疗康复、社会保障等，</w:t>
      </w: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提高部门的整体绩效水平。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640" w:firstLineChars="200"/>
        <w:textAlignment w:val="auto"/>
        <w:outlineLvl w:val="9"/>
        <w:rPr>
          <w:rFonts w:hint="eastAsia" w:ascii="楷体_GB2312" w:hAnsi="楷体_GB2312" w:eastAsia="楷体_GB2312" w:cs="楷体_GB2312"/>
          <w:color w:val="auto"/>
          <w:szCs w:val="32"/>
          <w:lang w:val="zh-CN" w:eastAsia="zh-CN"/>
        </w:rPr>
      </w:pPr>
      <w:r>
        <w:rPr>
          <w:rFonts w:hint="eastAsia" w:cs="Times New Roman"/>
          <w:color w:val="auto"/>
          <w:szCs w:val="32"/>
          <w:lang w:val="en-US" w:eastAsia="zh-CN"/>
        </w:rPr>
        <w:t>（1）</w:t>
      </w: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救助残疾人情况：</w:t>
      </w:r>
      <w:r>
        <w:rPr>
          <w:rFonts w:hint="eastAsia" w:ascii="仿宋_GB2312" w:hAnsi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2024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年全州提供残疾人基本康复服务600人次、参加农村实用技术培训</w:t>
      </w:r>
      <w:r>
        <w:rPr>
          <w:rFonts w:hint="eastAsia" w:ascii="仿宋_GB2312" w:hAnsi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60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人、提供托养服务2</w:t>
      </w:r>
      <w:r>
        <w:rPr>
          <w:rFonts w:hint="eastAsia" w:ascii="仿宋_GB2312" w:hAnsi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1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0人、发放残疾人机动轮椅车燃油补贴</w:t>
      </w:r>
      <w:r>
        <w:rPr>
          <w:rFonts w:hint="eastAsia" w:ascii="仿宋_GB2312" w:hAnsi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44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人、救助残疾儿童4人、发放残疾人联络员务工补贴104人</w:t>
      </w:r>
      <w:r>
        <w:rPr>
          <w:rFonts w:hint="eastAsia" w:ascii="仿宋_GB2312" w:hAnsi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。</w:t>
      </w:r>
      <w:r>
        <w:rPr>
          <w:rFonts w:hint="eastAsia" w:cs="Times New Roman"/>
          <w:szCs w:val="32"/>
          <w:lang w:val="zh-CN" w:eastAsia="zh-CN"/>
        </w:rPr>
        <w:t>（</w:t>
      </w:r>
      <w:r>
        <w:rPr>
          <w:rFonts w:hint="eastAsia" w:cs="Times New Roman"/>
          <w:szCs w:val="32"/>
          <w:lang w:val="en-US" w:eastAsia="zh-CN"/>
        </w:rPr>
        <w:t>得分：6分</w:t>
      </w:r>
      <w:r>
        <w:rPr>
          <w:rFonts w:hint="eastAsia" w:cs="Times New Roman"/>
          <w:szCs w:val="32"/>
          <w:lang w:val="zh-CN"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640" w:firstLineChars="200"/>
        <w:textAlignment w:val="auto"/>
        <w:outlineLvl w:val="9"/>
        <w:rPr>
          <w:rFonts w:hint="eastAsia" w:ascii="楷体_GB2312" w:hAnsi="楷体_GB2312" w:eastAsia="楷体_GB2312" w:cs="楷体_GB2312"/>
          <w:color w:val="auto"/>
          <w:szCs w:val="32"/>
          <w:lang w:val="zh-CN" w:eastAsia="zh-CN"/>
        </w:rPr>
      </w:pPr>
      <w:r>
        <w:rPr>
          <w:rFonts w:hint="eastAsia" w:ascii="仿宋_GB2312" w:hAnsi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（2）改善残疾人生活：全面支持落实好残疾人就业、医疗康复、社会保障等方面的扶持政策，健全残疾人权益保障制度和扶残助残服务体系，提升残疾人基本公共服务保障水平，帮助残疾人同步迈进全面小康社会。</w:t>
      </w:r>
      <w:bookmarkStart w:id="4" w:name="OLE_LINK2"/>
      <w:r>
        <w:rPr>
          <w:rFonts w:hint="eastAsia" w:cs="Times New Roman"/>
          <w:szCs w:val="32"/>
          <w:lang w:val="zh-CN" w:eastAsia="zh-CN"/>
        </w:rPr>
        <w:t>（</w:t>
      </w:r>
      <w:r>
        <w:rPr>
          <w:rFonts w:hint="eastAsia" w:cs="Times New Roman"/>
          <w:szCs w:val="32"/>
          <w:lang w:val="en-US" w:eastAsia="zh-CN"/>
        </w:rPr>
        <w:t>得分：5分</w:t>
      </w:r>
      <w:r>
        <w:rPr>
          <w:rFonts w:hint="eastAsia" w:cs="Times New Roman"/>
          <w:szCs w:val="32"/>
          <w:lang w:val="zh-CN" w:eastAsia="zh-CN"/>
        </w:rPr>
        <w:t>）</w:t>
      </w:r>
      <w:bookmarkEnd w:id="4"/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640" w:firstLineChars="200"/>
        <w:textAlignment w:val="auto"/>
        <w:outlineLvl w:val="9"/>
        <w:rPr>
          <w:rFonts w:hint="eastAsia" w:ascii="仿宋_GB2312" w:hAnsi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</w:pPr>
      <w:r>
        <w:rPr>
          <w:rFonts w:hint="eastAsia" w:ascii="仿宋_GB2312" w:hAnsi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（3）提高残疾人生活水平：为残疾人提供残疾人公共文化服务-文化进家庭“五个一”服务；开展残疾人群众性体育活动；为贫困重度残疾人家庭提供生活环境无障碍改造服务；为贫困智力精神和重度残疾人发放残疾评定补贴。</w:t>
      </w:r>
      <w:r>
        <w:rPr>
          <w:rFonts w:hint="eastAsia" w:cs="Times New Roman"/>
          <w:szCs w:val="32"/>
          <w:lang w:val="zh-CN" w:eastAsia="zh-CN"/>
        </w:rPr>
        <w:t>（</w:t>
      </w:r>
      <w:r>
        <w:rPr>
          <w:rFonts w:hint="eastAsia" w:cs="Times New Roman"/>
          <w:szCs w:val="32"/>
          <w:lang w:val="en-US" w:eastAsia="zh-CN"/>
        </w:rPr>
        <w:t>得分：5分</w:t>
      </w:r>
      <w:r>
        <w:rPr>
          <w:rFonts w:hint="eastAsia" w:cs="Times New Roman"/>
          <w:szCs w:val="32"/>
          <w:lang w:val="zh-CN" w:eastAsia="zh-CN"/>
        </w:rPr>
        <w:t>）</w:t>
      </w:r>
    </w:p>
    <w:p>
      <w:pPr>
        <w:pStyle w:val="3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eastAsia" w:ascii="黑体" w:hAnsi="宋体" w:eastAsia="黑体"/>
          <w:color w:val="auto"/>
          <w:sz w:val="32"/>
          <w:szCs w:val="32"/>
          <w:highlight w:val="none"/>
          <w:u w:val="none"/>
        </w:rPr>
      </w:pPr>
      <w:r>
        <w:rPr>
          <w:rFonts w:hint="eastAsia" w:ascii="黑体" w:hAnsi="宋体" w:eastAsia="黑体"/>
          <w:color w:val="auto"/>
          <w:sz w:val="32"/>
          <w:szCs w:val="32"/>
          <w:highlight w:val="none"/>
          <w:u w:val="none"/>
          <w:lang w:eastAsia="zh-CN"/>
        </w:rPr>
        <w:t>四</w:t>
      </w:r>
      <w:r>
        <w:rPr>
          <w:rFonts w:hint="eastAsia" w:ascii="黑体" w:hAnsi="宋体" w:eastAsia="黑体"/>
          <w:color w:val="auto"/>
          <w:sz w:val="32"/>
          <w:szCs w:val="32"/>
          <w:highlight w:val="none"/>
          <w:u w:val="none"/>
        </w:rPr>
        <w:t>、评价结论</w:t>
      </w:r>
    </w:p>
    <w:p>
      <w:pPr>
        <w:pStyle w:val="3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left="0" w:firstLine="640" w:firstLineChars="200"/>
        <w:textAlignment w:val="auto"/>
        <w:rPr>
          <w:rFonts w:hint="default" w:ascii="仿宋_GB2312" w:eastAsia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eastAsia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en-US" w:eastAsia="zh-CN" w:bidi="ar-SA"/>
        </w:rPr>
        <w:t>过汇总、整理、分析</w:t>
      </w:r>
      <w:r>
        <w:rPr>
          <w:rFonts w:hint="eastAsia" w:ascii="仿宋_GB2312" w:eastAsia="仿宋_GB2312" w:cs="仿宋_GB2312"/>
          <w:b w:val="0"/>
          <w:bCs w:val="0"/>
          <w:kern w:val="0"/>
          <w:position w:val="0"/>
          <w:sz w:val="32"/>
          <w:szCs w:val="32"/>
          <w:lang w:val="en-US" w:eastAsia="zh-CN" w:bidi="ar-SA"/>
        </w:rPr>
        <w:t>残疾人事业发展项目资金</w:t>
      </w:r>
      <w:r>
        <w:rPr>
          <w:rFonts w:hint="eastAsia" w:ascii="仿宋_GB2312" w:eastAsia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en-US" w:eastAsia="zh-CN" w:bidi="ar-SA"/>
        </w:rPr>
        <w:t>绩效评价指标体系，绩效目标基本实现，自评得分为100分。</w:t>
      </w:r>
    </w:p>
    <w:p>
      <w:pPr>
        <w:pStyle w:val="3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eastAsia" w:ascii="黑体" w:hAnsi="宋体" w:eastAsia="黑体" w:cs="Times New Roman"/>
          <w:color w:val="auto"/>
          <w:sz w:val="32"/>
          <w:szCs w:val="32"/>
          <w:highlight w:val="none"/>
          <w:u w:val="none"/>
          <w:lang w:eastAsia="zh-CN"/>
        </w:rPr>
      </w:pPr>
      <w:r>
        <w:rPr>
          <w:rFonts w:hint="eastAsia" w:ascii="黑体" w:hAnsi="宋体" w:cs="Times New Roman"/>
          <w:color w:val="auto"/>
          <w:sz w:val="32"/>
          <w:szCs w:val="32"/>
          <w:highlight w:val="none"/>
          <w:u w:val="none"/>
          <w:lang w:eastAsia="zh-CN"/>
        </w:rPr>
        <w:t>五、</w:t>
      </w:r>
      <w:r>
        <w:rPr>
          <w:rFonts w:hint="eastAsia" w:ascii="黑体" w:hAnsi="宋体" w:eastAsia="黑体" w:cs="Times New Roman"/>
          <w:color w:val="auto"/>
          <w:sz w:val="32"/>
          <w:szCs w:val="32"/>
          <w:highlight w:val="none"/>
          <w:u w:val="none"/>
          <w:lang w:eastAsia="zh-CN"/>
        </w:rPr>
        <w:t>存在主要问题</w:t>
      </w:r>
    </w:p>
    <w:p>
      <w:pPr>
        <w:pStyle w:val="3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en-US" w:eastAsia="zh-CN" w:bidi="ar-SA"/>
        </w:rPr>
        <w:t>无</w:t>
      </w:r>
    </w:p>
    <w:p>
      <w:pPr>
        <w:pStyle w:val="3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eastAsia" w:ascii="黑体" w:hAnsi="宋体" w:eastAsia="黑体" w:cs="Times New Roman"/>
          <w:color w:val="auto"/>
          <w:kern w:val="0"/>
          <w:position w:val="3"/>
          <w:sz w:val="32"/>
          <w:szCs w:val="32"/>
          <w:highlight w:val="none"/>
          <w:u w:val="none"/>
          <w:lang w:val="zh-CN" w:eastAsia="zh-CN" w:bidi="ar-SA"/>
        </w:rPr>
      </w:pPr>
      <w:r>
        <w:rPr>
          <w:rFonts w:hint="eastAsia" w:ascii="黑体" w:hAnsi="宋体" w:eastAsia="黑体" w:cs="Times New Roman"/>
          <w:color w:val="auto"/>
          <w:kern w:val="0"/>
          <w:position w:val="3"/>
          <w:sz w:val="32"/>
          <w:szCs w:val="32"/>
          <w:highlight w:val="none"/>
          <w:u w:val="none"/>
          <w:lang w:val="zh-CN" w:eastAsia="zh-CN" w:bidi="ar-SA"/>
        </w:rPr>
        <w:t>六、改进建议</w:t>
      </w:r>
    </w:p>
    <w:p>
      <w:pPr>
        <w:tabs>
          <w:tab w:val="left" w:pos="1911"/>
        </w:tabs>
        <w:jc w:val="left"/>
        <w:rPr>
          <w:rFonts w:hint="default" w:ascii="仿宋_GB2312" w:hAnsi="仿宋_GB2312" w:eastAsia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  <w:t xml:space="preserve"> </w:t>
      </w:r>
      <w:r>
        <w:rPr>
          <w:rFonts w:hint="eastAsia" w:ascii="仿宋_GB2312" w:hAnsi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en-US" w:eastAsia="zh-CN" w:bidi="ar-SA"/>
        </w:rPr>
        <w:t xml:space="preserve">  </w:t>
      </w:r>
      <w:bookmarkStart w:id="5" w:name="_Hlk110546638"/>
      <w:r>
        <w:rPr>
          <w:rFonts w:hint="eastAsia" w:ascii="仿宋_GB2312" w:hAnsi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en-US" w:eastAsia="zh-CN" w:bidi="ar-SA"/>
        </w:rPr>
        <w:t>无</w:t>
      </w:r>
    </w:p>
    <w:bookmarkEnd w:id="5"/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8" w:lineRule="exact"/>
        <w:textAlignment w:val="auto"/>
        <w:outlineLvl w:val="9"/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8" w:lineRule="exact"/>
        <w:textAlignment w:val="auto"/>
        <w:outlineLvl w:val="9"/>
        <w:rPr>
          <w:rFonts w:hint="default" w:ascii="Times New Roman" w:hAnsi="Times New Roman" w:eastAsia="黑体" w:cs="Times New Roman"/>
          <w:kern w:val="2"/>
          <w:sz w:val="32"/>
          <w:szCs w:val="24"/>
          <w:highlight w:val="none"/>
          <w:lang w:val="en-US" w:eastAsia="zh-CN" w:bidi="ar-SA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8" w:lineRule="exact"/>
        <w:textAlignment w:val="auto"/>
        <w:outlineLvl w:val="9"/>
        <w:rPr>
          <w:rFonts w:hint="default" w:ascii="Times New Roman" w:hAnsi="Times New Roman" w:eastAsia="黑体" w:cs="Times New Roman"/>
          <w:kern w:val="2"/>
          <w:sz w:val="32"/>
          <w:szCs w:val="24"/>
          <w:highlight w:val="none"/>
          <w:lang w:val="en-US" w:eastAsia="zh-CN" w:bidi="ar-SA"/>
        </w:rPr>
      </w:pPr>
    </w:p>
    <w:p>
      <w:pPr>
        <w:pStyle w:val="5"/>
        <w:rPr>
          <w:rFonts w:hint="eastAsia" w:ascii="仿宋_GB2312"/>
          <w:lang w:eastAsia="zh-CN"/>
        </w:rPr>
        <w:sectPr>
          <w:footerReference r:id="rId3" w:type="default"/>
          <w:pgSz w:w="11906" w:h="16838"/>
          <w:pgMar w:top="2098" w:right="1474" w:bottom="1984" w:left="1587" w:header="851" w:footer="992" w:gutter="0"/>
          <w:pgNumType w:fmt="numberInDash" w:start="1"/>
          <w:cols w:space="425" w:num="1"/>
          <w:docGrid w:type="lines" w:linePitch="312" w:charSpace="0"/>
        </w:sectPr>
      </w:pPr>
    </w:p>
    <w:p>
      <w:pPr>
        <w:pStyle w:val="10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240" w:lineRule="auto"/>
        <w:ind w:left="0" w:leftChars="0" w:firstLine="0" w:firstLineChars="0"/>
        <w:rPr>
          <w:rFonts w:hint="default" w:ascii="黑体" w:hAnsi="黑体" w:eastAsia="黑体" w:cs="黑体"/>
          <w:sz w:val="24"/>
          <w:szCs w:val="24"/>
          <w:highlight w:val="none"/>
          <w:lang w:val="en-US" w:eastAsia="zh-CN"/>
        </w:rPr>
      </w:pPr>
    </w:p>
    <w:sectPr>
      <w:footerReference r:id="rId4" w:type="default"/>
      <w:pgSz w:w="11906" w:h="16838"/>
      <w:pgMar w:top="1440" w:right="1797" w:bottom="1440" w:left="1797" w:header="851" w:footer="992" w:gutter="0"/>
      <w:pgNumType w:fmt="numberInDash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??">
    <w:altName w:val="仿宋_GB2312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2715260</wp:posOffset>
              </wp:positionH>
              <wp:positionV relativeFrom="paragraph">
                <wp:posOffset>146050</wp:posOffset>
              </wp:positionV>
              <wp:extent cx="2566035" cy="34671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20820000" flipV="1">
                        <a:off x="0" y="0"/>
                        <a:ext cx="2566035" cy="3467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flip:y;margin-left:213.8pt;margin-top:11.5pt;height:27.3pt;width:202.05pt;mso-position-horizontal-relative:margin;rotation:851968f;z-index:251660288;mso-width-relative:page;mso-height-relative:page;" filled="f" stroked="f" coordsize="21600,21600" o:gfxdata="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WAAAAZHJzL1BLAQIUABQAAAAIAIdO&#10;4kDcDkQH2QAAAAkBAAAPAAAAAAAAAAEAIAAAADgAAABkcnMvZG93bnJldi54bWxQSwECFAAUAAAA&#10;CACHTuJA/BTQpkkCAAB7BAAADgAAAAAAAAABACAAAAA+AQAAZHJzL2Uyb0RvYy54bWxQSwUGAAAA&#10;AAYABgBZAQAA+QUAAAAA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>
                    <w:pPr>
                      <w:pStyle w:val="5"/>
                    </w:pP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WAAAAZHJzL1BLAQIUABQAAAAIAIdO4kCzSVju0AAAAAUBAAAPAAAAAAAAAAEAIAAAADgAAABk&#10;cnMvZG93bnJldi54bWxQSwECFAAUAAAACACHTuJAa4X5+zECAABhBAAADgAAAAAAAAABACAAAAA1&#10;AQAAZHJzL2Uyb0RvYy54bWx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2504975"/>
    <w:multiLevelType w:val="singleLevel"/>
    <w:tmpl w:val="C2504975"/>
    <w:lvl w:ilvl="0" w:tentative="0">
      <w:start w:val="3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CEC0127B"/>
    <w:multiLevelType w:val="singleLevel"/>
    <w:tmpl w:val="CEC0127B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QwZTgxMDM1ZDI5NjdhZDViMjc3ZjgyOGMzMDMwZGIifQ=="/>
  </w:docVars>
  <w:rsids>
    <w:rsidRoot w:val="771D4D51"/>
    <w:rsid w:val="00997D30"/>
    <w:rsid w:val="026223A4"/>
    <w:rsid w:val="02DA63DE"/>
    <w:rsid w:val="03250FEA"/>
    <w:rsid w:val="046440FB"/>
    <w:rsid w:val="058663AA"/>
    <w:rsid w:val="070B125C"/>
    <w:rsid w:val="082C36E2"/>
    <w:rsid w:val="08DF474E"/>
    <w:rsid w:val="091F0FEF"/>
    <w:rsid w:val="09C3197A"/>
    <w:rsid w:val="0A23296D"/>
    <w:rsid w:val="0A7D421F"/>
    <w:rsid w:val="0AC534D0"/>
    <w:rsid w:val="0ADA71CA"/>
    <w:rsid w:val="0B1B1342"/>
    <w:rsid w:val="0B3D39AE"/>
    <w:rsid w:val="0B971310"/>
    <w:rsid w:val="0C8F3D96"/>
    <w:rsid w:val="0CB948BD"/>
    <w:rsid w:val="0E6B799F"/>
    <w:rsid w:val="0F933B9D"/>
    <w:rsid w:val="0FB029A1"/>
    <w:rsid w:val="111E393A"/>
    <w:rsid w:val="112B2510"/>
    <w:rsid w:val="120C7C36"/>
    <w:rsid w:val="121511E1"/>
    <w:rsid w:val="13B30CB1"/>
    <w:rsid w:val="13CE7899"/>
    <w:rsid w:val="13F07810"/>
    <w:rsid w:val="14065285"/>
    <w:rsid w:val="144731A8"/>
    <w:rsid w:val="14BE346A"/>
    <w:rsid w:val="159A15BB"/>
    <w:rsid w:val="15A07A70"/>
    <w:rsid w:val="16B34B25"/>
    <w:rsid w:val="17C46792"/>
    <w:rsid w:val="18116C89"/>
    <w:rsid w:val="18E67433"/>
    <w:rsid w:val="19762565"/>
    <w:rsid w:val="1A8C400A"/>
    <w:rsid w:val="1C1E6EE4"/>
    <w:rsid w:val="1C25106F"/>
    <w:rsid w:val="1C76287C"/>
    <w:rsid w:val="1CFD8DF6"/>
    <w:rsid w:val="1DE101C9"/>
    <w:rsid w:val="1E1D699A"/>
    <w:rsid w:val="1E260ABB"/>
    <w:rsid w:val="1E8A0861"/>
    <w:rsid w:val="1EB612CA"/>
    <w:rsid w:val="1EEC32CA"/>
    <w:rsid w:val="1F666BD8"/>
    <w:rsid w:val="1F86727A"/>
    <w:rsid w:val="1FCC2803"/>
    <w:rsid w:val="1FEA45A9"/>
    <w:rsid w:val="1FFF9AD9"/>
    <w:rsid w:val="20A976C4"/>
    <w:rsid w:val="22AD555F"/>
    <w:rsid w:val="26CF2DB3"/>
    <w:rsid w:val="27247AA4"/>
    <w:rsid w:val="27A72484"/>
    <w:rsid w:val="285048C9"/>
    <w:rsid w:val="28F2659B"/>
    <w:rsid w:val="28F65471"/>
    <w:rsid w:val="2A3C6EB3"/>
    <w:rsid w:val="2AD81989"/>
    <w:rsid w:val="2AF86ED7"/>
    <w:rsid w:val="2AFDF212"/>
    <w:rsid w:val="2B25203D"/>
    <w:rsid w:val="2B385C88"/>
    <w:rsid w:val="2B6BF484"/>
    <w:rsid w:val="2D4A5D8B"/>
    <w:rsid w:val="2E5844D8"/>
    <w:rsid w:val="2ECA734A"/>
    <w:rsid w:val="2FFF7DE7"/>
    <w:rsid w:val="31012C04"/>
    <w:rsid w:val="315B683E"/>
    <w:rsid w:val="31C51E84"/>
    <w:rsid w:val="31E542D4"/>
    <w:rsid w:val="325C04CC"/>
    <w:rsid w:val="32B21430"/>
    <w:rsid w:val="33552D94"/>
    <w:rsid w:val="33F748AD"/>
    <w:rsid w:val="34B65AB4"/>
    <w:rsid w:val="34FC3E0F"/>
    <w:rsid w:val="3546012B"/>
    <w:rsid w:val="35874596"/>
    <w:rsid w:val="35F2A362"/>
    <w:rsid w:val="36A52284"/>
    <w:rsid w:val="36EA2AC9"/>
    <w:rsid w:val="371A51D2"/>
    <w:rsid w:val="373BBD0C"/>
    <w:rsid w:val="37781747"/>
    <w:rsid w:val="39445D84"/>
    <w:rsid w:val="39BFEDBA"/>
    <w:rsid w:val="39DBABD8"/>
    <w:rsid w:val="39DE30A7"/>
    <w:rsid w:val="3A26548A"/>
    <w:rsid w:val="3A5244D1"/>
    <w:rsid w:val="3AE07D2F"/>
    <w:rsid w:val="3AED12ED"/>
    <w:rsid w:val="3AFF6A5D"/>
    <w:rsid w:val="3BDD34D2"/>
    <w:rsid w:val="3BDDFF97"/>
    <w:rsid w:val="3BEFAD1D"/>
    <w:rsid w:val="3BFFD43B"/>
    <w:rsid w:val="3C28373B"/>
    <w:rsid w:val="3C7BD5C9"/>
    <w:rsid w:val="3CA514CB"/>
    <w:rsid w:val="3D05582A"/>
    <w:rsid w:val="3EB07A7A"/>
    <w:rsid w:val="3FBF9251"/>
    <w:rsid w:val="3FED766E"/>
    <w:rsid w:val="3FFEEAD9"/>
    <w:rsid w:val="3FFFE931"/>
    <w:rsid w:val="42A11B51"/>
    <w:rsid w:val="42E62388"/>
    <w:rsid w:val="43EC52B9"/>
    <w:rsid w:val="440525B4"/>
    <w:rsid w:val="44220AAF"/>
    <w:rsid w:val="456357E4"/>
    <w:rsid w:val="457F07F2"/>
    <w:rsid w:val="46020B59"/>
    <w:rsid w:val="47121221"/>
    <w:rsid w:val="48DF1625"/>
    <w:rsid w:val="4A745D9D"/>
    <w:rsid w:val="4AF8077D"/>
    <w:rsid w:val="4B7E87A3"/>
    <w:rsid w:val="4BAF1783"/>
    <w:rsid w:val="4BED6AFE"/>
    <w:rsid w:val="4BFF5B3B"/>
    <w:rsid w:val="4CA0731E"/>
    <w:rsid w:val="4CC6FDBD"/>
    <w:rsid w:val="4DAA2DB9"/>
    <w:rsid w:val="4E07F45D"/>
    <w:rsid w:val="4E086F29"/>
    <w:rsid w:val="4EA824BA"/>
    <w:rsid w:val="4FF59AF5"/>
    <w:rsid w:val="503D00E8"/>
    <w:rsid w:val="50461F8A"/>
    <w:rsid w:val="50DD28EE"/>
    <w:rsid w:val="536A7192"/>
    <w:rsid w:val="545A6004"/>
    <w:rsid w:val="5460452A"/>
    <w:rsid w:val="558C4BB0"/>
    <w:rsid w:val="55FA184D"/>
    <w:rsid w:val="55FE10A2"/>
    <w:rsid w:val="567809C3"/>
    <w:rsid w:val="56B75990"/>
    <w:rsid w:val="56EF6619"/>
    <w:rsid w:val="57AF1E73"/>
    <w:rsid w:val="585316E8"/>
    <w:rsid w:val="5A3D61AC"/>
    <w:rsid w:val="5AB21C33"/>
    <w:rsid w:val="5AC16DDD"/>
    <w:rsid w:val="5B778EC0"/>
    <w:rsid w:val="5BFD93EC"/>
    <w:rsid w:val="5BFF52D1"/>
    <w:rsid w:val="5CBA8FF2"/>
    <w:rsid w:val="5D5F7E21"/>
    <w:rsid w:val="5D8D744A"/>
    <w:rsid w:val="5F5B35E4"/>
    <w:rsid w:val="609FA7B0"/>
    <w:rsid w:val="65975DB9"/>
    <w:rsid w:val="660A5ADC"/>
    <w:rsid w:val="682B7F8C"/>
    <w:rsid w:val="68B9469B"/>
    <w:rsid w:val="69EE7218"/>
    <w:rsid w:val="69FCE5E7"/>
    <w:rsid w:val="6B56537B"/>
    <w:rsid w:val="6B5E5F82"/>
    <w:rsid w:val="6BCDA9CC"/>
    <w:rsid w:val="6BFF7FA2"/>
    <w:rsid w:val="6D3220CD"/>
    <w:rsid w:val="6D6D6950"/>
    <w:rsid w:val="6D9F2765"/>
    <w:rsid w:val="6DB508E5"/>
    <w:rsid w:val="6DDFA6BD"/>
    <w:rsid w:val="6E2214E9"/>
    <w:rsid w:val="6E767ACE"/>
    <w:rsid w:val="6E781687"/>
    <w:rsid w:val="6EDF562C"/>
    <w:rsid w:val="6EEE3ED1"/>
    <w:rsid w:val="6EFFED40"/>
    <w:rsid w:val="6F1B2166"/>
    <w:rsid w:val="6F5FC1DE"/>
    <w:rsid w:val="6FB3E1FD"/>
    <w:rsid w:val="6FD768E4"/>
    <w:rsid w:val="6FF341F1"/>
    <w:rsid w:val="6FFEBD86"/>
    <w:rsid w:val="716D33C3"/>
    <w:rsid w:val="71AA0173"/>
    <w:rsid w:val="73FF1F09"/>
    <w:rsid w:val="73FF684B"/>
    <w:rsid w:val="745030E5"/>
    <w:rsid w:val="74563ABF"/>
    <w:rsid w:val="748E5B2A"/>
    <w:rsid w:val="74A708C5"/>
    <w:rsid w:val="7662101C"/>
    <w:rsid w:val="76DFCB7D"/>
    <w:rsid w:val="771D4D51"/>
    <w:rsid w:val="77263B89"/>
    <w:rsid w:val="7735A28E"/>
    <w:rsid w:val="77707769"/>
    <w:rsid w:val="77778F6D"/>
    <w:rsid w:val="77ABFD6B"/>
    <w:rsid w:val="77B7A121"/>
    <w:rsid w:val="77C748BA"/>
    <w:rsid w:val="77DD24F1"/>
    <w:rsid w:val="77F10335"/>
    <w:rsid w:val="77F7E860"/>
    <w:rsid w:val="77FB8D34"/>
    <w:rsid w:val="78DA7590"/>
    <w:rsid w:val="792A0566"/>
    <w:rsid w:val="79652BD2"/>
    <w:rsid w:val="797D0128"/>
    <w:rsid w:val="79EDB415"/>
    <w:rsid w:val="7ABBCDAB"/>
    <w:rsid w:val="7AFCAD25"/>
    <w:rsid w:val="7AFEB9B4"/>
    <w:rsid w:val="7B1E128A"/>
    <w:rsid w:val="7B5E0C37"/>
    <w:rsid w:val="7B63F034"/>
    <w:rsid w:val="7B694BFB"/>
    <w:rsid w:val="7B735637"/>
    <w:rsid w:val="7B7DE504"/>
    <w:rsid w:val="7B910B48"/>
    <w:rsid w:val="7BA109FB"/>
    <w:rsid w:val="7BFEC4F8"/>
    <w:rsid w:val="7DA14F75"/>
    <w:rsid w:val="7DB57A61"/>
    <w:rsid w:val="7DC15CCA"/>
    <w:rsid w:val="7DC25F10"/>
    <w:rsid w:val="7DC7DC1F"/>
    <w:rsid w:val="7DF95E12"/>
    <w:rsid w:val="7DFDF40F"/>
    <w:rsid w:val="7DFF9BC7"/>
    <w:rsid w:val="7EB645E3"/>
    <w:rsid w:val="7EB6B7AB"/>
    <w:rsid w:val="7EB74AB3"/>
    <w:rsid w:val="7EDEF702"/>
    <w:rsid w:val="7EFD6908"/>
    <w:rsid w:val="7EFF8787"/>
    <w:rsid w:val="7F1C270D"/>
    <w:rsid w:val="7F5F4807"/>
    <w:rsid w:val="7F722518"/>
    <w:rsid w:val="7F7CF90E"/>
    <w:rsid w:val="7F8E178B"/>
    <w:rsid w:val="7F9E3557"/>
    <w:rsid w:val="7FBF2857"/>
    <w:rsid w:val="7FD3B1BB"/>
    <w:rsid w:val="7FD5EF87"/>
    <w:rsid w:val="7FE7031F"/>
    <w:rsid w:val="7FEC5D3B"/>
    <w:rsid w:val="7FEF37E2"/>
    <w:rsid w:val="7FF70813"/>
    <w:rsid w:val="7FF7B584"/>
    <w:rsid w:val="7FFDFB4B"/>
    <w:rsid w:val="7FFF1910"/>
    <w:rsid w:val="7FFF8C1D"/>
    <w:rsid w:val="7FFF92F0"/>
    <w:rsid w:val="7FFFF07C"/>
    <w:rsid w:val="9BF3195D"/>
    <w:rsid w:val="A5DB4128"/>
    <w:rsid w:val="A6E375DB"/>
    <w:rsid w:val="A6EFA809"/>
    <w:rsid w:val="A6F7CC0B"/>
    <w:rsid w:val="AABFBDFA"/>
    <w:rsid w:val="AF7DE88E"/>
    <w:rsid w:val="AFED1DC0"/>
    <w:rsid w:val="AFFBB299"/>
    <w:rsid w:val="B3ECA4C8"/>
    <w:rsid w:val="B4D7E8EA"/>
    <w:rsid w:val="B4EF3795"/>
    <w:rsid w:val="B5E79B51"/>
    <w:rsid w:val="B6E7F02A"/>
    <w:rsid w:val="B797ED78"/>
    <w:rsid w:val="BB75119C"/>
    <w:rsid w:val="BBD3B774"/>
    <w:rsid w:val="BBDF02B2"/>
    <w:rsid w:val="BCFB0575"/>
    <w:rsid w:val="BE5EC634"/>
    <w:rsid w:val="BEC77393"/>
    <w:rsid w:val="BEFECBAE"/>
    <w:rsid w:val="BF2F7DA9"/>
    <w:rsid w:val="BF7F7592"/>
    <w:rsid w:val="BFB71281"/>
    <w:rsid w:val="BFBDF2DF"/>
    <w:rsid w:val="BFE4DD88"/>
    <w:rsid w:val="BFF9117D"/>
    <w:rsid w:val="BFFF6947"/>
    <w:rsid w:val="C8FDA203"/>
    <w:rsid w:val="CEF79301"/>
    <w:rsid w:val="CEFBB93B"/>
    <w:rsid w:val="CF7C6158"/>
    <w:rsid w:val="CF9D4E98"/>
    <w:rsid w:val="CFBFEC5E"/>
    <w:rsid w:val="D65BF816"/>
    <w:rsid w:val="D73F10CF"/>
    <w:rsid w:val="D977C3BB"/>
    <w:rsid w:val="D977C9A6"/>
    <w:rsid w:val="D9FF310B"/>
    <w:rsid w:val="DBF57698"/>
    <w:rsid w:val="DBFFAB54"/>
    <w:rsid w:val="DDFF5069"/>
    <w:rsid w:val="DECF83A1"/>
    <w:rsid w:val="DEEBD176"/>
    <w:rsid w:val="DEED29CB"/>
    <w:rsid w:val="DEFF6025"/>
    <w:rsid w:val="DF4E686F"/>
    <w:rsid w:val="DF7F78BD"/>
    <w:rsid w:val="DFDFC0CD"/>
    <w:rsid w:val="DFF7F21C"/>
    <w:rsid w:val="DFFE4986"/>
    <w:rsid w:val="E3F74AB8"/>
    <w:rsid w:val="E5FD7CF6"/>
    <w:rsid w:val="E7FE6222"/>
    <w:rsid w:val="E9BB2A12"/>
    <w:rsid w:val="EDDF69E1"/>
    <w:rsid w:val="EDF76BB3"/>
    <w:rsid w:val="EEF68640"/>
    <w:rsid w:val="EFF41AC0"/>
    <w:rsid w:val="EFF76D95"/>
    <w:rsid w:val="EFFF2C87"/>
    <w:rsid w:val="EFFFA435"/>
    <w:rsid w:val="F1DF82E1"/>
    <w:rsid w:val="F1F64F55"/>
    <w:rsid w:val="F2E22473"/>
    <w:rsid w:val="F35D14F0"/>
    <w:rsid w:val="F3F4C349"/>
    <w:rsid w:val="F3F64609"/>
    <w:rsid w:val="F4E96614"/>
    <w:rsid w:val="F4F54B3B"/>
    <w:rsid w:val="F58EBBB0"/>
    <w:rsid w:val="F5BEE074"/>
    <w:rsid w:val="F5CBD2AD"/>
    <w:rsid w:val="F6F3FBF3"/>
    <w:rsid w:val="F6FE0D0F"/>
    <w:rsid w:val="F9B8FDC3"/>
    <w:rsid w:val="F9BF4E89"/>
    <w:rsid w:val="FA79E738"/>
    <w:rsid w:val="FAD729CA"/>
    <w:rsid w:val="FB1B5977"/>
    <w:rsid w:val="FB1F5C00"/>
    <w:rsid w:val="FBF62448"/>
    <w:rsid w:val="FBF76486"/>
    <w:rsid w:val="FBFF7DC7"/>
    <w:rsid w:val="FC37AF17"/>
    <w:rsid w:val="FCDE5A6F"/>
    <w:rsid w:val="FCFE5638"/>
    <w:rsid w:val="FCFF1FE1"/>
    <w:rsid w:val="FD7C7175"/>
    <w:rsid w:val="FDD7319B"/>
    <w:rsid w:val="FDDE4FF7"/>
    <w:rsid w:val="FDF8F696"/>
    <w:rsid w:val="FE7B38A4"/>
    <w:rsid w:val="FE7EBDAF"/>
    <w:rsid w:val="FEAF5424"/>
    <w:rsid w:val="FECB8DB0"/>
    <w:rsid w:val="FECF948F"/>
    <w:rsid w:val="FEDCE487"/>
    <w:rsid w:val="FEED62B0"/>
    <w:rsid w:val="FEEFF60E"/>
    <w:rsid w:val="FEFD6F73"/>
    <w:rsid w:val="FF0F1500"/>
    <w:rsid w:val="FF5995C2"/>
    <w:rsid w:val="FF6B552C"/>
    <w:rsid w:val="FF6F74D4"/>
    <w:rsid w:val="FFAC7CB9"/>
    <w:rsid w:val="FFBB4B28"/>
    <w:rsid w:val="FFCE6E89"/>
    <w:rsid w:val="FFCFE300"/>
    <w:rsid w:val="FFD58A98"/>
    <w:rsid w:val="FFDD382A"/>
    <w:rsid w:val="FFDFD60A"/>
    <w:rsid w:val="FFE6F78D"/>
    <w:rsid w:val="FFEBBD1A"/>
    <w:rsid w:val="FFEF3B9A"/>
    <w:rsid w:val="FFF171B6"/>
    <w:rsid w:val="FFF33D76"/>
    <w:rsid w:val="FFF3C5BB"/>
    <w:rsid w:val="FFFA984C"/>
    <w:rsid w:val="FFFB4651"/>
    <w:rsid w:val="FFFD90B9"/>
    <w:rsid w:val="FFFF2620"/>
    <w:rsid w:val="FFFF5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qFormat="1"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标题 5（有编号）（绿盟科技）"/>
    <w:next w:val="1"/>
    <w:qFormat/>
    <w:uiPriority w:val="99"/>
    <w:pPr>
      <w:keepNext/>
      <w:keepLines/>
      <w:widowControl w:val="0"/>
      <w:spacing w:before="280" w:after="156" w:line="377" w:lineRule="auto"/>
      <w:jc w:val="left"/>
      <w:outlineLvl w:val="4"/>
    </w:pPr>
    <w:rPr>
      <w:rFonts w:ascii="Arial" w:hAnsi="Arial" w:eastAsia="黑体" w:cs="Times New Roman"/>
      <w:b/>
      <w:kern w:val="2"/>
      <w:sz w:val="24"/>
      <w:szCs w:val="28"/>
      <w:lang w:val="en-US" w:eastAsia="zh-CN" w:bidi="ar-SA"/>
    </w:rPr>
  </w:style>
  <w:style w:type="paragraph" w:styleId="3">
    <w:name w:val="Body Text"/>
    <w:basedOn w:val="1"/>
    <w:qFormat/>
    <w:uiPriority w:val="99"/>
    <w:pPr>
      <w:widowControl/>
      <w:tabs>
        <w:tab w:val="left" w:pos="2160"/>
      </w:tabs>
      <w:spacing w:line="480" w:lineRule="auto"/>
      <w:jc w:val="left"/>
    </w:pPr>
    <w:rPr>
      <w:rFonts w:ascii="楷体_GB2312" w:eastAsia="黑体"/>
      <w:kern w:val="0"/>
      <w:position w:val="3"/>
      <w:sz w:val="20"/>
      <w:szCs w:val="20"/>
      <w:lang w:eastAsia="en-US"/>
    </w:rPr>
  </w:style>
  <w:style w:type="paragraph" w:styleId="4">
    <w:name w:val="Body Text Indent"/>
    <w:basedOn w:val="1"/>
    <w:qFormat/>
    <w:uiPriority w:val="0"/>
    <w:pPr>
      <w:spacing w:after="120"/>
      <w:ind w:leftChars="200"/>
    </w:pPr>
    <w:rPr>
      <w:rFonts w:ascii="仿宋_GB2312"/>
      <w:szCs w:val="32"/>
    </w:rPr>
  </w:style>
  <w:style w:type="paragraph" w:styleId="5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zh-CN" w:eastAsia="zh-CN"/>
    </w:rPr>
  </w:style>
  <w:style w:type="paragraph" w:styleId="6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zh-CN" w:eastAsia="zh-CN"/>
    </w:rPr>
  </w:style>
  <w:style w:type="paragraph" w:styleId="7">
    <w:name w:val="toc 1"/>
    <w:basedOn w:val="1"/>
    <w:next w:val="1"/>
    <w:qFormat/>
    <w:uiPriority w:val="0"/>
  </w:style>
  <w:style w:type="paragraph" w:styleId="8">
    <w:name w:val="table of figures"/>
    <w:basedOn w:val="1"/>
    <w:next w:val="1"/>
    <w:qFormat/>
    <w:uiPriority w:val="0"/>
    <w:pPr>
      <w:spacing w:before="100" w:beforeAutospacing="1" w:after="100" w:afterAutospacing="1"/>
      <w:ind w:left="400" w:leftChars="200" w:hanging="200" w:hangingChars="200"/>
    </w:pPr>
  </w:style>
  <w:style w:type="paragraph" w:styleId="9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0">
    <w:name w:val="Body Text First Indent 2"/>
    <w:basedOn w:val="4"/>
    <w:unhideWhenUsed/>
    <w:qFormat/>
    <w:uiPriority w:val="99"/>
    <w:pPr>
      <w:ind w:firstLine="420" w:firstLineChars="200"/>
    </w:p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4">
    <w:name w:val="四号正文"/>
    <w:basedOn w:val="1"/>
    <w:qFormat/>
    <w:uiPriority w:val="0"/>
    <w:pPr>
      <w:spacing w:line="360" w:lineRule="auto"/>
    </w:pPr>
    <w:rPr>
      <w:rFonts w:ascii="??" w:hAnsi="??" w:eastAsia="宋体"/>
      <w:color w:val="000000"/>
      <w:kern w:val="0"/>
      <w:sz w:val="28"/>
      <w:szCs w:val="21"/>
      <w:lang w:val="zh-CN" w:eastAsia="zh-CN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4996</Words>
  <Characters>5230</Characters>
  <Lines>0</Lines>
  <Paragraphs>0</Paragraphs>
  <TotalTime>5</TotalTime>
  <ScaleCrop>false</ScaleCrop>
  <LinksUpToDate>false</LinksUpToDate>
  <CharactersWithSpaces>5237</CharactersWithSpaces>
  <Application>WPS Office_11.1.0.10702_F1E327BC-269C-435d-A152-05C5408002CA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2020-07-12T16:13:00Z</dcterms:created>
  <dc:creator>Administrator</dc:creator>
  <cp:lastModifiedBy>user</cp:lastModifiedBy>
  <cp:lastPrinted>2016-02-13T19:32:00Z</cp:lastPrinted>
  <dcterms:modified xsi:type="dcterms:W3CDTF">2025-08-28T09:32:47Z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2052-11.1.0.10702</vt:lpwstr>
  </property>
  <property fmtid="{D5CDD505-2E9C-101B-9397-08002B2CF9AE}" pid="3" name="ICV">
    <vt:lpwstr>5D3A6D78C90C41BEAE4F6AE19B89095A_13</vt:lpwstr>
  </property>
  <property fmtid="{D5CDD505-2E9C-101B-9397-08002B2CF9AE}" pid="4" name="KSOTemplateDocerSaveRecord">
    <vt:lpwstr>eyJoZGlkIjoiMzQwZTgxMDM1ZDI5NjdhZDViMjc3ZjgyOGMzMDMwZGIiLCJ1c2VySWQiOiI3ODM4NDQ3MzkifQ==</vt:lpwstr>
  </property>
</Properties>
</file>