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44"/>
          <w:szCs w:val="44"/>
          <w:lang w:val="en-US" w:eastAsia="zh-CN"/>
        </w:rPr>
      </w:pP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21</w:t>
      </w:r>
      <w:r>
        <w:rPr>
          <w:rFonts w:hint="eastAsia" w:ascii="仿宋_GB2312" w:hAnsi="黑体" w:eastAsia="仿宋_GB2312" w:cs="方正小标宋简体"/>
          <w:b/>
          <w:sz w:val="44"/>
          <w:szCs w:val="44"/>
        </w:rPr>
        <w:t>年</w:t>
      </w:r>
      <w:r>
        <w:rPr>
          <w:rFonts w:hint="eastAsia" w:ascii="仿宋_GB2312" w:hAnsi="黑体" w:eastAsia="仿宋_GB2312" w:cs="方正小标宋简体"/>
          <w:b/>
          <w:sz w:val="44"/>
          <w:szCs w:val="44"/>
          <w:lang w:val="en-US" w:eastAsia="zh-CN"/>
        </w:rPr>
        <w:t>少数民族发展资金</w:t>
      </w:r>
    </w:p>
    <w:p>
      <w:pPr>
        <w:spacing w:line="580" w:lineRule="exact"/>
        <w:jc w:val="center"/>
        <w:rPr>
          <w:rFonts w:ascii="仿宋_GB2312" w:hAnsi="黑体" w:eastAsia="仿宋_GB2312" w:cs="方正小标宋简体"/>
          <w:b/>
          <w:sz w:val="44"/>
          <w:szCs w:val="44"/>
        </w:rPr>
      </w:pPr>
      <w:r>
        <w:rPr>
          <w:rFonts w:hint="eastAsia" w:ascii="仿宋_GB2312" w:hAnsi="黑体" w:eastAsia="仿宋_GB2312" w:cs="方正小标宋简体"/>
          <w:b/>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两资办负责全县民族地区资金项目的前期规划编制、评审，项目实施的监督检查等工作。项目资金申报和批复均按《四川省民族地区开发资金管理办法》、相关管理暂行办法予以申报和批复，程序合法，符合相关资金管理办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仿宋_GB2312" w:cs="Times New Roman"/>
          <w:b w:val="0"/>
          <w:bCs w:val="0"/>
          <w:sz w:val="28"/>
          <w:szCs w:val="28"/>
          <w:highlight w:val="none"/>
          <w:lang w:eastAsia="zh-CN"/>
        </w:rPr>
      </w:pPr>
      <w:r>
        <w:rPr>
          <w:rFonts w:hint="default" w:ascii="Times New Roman" w:hAnsi="Times New Roman" w:eastAsia="仿宋_GB2312" w:cs="Times New Roman"/>
          <w:b w:val="0"/>
          <w:bCs w:val="0"/>
          <w:sz w:val="28"/>
          <w:szCs w:val="28"/>
          <w:highlight w:val="none"/>
          <w:lang w:eastAsia="zh-CN"/>
        </w:rPr>
        <w:t>项目绩效评价总体得分为</w:t>
      </w:r>
      <w:r>
        <w:rPr>
          <w:rFonts w:hint="eastAsia" w:ascii="Times New Roman" w:hAnsi="Times New Roman" w:eastAsia="仿宋_GB2312" w:cs="Times New Roman"/>
          <w:b w:val="0"/>
          <w:bCs w:val="0"/>
          <w:sz w:val="28"/>
          <w:szCs w:val="28"/>
          <w:highlight w:val="none"/>
          <w:u w:val="single"/>
          <w:lang w:val="en-US" w:eastAsia="zh-CN"/>
        </w:rPr>
        <w:t>94</w:t>
      </w:r>
      <w:r>
        <w:rPr>
          <w:rFonts w:hint="eastAsia" w:ascii="Times New Roman" w:hAnsi="Times New Roman" w:eastAsia="仿宋_GB2312" w:cs="Times New Roman"/>
          <w:b w:val="0"/>
          <w:bCs w:val="0"/>
          <w:sz w:val="28"/>
          <w:szCs w:val="28"/>
          <w:highlight w:val="none"/>
          <w:lang w:val="en-US" w:eastAsia="zh-CN"/>
        </w:rPr>
        <w:t>分</w:t>
      </w:r>
      <w:r>
        <w:rPr>
          <w:rFonts w:hint="default" w:ascii="Times New Roman" w:hAnsi="Times New Roman" w:eastAsia="仿宋_GB2312" w:cs="Times New Roman"/>
          <w:b w:val="0"/>
          <w:bCs w:val="0"/>
          <w:sz w:val="28"/>
          <w:szCs w:val="28"/>
          <w:highlight w:val="none"/>
          <w:lang w:eastAsia="zh-CN"/>
        </w:rPr>
        <w:t>，其中：项目决策方面总分</w:t>
      </w:r>
      <w:r>
        <w:rPr>
          <w:rFonts w:hint="eastAsia" w:ascii="Times New Roman" w:hAnsi="Times New Roman" w:eastAsia="仿宋_GB2312" w:cs="Times New Roman"/>
          <w:b w:val="0"/>
          <w:bCs w:val="0"/>
          <w:sz w:val="28"/>
          <w:szCs w:val="28"/>
          <w:highlight w:val="none"/>
          <w:lang w:val="en-US" w:eastAsia="zh-CN"/>
        </w:rPr>
        <w:t>8</w:t>
      </w:r>
      <w:r>
        <w:rPr>
          <w:rFonts w:hint="default" w:ascii="Times New Roman" w:hAnsi="Times New Roman" w:eastAsia="仿宋_GB2312" w:cs="Times New Roman"/>
          <w:b w:val="0"/>
          <w:bCs w:val="0"/>
          <w:sz w:val="28"/>
          <w:szCs w:val="28"/>
          <w:highlight w:val="none"/>
          <w:lang w:eastAsia="zh-CN"/>
        </w:rPr>
        <w:t>分，评价得分</w:t>
      </w:r>
      <w:r>
        <w:rPr>
          <w:rFonts w:hint="eastAsia" w:ascii="Times New Roman" w:hAnsi="Times New Roman" w:eastAsia="仿宋_GB2312" w:cs="Times New Roman"/>
          <w:b w:val="0"/>
          <w:bCs w:val="0"/>
          <w:sz w:val="28"/>
          <w:szCs w:val="28"/>
          <w:highlight w:val="none"/>
          <w:u w:val="single"/>
          <w:lang w:val="en-US" w:eastAsia="zh-CN"/>
        </w:rPr>
        <w:t>3.5</w:t>
      </w:r>
      <w:r>
        <w:rPr>
          <w:rFonts w:hint="eastAsia" w:ascii="Times New Roman" w:hAnsi="Times New Roman" w:eastAsia="仿宋_GB2312" w:cs="Times New Roman"/>
          <w:b w:val="0"/>
          <w:bCs w:val="0"/>
          <w:sz w:val="28"/>
          <w:szCs w:val="28"/>
          <w:highlight w:val="none"/>
          <w:lang w:val="en-US" w:eastAsia="zh-CN"/>
        </w:rPr>
        <w:t>分；项目实施方面总分12分，评价得分</w:t>
      </w:r>
      <w:r>
        <w:rPr>
          <w:rFonts w:hint="eastAsia" w:ascii="Times New Roman" w:hAnsi="Times New Roman" w:eastAsia="仿宋_GB2312" w:cs="Times New Roman"/>
          <w:b w:val="0"/>
          <w:bCs w:val="0"/>
          <w:sz w:val="28"/>
          <w:szCs w:val="28"/>
          <w:highlight w:val="none"/>
          <w:u w:val="single"/>
          <w:lang w:val="en-US" w:eastAsia="zh-CN"/>
        </w:rPr>
        <w:t>10.5</w:t>
      </w:r>
      <w:r>
        <w:rPr>
          <w:rFonts w:hint="eastAsia" w:ascii="Times New Roman" w:hAnsi="Times New Roman" w:eastAsia="仿宋_GB2312" w:cs="Times New Roman"/>
          <w:b w:val="0"/>
          <w:bCs w:val="0"/>
          <w:sz w:val="28"/>
          <w:szCs w:val="28"/>
          <w:highlight w:val="none"/>
          <w:lang w:val="en-US" w:eastAsia="zh-CN"/>
        </w:rPr>
        <w:t>分；完成结果方面总分10分，评价得分</w:t>
      </w:r>
      <w:r>
        <w:rPr>
          <w:rFonts w:hint="eastAsia" w:ascii="Times New Roman" w:hAnsi="Times New Roman" w:eastAsia="仿宋_GB2312" w:cs="Times New Roman"/>
          <w:b w:val="0"/>
          <w:bCs w:val="0"/>
          <w:sz w:val="28"/>
          <w:szCs w:val="28"/>
          <w:highlight w:val="none"/>
          <w:u w:val="single"/>
          <w:lang w:val="en-US" w:eastAsia="zh-CN"/>
        </w:rPr>
        <w:t>10</w:t>
      </w:r>
      <w:r>
        <w:rPr>
          <w:rFonts w:hint="eastAsia" w:ascii="Times New Roman" w:hAnsi="Times New Roman" w:eastAsia="仿宋_GB2312" w:cs="Times New Roman"/>
          <w:b w:val="0"/>
          <w:bCs w:val="0"/>
          <w:sz w:val="28"/>
          <w:szCs w:val="28"/>
          <w:highlight w:val="none"/>
          <w:lang w:val="en-US" w:eastAsia="zh-CN"/>
        </w:rPr>
        <w:t>分；项目效果方面总分20分，评价得分</w:t>
      </w:r>
      <w:r>
        <w:rPr>
          <w:rFonts w:hint="eastAsia" w:ascii="Times New Roman" w:hAnsi="Times New Roman" w:eastAsia="仿宋_GB2312" w:cs="Times New Roman"/>
          <w:b w:val="0"/>
          <w:bCs w:val="0"/>
          <w:sz w:val="28"/>
          <w:szCs w:val="28"/>
          <w:highlight w:val="none"/>
          <w:u w:val="single"/>
          <w:lang w:val="en-US" w:eastAsia="zh-CN"/>
        </w:rPr>
        <w:t>20</w:t>
      </w:r>
      <w:r>
        <w:rPr>
          <w:rFonts w:hint="eastAsia" w:ascii="Times New Roman" w:hAnsi="Times New Roman" w:eastAsia="仿宋_GB2312" w:cs="Times New Roman"/>
          <w:b w:val="0"/>
          <w:bCs w:val="0"/>
          <w:sz w:val="28"/>
          <w:szCs w:val="28"/>
          <w:highlight w:val="none"/>
          <w:lang w:val="en-US" w:eastAsia="zh-CN"/>
        </w:rPr>
        <w:t>分；基础管理方面总分20分，评价得分</w:t>
      </w:r>
      <w:r>
        <w:rPr>
          <w:rFonts w:hint="eastAsia" w:ascii="Times New Roman" w:hAnsi="Times New Roman" w:eastAsia="仿宋_GB2312" w:cs="Times New Roman"/>
          <w:b w:val="0"/>
          <w:bCs w:val="0"/>
          <w:sz w:val="28"/>
          <w:szCs w:val="28"/>
          <w:highlight w:val="none"/>
          <w:u w:val="single"/>
          <w:lang w:val="en-US" w:eastAsia="zh-CN"/>
        </w:rPr>
        <w:t>20</w:t>
      </w:r>
      <w:r>
        <w:rPr>
          <w:rFonts w:hint="eastAsia" w:ascii="Times New Roman" w:hAnsi="Times New Roman" w:eastAsia="仿宋_GB2312" w:cs="Times New Roman"/>
          <w:b w:val="0"/>
          <w:bCs w:val="0"/>
          <w:sz w:val="28"/>
          <w:szCs w:val="28"/>
          <w:highlight w:val="none"/>
          <w:lang w:val="en-US" w:eastAsia="zh-CN"/>
        </w:rPr>
        <w:t>分；社会效益方面总分20分，评价得分</w:t>
      </w:r>
      <w:r>
        <w:rPr>
          <w:rFonts w:hint="eastAsia" w:ascii="Times New Roman" w:hAnsi="Times New Roman" w:eastAsia="仿宋_GB2312" w:cs="Times New Roman"/>
          <w:b w:val="0"/>
          <w:bCs w:val="0"/>
          <w:sz w:val="28"/>
          <w:szCs w:val="28"/>
          <w:highlight w:val="none"/>
          <w:u w:val="single"/>
          <w:lang w:val="en-US" w:eastAsia="zh-CN"/>
        </w:rPr>
        <w:t>20</w:t>
      </w:r>
      <w:r>
        <w:rPr>
          <w:rFonts w:hint="eastAsia" w:ascii="Times New Roman" w:hAnsi="Times New Roman" w:eastAsia="仿宋_GB2312" w:cs="Times New Roman"/>
          <w:b w:val="0"/>
          <w:bCs w:val="0"/>
          <w:sz w:val="28"/>
          <w:szCs w:val="28"/>
          <w:highlight w:val="none"/>
          <w:lang w:val="en-US" w:eastAsia="zh-CN"/>
        </w:rPr>
        <w:t>分；可持续性效益方面总分10分，评价得分</w:t>
      </w:r>
      <w:r>
        <w:rPr>
          <w:rFonts w:hint="eastAsia" w:ascii="Times New Roman" w:hAnsi="Times New Roman" w:eastAsia="仿宋_GB2312" w:cs="Times New Roman"/>
          <w:b w:val="0"/>
          <w:bCs w:val="0"/>
          <w:sz w:val="28"/>
          <w:szCs w:val="28"/>
          <w:highlight w:val="none"/>
          <w:u w:val="single"/>
          <w:lang w:val="en-US" w:eastAsia="zh-CN"/>
        </w:rPr>
        <w:t>10</w:t>
      </w:r>
      <w:r>
        <w:rPr>
          <w:rFonts w:hint="eastAsia" w:ascii="Times New Roman" w:hAnsi="Times New Roman" w:eastAsia="仿宋_GB2312" w:cs="Times New Roman"/>
          <w:b w:val="0"/>
          <w:bCs w:val="0"/>
          <w:sz w:val="28"/>
          <w:szCs w:val="28"/>
          <w:highlight w:val="none"/>
          <w:lang w:val="en-US" w:eastAsia="zh-CN"/>
        </w:rPr>
        <w:t>分</w:t>
      </w:r>
      <w:r>
        <w:rPr>
          <w:rFonts w:hint="eastAsia"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lang w:eastAsia="zh-CN"/>
        </w:rPr>
        <w:t>具体情况详见下表：</w:t>
      </w:r>
    </w:p>
    <w:tbl>
      <w:tblPr>
        <w:tblStyle w:val="6"/>
        <w:tblW w:w="0" w:type="auto"/>
        <w:tblInd w:w="0" w:type="dxa"/>
        <w:tblLayout w:type="fixed"/>
        <w:tblCellMar>
          <w:top w:w="0" w:type="dxa"/>
          <w:left w:w="0" w:type="dxa"/>
          <w:bottom w:w="0" w:type="dxa"/>
          <w:right w:w="0" w:type="dxa"/>
        </w:tblCellMar>
      </w:tblPr>
      <w:tblGrid>
        <w:gridCol w:w="1080"/>
        <w:gridCol w:w="1080"/>
        <w:gridCol w:w="1080"/>
        <w:gridCol w:w="1080"/>
        <w:gridCol w:w="1080"/>
        <w:gridCol w:w="4138"/>
      </w:tblGrid>
      <w:tr>
        <w:tblPrEx>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10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分值</w:t>
            </w:r>
          </w:p>
        </w:tc>
        <w:tc>
          <w:tcPr>
            <w:tcW w:w="10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评价得分</w:t>
            </w:r>
          </w:p>
        </w:tc>
        <w:tc>
          <w:tcPr>
            <w:tcW w:w="413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扣分原因</w:t>
            </w:r>
          </w:p>
        </w:tc>
      </w:tr>
      <w:tr>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13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项目决策</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程序严密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评估论证</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620" w:hRule="atLeast"/>
        </w:trPr>
        <w:tc>
          <w:tcPr>
            <w:tcW w:w="108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制度完善</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1.5</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通过现场查看被评价项目资料，资金管理办法和项目管理办法，项目资金的使用范围、项目资金申报条件、拨付程序等内容明确。</w:t>
            </w:r>
          </w:p>
        </w:tc>
      </w:tr>
      <w:tr>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规划合理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政策依据</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10" w:hRule="atLeast"/>
        </w:trPr>
        <w:tc>
          <w:tcPr>
            <w:tcW w:w="108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目标明确</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查阅项目申报、批复等有关文件，被评价项目未制定实施方案，未对项目完成时间做出明确规定。</w:t>
            </w:r>
          </w:p>
        </w:tc>
      </w:tr>
      <w:tr>
        <w:tblPrEx>
          <w:tblCellMar>
            <w:top w:w="0" w:type="dxa"/>
            <w:left w:w="0" w:type="dxa"/>
            <w:bottom w:w="0" w:type="dxa"/>
            <w:right w:w="0" w:type="dxa"/>
          </w:tblCellMar>
        </w:tblPrEx>
        <w:trPr>
          <w:trHeight w:val="1245" w:hRule="atLeast"/>
        </w:trPr>
        <w:tc>
          <w:tcPr>
            <w:tcW w:w="108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内容完善</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项目实施</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分配合理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资金分配（支付）及时</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资金分配科学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使用合规</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35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执行有效</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完成结果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预算完成</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目标完成</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违规记录</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部门检查</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问题整改</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项目效果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区域均衡性</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对象公平性</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社会满意度</w:t>
            </w:r>
          </w:p>
        </w:tc>
        <w:tc>
          <w:tcPr>
            <w:tcW w:w="108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基础管理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审核把关</w:t>
            </w:r>
          </w:p>
        </w:tc>
        <w:tc>
          <w:tcPr>
            <w:tcW w:w="1080" w:type="dxa"/>
            <w:tcBorders>
              <w:top w:val="single" w:color="000000" w:sz="4" w:space="0"/>
              <w:left w:val="single" w:color="000000" w:sz="4" w:space="0"/>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1080"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社会效益</w:t>
            </w:r>
          </w:p>
        </w:tc>
        <w:tc>
          <w:tcPr>
            <w:tcW w:w="1080" w:type="dxa"/>
            <w:tcBorders>
              <w:top w:val="nil"/>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资金使用率</w:t>
            </w:r>
          </w:p>
        </w:tc>
        <w:tc>
          <w:tcPr>
            <w:tcW w:w="1080" w:type="dxa"/>
            <w:tcBorders>
              <w:top w:val="single" w:color="000000" w:sz="4" w:space="0"/>
              <w:left w:val="single" w:color="000000" w:sz="4" w:space="0"/>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可持续性效益</w:t>
            </w: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可持续性影响</w:t>
            </w: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32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4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sz w:val="28"/>
          <w:szCs w:val="28"/>
          <w:highlight w:val="none"/>
          <w:lang w:eastAsia="zh-CN"/>
        </w:rPr>
      </w:pPr>
    </w:p>
    <w:p>
      <w:pPr>
        <w:spacing w:line="580" w:lineRule="exact"/>
        <w:ind w:firstLine="560" w:firstLineChars="200"/>
        <w:rPr>
          <w:rFonts w:hint="eastAsia" w:ascii="仿宋_GB2312" w:hAnsi="仿宋" w:eastAsia="仿宋_GB2312" w:cs="仿宋_GB2312"/>
          <w:sz w:val="32"/>
          <w:szCs w:val="32"/>
        </w:rPr>
      </w:pPr>
      <w:r>
        <w:rPr>
          <w:rFonts w:hint="default" w:ascii="Times New Roman" w:hAnsi="Times New Roman" w:eastAsia="仿宋_GB2312" w:cs="Times New Roman"/>
          <w:b w:val="0"/>
          <w:bCs w:val="0"/>
          <w:sz w:val="28"/>
          <w:szCs w:val="28"/>
          <w:highlight w:val="none"/>
          <w:lang w:eastAsia="zh-CN"/>
        </w:rPr>
        <w:t>总体上看，被评价项目财政支出目标明确、具体，决策程序科学、有效，项目管理较为完善，项目目标和效果基本达成。通过指标的考评汇总分析，综合分值</w:t>
      </w:r>
      <w:r>
        <w:rPr>
          <w:rFonts w:hint="default" w:ascii="Times New Roman" w:hAnsi="Times New Roman" w:eastAsia="仿宋_GB2312" w:cs="Times New Roman"/>
          <w:b w:val="0"/>
          <w:bCs w:val="0"/>
          <w:sz w:val="28"/>
          <w:szCs w:val="28"/>
          <w:highlight w:val="none"/>
          <w:u w:val="single"/>
          <w:lang w:eastAsia="zh-CN"/>
        </w:rPr>
        <w:t xml:space="preserve"> </w:t>
      </w:r>
      <w:r>
        <w:rPr>
          <w:rFonts w:hint="eastAsia" w:ascii="Times New Roman" w:hAnsi="Times New Roman" w:eastAsia="仿宋_GB2312" w:cs="Times New Roman"/>
          <w:b w:val="0"/>
          <w:bCs w:val="0"/>
          <w:sz w:val="28"/>
          <w:szCs w:val="28"/>
          <w:highlight w:val="none"/>
          <w:u w:val="single"/>
          <w:lang w:val="en-US" w:eastAsia="zh-CN"/>
        </w:rPr>
        <w:t>94</w:t>
      </w:r>
      <w:r>
        <w:rPr>
          <w:rFonts w:hint="default" w:ascii="Times New Roman" w:hAnsi="Times New Roman" w:eastAsia="仿宋_GB2312" w:cs="Times New Roman"/>
          <w:b w:val="0"/>
          <w:bCs w:val="0"/>
          <w:sz w:val="28"/>
          <w:szCs w:val="28"/>
          <w:highlight w:val="none"/>
          <w:lang w:eastAsia="zh-CN"/>
        </w:rPr>
        <w:t>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1.根据《阿坝州财政局 阿坝州民宗委&lt;关于清算下达2021年四川省民族地区开发资金的通知&gt;》（阿州财预〔2021〕10号）文件精神，下达民族地区开发资金177万元，用于黑水县维古乡维渔村旅游基础设施建设项目（新建游客活动中心1处及附属用房占地248平方米）；黑水县芦花镇西布里社区民族团结文化长廊展示项目（新建300米民族团结文化展示墙及廊道装饰）。</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资金实行县级财政管理责任制度，坚持资金跟着项目走，项目跟着规划走的管理原则，统筹兼顾、整合资源、突出重点、分类实施。实行项目、资金管理部门和项目实施单位法人代表责任制。资金项目下达后，按照项目实施单位上报进度情况，认真组织检查，在项目竣工验收合格后，及时拨付项目资金，严格执行县级财政报账制度，做到财务处理及时，会计核算规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2021年民族地区开发资金：黑水县维古乡维渔村旅游基础设施建设项目已完成审计结算并交付乡村使用；2021年黑水县芦花镇西布里社区民族团结文化长廊展示项目正在抓紧组织竣工验收。</w:t>
      </w:r>
    </w:p>
    <w:p>
      <w:pPr>
        <w:spacing w:line="580" w:lineRule="exact"/>
        <w:ind w:firstLine="640" w:firstLineChars="200"/>
        <w:rPr>
          <w:rFonts w:hint="eastAsia" w:ascii="仿宋_GB2312" w:hAnsi="仿宋" w:eastAsia="仿宋_GB2312" w:cs="仿宋_GB2312"/>
          <w:sz w:val="32"/>
          <w:szCs w:val="32"/>
        </w:rPr>
      </w:pPr>
      <w:bookmarkStart w:id="0" w:name="_GoBack"/>
      <w:bookmarkEnd w:id="0"/>
      <w:r>
        <w:rPr>
          <w:rFonts w:hint="eastAsia" w:ascii="仿宋_GB2312" w:hAnsi="仿宋" w:eastAsia="仿宋_GB2312" w:cs="仿宋_GB2312"/>
          <w:sz w:val="32"/>
          <w:szCs w:val="32"/>
        </w:rPr>
        <w:t>通过项目的实施，使项目实施区村内基础设施条件得到改善，人居环境进一步优化，项目实施区交通、产业逐步升级。项目均达到计划能力，运行状况良好，指标值达到100%；受益群众满意度较高。</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通过此次绩效评估自查，我县民族地区开发资金项目基本按照《四川省民族地区开发资金管理办法》要求严格实施，做到了“有形、有效、有牌”,但也存在一定不足，具体表现在：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1、项目的后续管理工作需进一步提高。由于民族地区开发资金工作无后续管理专款资金等原因，民族地区开发资金项目建成移交后，村民缺乏日常维护和管理，导致部分项目不能正常发挥其效益。</w:t>
      </w:r>
    </w:p>
    <w:p>
      <w:pPr>
        <w:ind w:firstLine="640" w:firstLineChars="200"/>
      </w:pPr>
      <w:r>
        <w:rPr>
          <w:rFonts w:hint="eastAsia" w:ascii="仿宋_GB2312" w:hAnsi="仿宋_GB2312" w:eastAsia="仿宋_GB2312" w:cs="仿宋_GB2312"/>
          <w:sz w:val="32"/>
          <w:szCs w:val="32"/>
        </w:rPr>
        <w:t>2、项目前期工作经费不足。由于项目必须按照《招投标法》程序办理，前期工作必须请有资质的监理单位或设计单位设计、监理，而民族地区开发资金项目只是补助资金，项目前期经费无此支出。</w:t>
      </w:r>
    </w:p>
    <w:p/>
    <w:p>
      <w:pPr>
        <w:spacing w:line="580" w:lineRule="exact"/>
        <w:ind w:firstLine="640" w:firstLineChars="200"/>
        <w:rPr>
          <w:rStyle w:val="10"/>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是上级下达项目资金计划时，配套相应的项目前期设计、招投标、评审、监理等前期工作经费，以便规范项目程序。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是配套项目后续管护经费。由于缺乏后续管理资金，长期养护面临问题，建议落实专项养护资金，确定专人养护，避免重建设轻管理，使项目能够长期稳定发挥其功效。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15D2A"/>
    <w:multiLevelType w:val="singleLevel"/>
    <w:tmpl w:val="35815D2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jI2YTBiNjE5MDE4OWM1ZWE1Njg0NDQ1ODE2ZjAifQ=="/>
  </w:docVars>
  <w:rsids>
    <w:rsidRoot w:val="004C22EC"/>
    <w:rsid w:val="004C22EC"/>
    <w:rsid w:val="007B38C6"/>
    <w:rsid w:val="01F41651"/>
    <w:rsid w:val="04A96068"/>
    <w:rsid w:val="0FE47A44"/>
    <w:rsid w:val="1B4A3EC4"/>
    <w:rsid w:val="21B7196D"/>
    <w:rsid w:val="2AE65071"/>
    <w:rsid w:val="344828F8"/>
    <w:rsid w:val="44D22496"/>
    <w:rsid w:val="484E70BA"/>
    <w:rsid w:val="4A0B0DD8"/>
    <w:rsid w:val="4FE47521"/>
    <w:rsid w:val="54C7358A"/>
    <w:rsid w:val="57B166CC"/>
    <w:rsid w:val="595F34EB"/>
    <w:rsid w:val="5C067954"/>
    <w:rsid w:val="5D891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before="0" w:beforeAutospacing="0" w:after="0" w:afterAutospacing="0"/>
      <w:ind w:left="0" w:leftChars="200" w:right="0" w:hanging="200" w:hangingChars="200"/>
      <w:jc w:val="left"/>
    </w:pPr>
    <w:rPr>
      <w:rFonts w:hint="eastAsia" w:ascii="宋体" w:hAnsi="宋体" w:eastAsia="宋体" w:cs="宋体"/>
      <w:kern w:val="0"/>
      <w:sz w:val="24"/>
      <w:szCs w:val="24"/>
      <w:lang w:val="en-US" w:eastAsia="zh-CN" w:bidi="ar"/>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标题 1 Char"/>
    <w:basedOn w:val="7"/>
    <w:link w:val="3"/>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1906</Words>
  <Characters>1993</Characters>
  <Lines>2</Lines>
  <Paragraphs>1</Paragraphs>
  <TotalTime>4</TotalTime>
  <ScaleCrop>false</ScaleCrop>
  <LinksUpToDate>false</LinksUpToDate>
  <CharactersWithSpaces>1997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2022-08-19T00:31:31Z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36666830F2DD415380D9CC0A00291361</vt:lpwstr>
  </property>
</Properties>
</file>