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rPr>
        <w:t>黑水县民族宗教局部门2023年部门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60" w:lineRule="exact"/>
        <w:ind w:firstLine="640" w:firstLineChars="200"/>
        <w:rPr>
          <w:rFonts w:ascii="仿宋_GB2312" w:hAnsi="仿宋" w:eastAsia="仿宋_GB2312" w:cs="仿宋_GB2312"/>
          <w:sz w:val="32"/>
          <w:szCs w:val="32"/>
        </w:rPr>
      </w:pPr>
      <w:r>
        <w:rPr>
          <w:rFonts w:hint="eastAsia" w:ascii="仿宋_GB2312" w:hAnsi="仿宋_GB2312" w:eastAsia="仿宋_GB2312" w:cs="仿宋_GB2312"/>
          <w:color w:val="000000"/>
          <w:sz w:val="32"/>
          <w:szCs w:val="32"/>
        </w:rPr>
        <w:t>本部门无下属单位，内设股室5个，其中包括办公室、两资股、宗教股、行政审批股、民族股。</w:t>
      </w:r>
    </w:p>
    <w:p>
      <w:pPr>
        <w:numPr>
          <w:ilvl w:val="0"/>
          <w:numId w:val="1"/>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560" w:lineRule="exact"/>
        <w:ind w:firstLine="660"/>
        <w:rPr>
          <w:rFonts w:ascii="仿宋_GB2312" w:hAnsi="仿宋" w:eastAsia="仿宋_GB2312" w:cs="仿宋_GB2312"/>
          <w:sz w:val="32"/>
          <w:szCs w:val="32"/>
        </w:rPr>
      </w:pPr>
      <w:r>
        <w:rPr>
          <w:rFonts w:hint="eastAsia" w:ascii="仿宋_GB2312" w:hAnsi="仿宋_GB2312" w:eastAsia="仿宋_GB2312" w:cs="仿宋_GB2312"/>
          <w:color w:val="000000"/>
          <w:sz w:val="32"/>
          <w:szCs w:val="32"/>
        </w:rPr>
        <w:t>黑水县民族宗教局是贯彻执行党和国家的民族、宗教工作方针政策、法律法规；组织开展民族、宗教政策和民族、宗教工作重大问题的调查研究并提出政策建议，承担县政府公布的有关行政审批事项的政府组成部门。</w:t>
      </w:r>
    </w:p>
    <w:p>
      <w:pPr>
        <w:numPr>
          <w:ilvl w:val="0"/>
          <w:numId w:val="1"/>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人员概况。</w:t>
      </w:r>
    </w:p>
    <w:p>
      <w:pPr>
        <w:spacing w:line="560" w:lineRule="exact"/>
        <w:ind w:firstLine="640" w:firstLineChars="200"/>
        <w:rPr>
          <w:rFonts w:ascii="仿宋_GB2312" w:hAnsi="仿宋" w:eastAsia="仿宋_GB2312" w:cs="仿宋_GB2312"/>
          <w:sz w:val="32"/>
          <w:szCs w:val="32"/>
        </w:rPr>
      </w:pPr>
      <w:r>
        <w:rPr>
          <w:rFonts w:hint="eastAsia" w:ascii="仿宋_GB2312" w:hAnsi="仿宋_GB2312" w:eastAsia="仿宋_GB2312" w:cs="仿宋_GB2312"/>
          <w:color w:val="000000"/>
          <w:sz w:val="32"/>
          <w:szCs w:val="32"/>
          <w:highlight w:val="yellow"/>
        </w:rPr>
        <w:t>总编制14名,其中:行政编制14名。年初在职人员14名，年末在职人员总数12名，其中：行政人员12名。</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收入与预算对比分析：本单位2023年年初预算安排收入1175.1万元，本年实际收入1175.10万元，本年实际收入与年初预算增加705.7万元，差异率216%。差异主要原因一是本年调资,人员增加，社保缴费基数提高，二是增加项目拨款。</w:t>
      </w:r>
    </w:p>
    <w:p>
      <w:pPr>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2．本年收入与上年收入的对比分析</w:t>
      </w:r>
    </w:p>
    <w:p>
      <w:pPr>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本年度实际收入1175.10万元，比上年度收入379.48万元，增加795.62万元，增长幅度67.7%。</w:t>
      </w:r>
    </w:p>
    <w:p>
      <w:pPr>
        <w:numPr>
          <w:ilvl w:val="0"/>
          <w:numId w:val="2"/>
        </w:numPr>
        <w:snapToGrid w:val="0"/>
        <w:spacing w:line="560" w:lineRule="exact"/>
        <w:ind w:firstLine="640" w:firstLineChars="200"/>
        <w:jc w:val="left"/>
        <w:rPr>
          <w:rFonts w:ascii="仿宋_GB2312" w:hAnsi="仿宋" w:eastAsia="仿宋_GB2312" w:cs="仿宋_GB2312"/>
          <w:sz w:val="32"/>
          <w:szCs w:val="32"/>
        </w:rPr>
      </w:pPr>
      <w:r>
        <w:rPr>
          <w:rFonts w:hint="eastAsia" w:ascii="仿宋_GB2312" w:hAnsi="仿宋_GB2312" w:eastAsia="仿宋_GB2312" w:cs="仿宋_GB2312"/>
          <w:color w:val="000000"/>
          <w:sz w:val="32"/>
          <w:szCs w:val="32"/>
        </w:rPr>
        <w:t>本年收入结构分析：本年收入1175.1万元，其中财政拨款收入1175.1万元，占本年收入的100%。</w:t>
      </w:r>
    </w:p>
    <w:p>
      <w:pPr>
        <w:numPr>
          <w:ilvl w:val="0"/>
          <w:numId w:val="3"/>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1．支出与预算对比分析：本年预算支出1175.1万元，本年决算数支出1175.1万元，本年实际支出比预算支出持平，差异率0%。</w:t>
      </w:r>
    </w:p>
    <w:p>
      <w:pPr>
        <w:snapToGrid w:val="0"/>
        <w:spacing w:line="560" w:lineRule="exact"/>
        <w:ind w:firstLine="63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2．本年支出与上年支出的对比分析: 本年度实际支出1175.1万元比上年度469.4万元，增加705.7万元，增长率60%:，差异原因主要是：项目比上年度增加。</w:t>
      </w:r>
    </w:p>
    <w:p>
      <w:pPr>
        <w:snapToGrid w:val="0"/>
        <w:spacing w:line="560" w:lineRule="exact"/>
        <w:ind w:firstLine="630"/>
        <w:jc w:val="left"/>
        <w:rPr>
          <w:rFonts w:ascii="仿宋_GB2312" w:hAnsi="仿宋" w:eastAsia="仿宋_GB2312" w:cs="仿宋_GB2312"/>
          <w:sz w:val="32"/>
          <w:szCs w:val="32"/>
        </w:rPr>
      </w:pPr>
      <w:r>
        <w:rPr>
          <w:rFonts w:hint="eastAsia" w:ascii="仿宋_GB2312" w:hAnsi="仿宋_GB2312" w:eastAsia="仿宋_GB2312" w:cs="仿宋_GB2312"/>
          <w:color w:val="000000"/>
          <w:sz w:val="32"/>
          <w:szCs w:val="32"/>
        </w:rPr>
        <w:t>3.本年支出结构分析: 本年支出1175.1万元，按资金来源分析：其中财政拨款支出1175.1万元，占本年总支出的100%，按支出性质分析：基本支出313.72万元，占本年总支出</w:t>
      </w:r>
      <w:r>
        <w:rPr>
          <w:rFonts w:hint="default"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rPr>
        <w:t>26.7%，项目支出861.38万元,占本年总支出的73.3%；按支出经济分类：工资福利支出273.89万元，占本年支出</w:t>
      </w:r>
      <w:r>
        <w:rPr>
          <w:rFonts w:hint="default"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rPr>
        <w:t>23.31%，商品和服务支出124.27万元，占本年支出</w:t>
      </w:r>
      <w:r>
        <w:rPr>
          <w:rFonts w:hint="default"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rPr>
        <w:t>10.57%，对个人和家庭的补助17.91万元，占本年支</w:t>
      </w:r>
      <w:r>
        <w:rPr>
          <w:rFonts w:hint="default" w:ascii="仿宋_GB2312" w:hAnsi="仿宋_GB2312" w:eastAsia="仿宋_GB2312" w:cs="仿宋_GB2312"/>
          <w:color w:val="000000"/>
          <w:sz w:val="32"/>
          <w:szCs w:val="32"/>
        </w:rPr>
        <w:t>出的</w:t>
      </w:r>
      <w:r>
        <w:rPr>
          <w:rFonts w:hint="eastAsia" w:ascii="仿宋_GB2312" w:hAnsi="仿宋_GB2312" w:eastAsia="仿宋_GB2312" w:cs="仿宋_GB2312"/>
          <w:color w:val="000000"/>
          <w:sz w:val="32"/>
          <w:szCs w:val="32"/>
        </w:rPr>
        <w:t>1.52%,资本性支出759.02万元,占本年支出</w:t>
      </w:r>
      <w:r>
        <w:rPr>
          <w:rFonts w:hint="default"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rPr>
        <w:t xml:space="preserve">64.6%。    </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预算支出在保障本局工作运转、履行职能职责上整体情况良好。具体有：2023年度支出绩效较好，预算编制比较精确、合理;为认真落实中央八项</w:t>
      </w:r>
      <w:bookmarkStart w:id="1" w:name="_GoBack"/>
      <w:bookmarkEnd w:id="1"/>
      <w:r>
        <w:rPr>
          <w:rFonts w:hint="eastAsia" w:ascii="仿宋_GB2312" w:hAnsi="仿宋_GB2312" w:eastAsia="仿宋_GB2312" w:cs="仿宋_GB2312"/>
          <w:color w:val="000000"/>
          <w:sz w:val="32"/>
          <w:szCs w:val="32"/>
        </w:rPr>
        <w:t>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 </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_GB2312" w:eastAsia="仿宋_GB2312" w:cs="仿宋_GB2312"/>
          <w:color w:val="000000"/>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w:t>
      </w:r>
    </w:p>
    <w:p>
      <w:pPr>
        <w:spacing w:line="580" w:lineRule="exact"/>
        <w:ind w:left="420" w:leftChars="200"/>
        <w:rPr>
          <w:rFonts w:ascii="仿宋_GB2312" w:hAnsi="仿宋" w:eastAsia="仿宋_GB2312" w:cs="仿宋_GB2312"/>
          <w:sz w:val="32"/>
          <w:szCs w:val="32"/>
        </w:rPr>
      </w:pPr>
      <w:r>
        <w:rPr>
          <w:rFonts w:hint="eastAsia" w:ascii="仿宋_GB2312" w:hAnsi="仿宋" w:eastAsia="仿宋_GB2312" w:cs="仿宋_GB2312"/>
          <w:sz w:val="32"/>
          <w:szCs w:val="32"/>
        </w:rPr>
        <w:t>（二）存在问题。</w:t>
      </w:r>
    </w:p>
    <w:p>
      <w:pPr>
        <w:pStyle w:val="4"/>
        <w:shd w:val="clear" w:color="auto" w:fill="FFFFFF"/>
        <w:spacing w:before="0" w:beforeAutospacing="0" w:after="0" w:afterAutospacing="0" w:line="560" w:lineRule="exact"/>
        <w:ind w:firstLine="640" w:firstLineChars="200"/>
        <w:rPr>
          <w:rFonts w:ascii="仿宋_GB2312" w:hAnsi="仿宋" w:eastAsia="仿宋_GB2312" w:cs="仿宋_GB2312"/>
          <w:sz w:val="32"/>
          <w:szCs w:val="32"/>
        </w:rPr>
      </w:pPr>
      <w:r>
        <w:rPr>
          <w:rFonts w:hint="eastAsia" w:ascii="仿宋_GB2312" w:hAnsi="仿宋_GB2312" w:eastAsia="仿宋_GB2312" w:cs="仿宋_GB2312"/>
          <w:color w:val="000000"/>
          <w:sz w:val="32"/>
          <w:szCs w:val="32"/>
        </w:rPr>
        <w:t>从绩效评价看，部门支出预算和绩效评价工作还存在部分项目无法用量化指标来进行考评的问题。</w:t>
      </w:r>
    </w:p>
    <w:p>
      <w:pPr>
        <w:numPr>
          <w:ilvl w:val="0"/>
          <w:numId w:val="3"/>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改进建议。</w:t>
      </w:r>
    </w:p>
    <w:p>
      <w:pPr>
        <w:pStyle w:val="4"/>
        <w:shd w:val="clear" w:color="auto" w:fill="FFFFFF"/>
        <w:spacing w:before="0" w:beforeAutospacing="0" w:after="0" w:afterAutospacing="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我们将进一步重视预算的编制工作，提高预算编制的精确度，提高财政资金使用效率，尽量减少预算执行调整、结转和结余注销的情形。 　  </w:t>
      </w:r>
    </w:p>
    <w:p>
      <w:pPr>
        <w:spacing w:line="580" w:lineRule="exact"/>
        <w:ind w:left="420" w:leftChars="200"/>
        <w:rPr>
          <w:rFonts w:ascii="仿宋_GB2312" w:hAnsi="仿宋"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pStyle w:val="4"/>
        <w:shd w:val="clear" w:color="auto" w:fill="FFFFFF"/>
        <w:spacing w:before="0" w:beforeAutospacing="0" w:after="0" w:afterAutospacing="0" w:line="560" w:lineRule="exact"/>
        <w:ind w:left="6240" w:hanging="6240" w:hangingChars="19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黑水县民族宗教局</w:t>
      </w:r>
    </w:p>
    <w:p>
      <w:pPr>
        <w:pStyle w:val="4"/>
        <w:shd w:val="clear" w:color="auto" w:fill="FFFFFF"/>
        <w:spacing w:before="0" w:beforeAutospacing="0" w:after="0" w:afterAutospacing="0" w:line="560" w:lineRule="exact"/>
        <w:ind w:firstLine="5440" w:firstLineChars="17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2024年9月20日</w:t>
      </w: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AR PL UKai CN">
    <w:panose1 w:val="02000503000000000000"/>
    <w:charset w:val="86"/>
    <w:family w:val="auto"/>
    <w:pitch w:val="default"/>
    <w:sig w:usb0="A00002FF" w:usb1="3ACFFDFF" w:usb2="00000036" w:usb3="00000000" w:csb0="2016009F" w:csb1="DFD7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0F318"/>
    <w:multiLevelType w:val="singleLevel"/>
    <w:tmpl w:val="BF40F318"/>
    <w:lvl w:ilvl="0" w:tentative="0">
      <w:start w:val="2"/>
      <w:numFmt w:val="chineseCounting"/>
      <w:suff w:val="nothing"/>
      <w:lvlText w:val="（%1）"/>
      <w:lvlJc w:val="left"/>
      <w:rPr>
        <w:rFonts w:hint="eastAsia"/>
      </w:rPr>
    </w:lvl>
  </w:abstractNum>
  <w:abstractNum w:abstractNumId="1">
    <w:nsid w:val="4F9A1020"/>
    <w:multiLevelType w:val="singleLevel"/>
    <w:tmpl w:val="4F9A1020"/>
    <w:lvl w:ilvl="0" w:tentative="0">
      <w:start w:val="3"/>
      <w:numFmt w:val="decimal"/>
      <w:suff w:val="nothing"/>
      <w:lvlText w:val="%1．"/>
      <w:lvlJc w:val="left"/>
    </w:lvl>
  </w:abstractNum>
  <w:abstractNum w:abstractNumId="2">
    <w:nsid w:val="70CC7E04"/>
    <w:multiLevelType w:val="singleLevel"/>
    <w:tmpl w:val="70CC7E04"/>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4NzIyN2MxYTlmMzQ1NGE2MjU5NWRkMjhlOGMxYTAifQ=="/>
  </w:docVars>
  <w:rsids>
    <w:rsidRoot w:val="00491B22"/>
    <w:rsid w:val="00291808"/>
    <w:rsid w:val="00491B22"/>
    <w:rsid w:val="004B4818"/>
    <w:rsid w:val="0052390C"/>
    <w:rsid w:val="008E75EE"/>
    <w:rsid w:val="00AA40C4"/>
    <w:rsid w:val="00DA5B57"/>
    <w:rsid w:val="00EB6439"/>
    <w:rsid w:val="34EB1F43"/>
    <w:rsid w:val="36435EC2"/>
    <w:rsid w:val="4DD97D2F"/>
    <w:rsid w:val="5D6D1CF5"/>
    <w:rsid w:val="5FBD140B"/>
    <w:rsid w:val="60D032A5"/>
    <w:rsid w:val="62496A4B"/>
    <w:rsid w:val="73F146CF"/>
    <w:rsid w:val="77DDD0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298</Words>
  <Characters>1705</Characters>
  <Lines>14</Lines>
  <Paragraphs>3</Paragraphs>
  <TotalTime>5</TotalTime>
  <ScaleCrop>false</ScaleCrop>
  <LinksUpToDate>false</LinksUpToDate>
  <CharactersWithSpaces>2000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2024-10-25T11:38:38Z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BCAE2DBA92A94C5395BF6394DC846442_12</vt:lpwstr>
  </property>
</Properties>
</file>