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黑水县城乡居民养老保险</w:t>
      </w:r>
      <w:r>
        <w:rPr>
          <w:rFonts w:hint="eastAsia" w:ascii="宋体" w:hAnsi="宋体" w:eastAsia="宋体" w:cs="宋体"/>
          <w:b/>
          <w:bCs w:val="0"/>
          <w:sz w:val="36"/>
          <w:szCs w:val="36"/>
          <w:lang w:val="en-US" w:eastAsia="zh-CN"/>
        </w:rPr>
        <w:t>事业管理局</w:t>
      </w:r>
    </w:p>
    <w:p>
      <w:pPr>
        <w:pStyle w:val="2"/>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2019</w:t>
      </w:r>
      <w:r>
        <w:rPr>
          <w:rFonts w:hint="eastAsia" w:ascii="宋体" w:hAnsi="宋体" w:eastAsia="宋体" w:cs="宋体"/>
          <w:b/>
          <w:bCs w:val="0"/>
          <w:sz w:val="36"/>
          <w:szCs w:val="36"/>
        </w:rPr>
        <w:t>年部门整体支出绩效报告</w:t>
      </w:r>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一、部门（单位）概况</w:t>
      </w:r>
    </w:p>
    <w:p>
      <w:pPr>
        <w:spacing w:line="580" w:lineRule="exact"/>
        <w:ind w:firstLine="602" w:firstLineChars="200"/>
        <w:rPr>
          <w:rFonts w:hint="eastAsia" w:ascii="宋体" w:hAnsi="宋体" w:eastAsia="宋体" w:cs="宋体"/>
          <w:b/>
          <w:bCs/>
          <w:sz w:val="32"/>
          <w:szCs w:val="32"/>
        </w:rPr>
      </w:pPr>
      <w:r>
        <w:rPr>
          <w:rFonts w:hint="eastAsia" w:ascii="宋体" w:hAnsi="宋体" w:eastAsia="宋体" w:cs="宋体"/>
          <w:b/>
          <w:bCs/>
          <w:sz w:val="30"/>
          <w:szCs w:val="30"/>
        </w:rPr>
        <w:t>（一）机构组成。</w:t>
      </w:r>
    </w:p>
    <w:p>
      <w:pPr>
        <w:pStyle w:val="3"/>
        <w:adjustRightInd w:val="0"/>
        <w:snapToGrid w:val="0"/>
        <w:spacing w:line="58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 xml:space="preserve"> </w:t>
      </w:r>
      <w:r>
        <w:rPr>
          <w:rFonts w:hint="eastAsia" w:ascii="宋体" w:hAnsi="宋体" w:eastAsia="宋体" w:cs="宋体"/>
          <w:b w:val="0"/>
          <w:bCs/>
          <w:color w:val="333333"/>
          <w:sz w:val="30"/>
          <w:szCs w:val="30"/>
        </w:rPr>
        <w:t>黑水县城乡居民养老保险事业管理局属于人社局的二级预算事业单位，提升为县级一级核算单位。</w:t>
      </w:r>
    </w:p>
    <w:p>
      <w:pPr>
        <w:spacing w:line="580" w:lineRule="exact"/>
        <w:ind w:firstLine="640" w:firstLineChars="200"/>
        <w:rPr>
          <w:rFonts w:hint="eastAsia" w:ascii="宋体" w:hAnsi="宋体" w:eastAsia="宋体" w:cs="宋体"/>
          <w:sz w:val="32"/>
          <w:szCs w:val="32"/>
        </w:rPr>
      </w:pPr>
    </w:p>
    <w:p>
      <w:pPr>
        <w:numPr>
          <w:ilvl w:val="0"/>
          <w:numId w:val="1"/>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机构职能。</w:t>
      </w:r>
    </w:p>
    <w:p>
      <w:pPr>
        <w:ind w:firstLine="750" w:firstLineChars="250"/>
        <w:rPr>
          <w:rFonts w:hint="eastAsia" w:ascii="宋体" w:hAnsi="宋体" w:eastAsia="宋体" w:cs="宋体"/>
          <w:b w:val="0"/>
          <w:bCs/>
          <w:sz w:val="30"/>
          <w:szCs w:val="30"/>
        </w:rPr>
      </w:pPr>
      <w:r>
        <w:rPr>
          <w:rFonts w:hint="eastAsia" w:ascii="宋体" w:hAnsi="宋体" w:eastAsia="宋体" w:cs="宋体"/>
          <w:b w:val="0"/>
          <w:bCs/>
          <w:sz w:val="30"/>
          <w:szCs w:val="30"/>
        </w:rPr>
        <w:t>黑水县城乡居民养老保险局是负责宣传，贯彻，落实城乡居民养老保险政策和法律法规；负责对城乡居民养老保险业务的指导，人员培训</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负责保险费的征收和发放，档案的管理和统计工作；承办党委和政府交办的其他事项的政府组成部门。</w:t>
      </w:r>
    </w:p>
    <w:p>
      <w:pPr>
        <w:numPr>
          <w:numId w:val="0"/>
        </w:numPr>
        <w:spacing w:line="580" w:lineRule="exact"/>
        <w:rPr>
          <w:rFonts w:hint="eastAsia" w:ascii="宋体" w:hAnsi="宋体" w:eastAsia="宋体" w:cs="宋体"/>
          <w:sz w:val="32"/>
          <w:szCs w:val="32"/>
        </w:rPr>
      </w:pPr>
    </w:p>
    <w:p>
      <w:pPr>
        <w:numPr>
          <w:ilvl w:val="0"/>
          <w:numId w:val="1"/>
        </w:numPr>
        <w:spacing w:line="58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人员概况。</w:t>
      </w:r>
    </w:p>
    <w:p>
      <w:pPr>
        <w:spacing w:line="58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城乡居民养老保险局单位事业总编制</w:t>
      </w:r>
      <w:r>
        <w:rPr>
          <w:rFonts w:hint="eastAsia" w:ascii="宋体" w:hAnsi="宋体" w:eastAsia="宋体" w:cs="宋体"/>
          <w:b w:val="0"/>
          <w:bCs/>
          <w:sz w:val="30"/>
          <w:szCs w:val="30"/>
          <w:lang w:val="en-US" w:eastAsia="zh-CN"/>
        </w:rPr>
        <w:t>11</w:t>
      </w:r>
      <w:r>
        <w:rPr>
          <w:rFonts w:hint="eastAsia" w:ascii="宋体" w:hAnsi="宋体" w:eastAsia="宋体" w:cs="宋体"/>
          <w:b w:val="0"/>
          <w:bCs/>
          <w:sz w:val="30"/>
          <w:szCs w:val="30"/>
        </w:rPr>
        <w:t>名，现有事业人员</w:t>
      </w:r>
      <w:r>
        <w:rPr>
          <w:rFonts w:hint="eastAsia" w:ascii="宋体" w:hAnsi="宋体" w:eastAsia="宋体" w:cs="宋体"/>
          <w:b w:val="0"/>
          <w:bCs/>
          <w:sz w:val="30"/>
          <w:szCs w:val="30"/>
          <w:lang w:val="en-US" w:eastAsia="zh-CN"/>
        </w:rPr>
        <w:t>11</w:t>
      </w:r>
      <w:r>
        <w:rPr>
          <w:rFonts w:hint="eastAsia" w:ascii="宋体" w:hAnsi="宋体" w:eastAsia="宋体" w:cs="宋体"/>
          <w:b w:val="0"/>
          <w:bCs/>
          <w:sz w:val="30"/>
          <w:szCs w:val="30"/>
        </w:rPr>
        <w:t>名</w:t>
      </w:r>
      <w:r>
        <w:rPr>
          <w:rFonts w:hint="eastAsia" w:ascii="宋体" w:hAnsi="宋体" w:eastAsia="宋体" w:cs="宋体"/>
          <w:b w:val="0"/>
          <w:bCs/>
          <w:sz w:val="30"/>
          <w:szCs w:val="30"/>
          <w:lang w:val="en-US" w:eastAsia="zh-CN"/>
        </w:rPr>
        <w:t>.</w:t>
      </w:r>
      <w:r>
        <w:rPr>
          <w:rFonts w:hint="eastAsia" w:ascii="宋体" w:hAnsi="宋体" w:eastAsia="宋体" w:cs="宋体"/>
          <w:b w:val="0"/>
          <w:bCs/>
          <w:sz w:val="30"/>
          <w:szCs w:val="30"/>
        </w:rPr>
        <w:t>在职人员总数</w:t>
      </w:r>
      <w:r>
        <w:rPr>
          <w:rFonts w:hint="eastAsia" w:ascii="宋体" w:hAnsi="宋体" w:eastAsia="宋体" w:cs="宋体"/>
          <w:b w:val="0"/>
          <w:bCs/>
          <w:sz w:val="30"/>
          <w:szCs w:val="30"/>
          <w:lang w:val="en-US" w:eastAsia="zh-CN"/>
        </w:rPr>
        <w:t>11</w:t>
      </w:r>
      <w:r>
        <w:rPr>
          <w:rFonts w:hint="eastAsia" w:ascii="宋体" w:hAnsi="宋体" w:eastAsia="宋体" w:cs="宋体"/>
          <w:b w:val="0"/>
          <w:bCs/>
          <w:sz w:val="30"/>
          <w:szCs w:val="30"/>
        </w:rPr>
        <w:t>人。</w:t>
      </w:r>
    </w:p>
    <w:p>
      <w:pPr>
        <w:numPr>
          <w:numId w:val="0"/>
        </w:numPr>
        <w:spacing w:line="580" w:lineRule="exact"/>
        <w:ind w:leftChars="200"/>
        <w:rPr>
          <w:rFonts w:hint="eastAsia" w:ascii="宋体" w:hAnsi="宋体" w:eastAsia="宋体" w:cs="宋体"/>
          <w:sz w:val="32"/>
          <w:szCs w:val="32"/>
        </w:rPr>
      </w:pP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二、部门财政资金收支情况</w:t>
      </w:r>
    </w:p>
    <w:p>
      <w:pPr>
        <w:spacing w:line="580" w:lineRule="exact"/>
        <w:ind w:firstLine="602" w:firstLineChars="200"/>
        <w:rPr>
          <w:rFonts w:hint="eastAsia" w:ascii="宋体" w:hAnsi="宋体" w:eastAsia="宋体" w:cs="宋体"/>
          <w:sz w:val="32"/>
          <w:szCs w:val="32"/>
        </w:rPr>
      </w:pPr>
      <w:r>
        <w:rPr>
          <w:rFonts w:hint="eastAsia" w:ascii="宋体" w:hAnsi="宋体" w:eastAsia="宋体" w:cs="宋体"/>
          <w:b/>
          <w:bCs/>
          <w:sz w:val="30"/>
          <w:szCs w:val="30"/>
        </w:rPr>
        <w:t>（一）部门财政资金收入情况。</w:t>
      </w:r>
    </w:p>
    <w:p>
      <w:pPr>
        <w:numPr>
          <w:numId w:val="0"/>
        </w:numPr>
        <w:spacing w:line="580" w:lineRule="exact"/>
        <w:ind w:firstLine="600" w:firstLineChars="200"/>
        <w:rPr>
          <w:rFonts w:hint="eastAsia" w:ascii="宋体" w:hAnsi="宋体" w:eastAsia="宋体" w:cs="宋体"/>
          <w:sz w:val="32"/>
          <w:szCs w:val="32"/>
          <w:lang w:val="en-US"/>
        </w:rPr>
      </w:pPr>
      <w:r>
        <w:rPr>
          <w:rFonts w:hint="eastAsia" w:ascii="宋体" w:hAnsi="宋体" w:eastAsia="宋体" w:cs="宋体"/>
          <w:b w:val="0"/>
          <w:bCs/>
          <w:sz w:val="30"/>
          <w:szCs w:val="30"/>
        </w:rPr>
        <w:t>本年</w:t>
      </w:r>
      <w:r>
        <w:rPr>
          <w:rFonts w:hint="eastAsia" w:ascii="宋体" w:hAnsi="宋体" w:eastAsia="宋体" w:cs="宋体"/>
          <w:b w:val="0"/>
          <w:bCs/>
          <w:sz w:val="30"/>
          <w:szCs w:val="30"/>
          <w:lang w:val="en-US" w:eastAsia="zh-CN"/>
        </w:rPr>
        <w:t>财政资金收入197.83</w:t>
      </w:r>
      <w:r>
        <w:rPr>
          <w:rFonts w:hint="eastAsia" w:ascii="宋体" w:hAnsi="宋体" w:eastAsia="宋体" w:cs="宋体"/>
          <w:b w:val="0"/>
          <w:bCs/>
          <w:sz w:val="30"/>
          <w:szCs w:val="30"/>
        </w:rPr>
        <w:t>万元</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其中一般财政拨款收入197.83万元。年初结转和结余29.59万元。</w:t>
      </w:r>
    </w:p>
    <w:p>
      <w:pPr>
        <w:numPr>
          <w:ilvl w:val="0"/>
          <w:numId w:val="2"/>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部门财政资金支出情况。</w:t>
      </w:r>
    </w:p>
    <w:p>
      <w:pPr>
        <w:snapToGrid w:val="0"/>
        <w:spacing w:line="560" w:lineRule="exact"/>
        <w:ind w:firstLine="600" w:firstLineChars="200"/>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本年</w:t>
      </w:r>
      <w:r>
        <w:rPr>
          <w:rFonts w:hint="eastAsia" w:ascii="宋体" w:hAnsi="宋体" w:eastAsia="宋体" w:cs="宋体"/>
          <w:b w:val="0"/>
          <w:bCs/>
          <w:sz w:val="30"/>
          <w:szCs w:val="30"/>
          <w:lang w:val="en-US" w:eastAsia="zh-CN"/>
        </w:rPr>
        <w:t>财政资金支出227.42</w:t>
      </w:r>
      <w:r>
        <w:rPr>
          <w:rFonts w:hint="eastAsia" w:ascii="宋体" w:hAnsi="宋体" w:eastAsia="宋体" w:cs="宋体"/>
          <w:b w:val="0"/>
          <w:bCs/>
          <w:sz w:val="30"/>
          <w:szCs w:val="30"/>
        </w:rPr>
        <w:t>万元</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其中一般财政拨款基本支出197.78万元，项目支出29.64万元。</w:t>
      </w:r>
    </w:p>
    <w:p>
      <w:pPr>
        <w:numPr>
          <w:numId w:val="0"/>
        </w:numPr>
        <w:spacing w:line="580" w:lineRule="exact"/>
        <w:rPr>
          <w:rFonts w:hint="eastAsia" w:ascii="宋体" w:hAnsi="宋体" w:eastAsia="宋体" w:cs="宋体"/>
          <w:sz w:val="32"/>
          <w:szCs w:val="32"/>
        </w:rPr>
      </w:pP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三、部门整体预算绩效管理情况（根据适用指标体系进行调整）</w:t>
      </w:r>
    </w:p>
    <w:p>
      <w:p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（一）部门预算管理。</w:t>
      </w:r>
    </w:p>
    <w:p>
      <w:pPr>
        <w:pStyle w:val="6"/>
        <w:shd w:val="clear" w:color="auto" w:fill="FFFFFF"/>
        <w:spacing w:before="0" w:beforeAutospacing="0" w:after="0" w:afterAutospacing="0" w:line="560" w:lineRule="exac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r>
        <w:rPr>
          <w:rFonts w:hint="eastAsia" w:cs="宋体"/>
          <w:b w:val="0"/>
          <w:bCs/>
          <w:color w:val="333333"/>
          <w:sz w:val="30"/>
          <w:szCs w:val="30"/>
          <w:lang w:val="en-US" w:eastAsia="zh-CN"/>
        </w:rPr>
        <w:t xml:space="preserve">   </w:t>
      </w:r>
      <w:r>
        <w:rPr>
          <w:rFonts w:hint="eastAsia" w:ascii="宋体" w:hAnsi="宋体" w:eastAsia="宋体" w:cs="宋体"/>
          <w:b w:val="0"/>
          <w:bCs/>
          <w:color w:val="000000"/>
          <w:sz w:val="30"/>
          <w:szCs w:val="30"/>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（二）专项预算管理。</w:t>
      </w:r>
    </w:p>
    <w:p>
      <w:pPr>
        <w:pStyle w:val="6"/>
        <w:shd w:val="clear" w:color="auto" w:fill="FFFFFF"/>
        <w:spacing w:before="0" w:beforeAutospacing="0" w:after="0" w:afterAutospacing="0" w:line="560" w:lineRule="exact"/>
        <w:ind w:firstLine="600" w:firstLineChars="20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严格执行“厉行节约、反对浪费”的规定，严格控制“三公”经费支出，加强公务用车管理，努力降低燃修费用。</w:t>
      </w:r>
    </w:p>
    <w:p>
      <w:pPr>
        <w:pStyle w:val="6"/>
        <w:shd w:val="clear" w:color="auto" w:fill="FFFFFF"/>
        <w:spacing w:before="0" w:beforeAutospacing="0" w:after="0" w:afterAutospacing="0" w:line="560" w:lineRule="exact"/>
        <w:jc w:val="both"/>
        <w:rPr>
          <w:rFonts w:hint="eastAsia" w:ascii="宋体" w:hAnsi="宋体" w:eastAsia="宋体" w:cs="宋体"/>
          <w:b w:val="0"/>
          <w:bCs/>
          <w:sz w:val="30"/>
          <w:szCs w:val="30"/>
        </w:rPr>
      </w:pPr>
      <w:r>
        <w:rPr>
          <w:rFonts w:hint="eastAsia" w:ascii="宋体" w:hAnsi="宋体" w:eastAsia="宋体" w:cs="宋体"/>
          <w:b w:val="0"/>
          <w:bCs/>
          <w:color w:val="000000"/>
          <w:sz w:val="30"/>
          <w:szCs w:val="30"/>
        </w:rPr>
        <w:t xml:space="preserve">   </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rPr>
        <w:t>、201</w:t>
      </w:r>
      <w:r>
        <w:rPr>
          <w:rFonts w:hint="eastAsia" w:ascii="宋体" w:hAnsi="宋体" w:eastAsia="宋体" w:cs="宋体"/>
          <w:b w:val="0"/>
          <w:bCs/>
          <w:color w:val="000000"/>
          <w:sz w:val="30"/>
          <w:szCs w:val="30"/>
          <w:lang w:val="en-US" w:eastAsia="zh-CN"/>
        </w:rPr>
        <w:t>9</w:t>
      </w:r>
      <w:r>
        <w:rPr>
          <w:rFonts w:hint="eastAsia" w:ascii="宋体" w:hAnsi="宋体" w:eastAsia="宋体" w:cs="宋体"/>
          <w:b w:val="0"/>
          <w:bCs/>
          <w:color w:val="000000"/>
          <w:sz w:val="30"/>
          <w:szCs w:val="30"/>
        </w:rPr>
        <w:t>年执行情况分析</w:t>
      </w:r>
    </w:p>
    <w:p>
      <w:pPr>
        <w:pStyle w:val="6"/>
        <w:shd w:val="clear" w:color="auto" w:fill="FFFFFF"/>
        <w:spacing w:before="0" w:beforeAutospacing="0" w:after="0" w:afterAutospacing="0" w:line="560" w:lineRule="exact"/>
        <w:rPr>
          <w:rFonts w:hint="eastAsia" w:ascii="宋体" w:hAnsi="宋体" w:eastAsia="宋体" w:cs="宋体"/>
          <w:b w:val="0"/>
          <w:bCs/>
          <w:color w:val="000000"/>
          <w:sz w:val="30"/>
          <w:szCs w:val="30"/>
        </w:rPr>
      </w:pPr>
      <w:r>
        <w:rPr>
          <w:rFonts w:hint="eastAsia" w:ascii="宋体" w:hAnsi="宋体" w:eastAsia="宋体" w:cs="宋体"/>
          <w:b w:val="0"/>
          <w:bCs/>
          <w:sz w:val="30"/>
          <w:szCs w:val="30"/>
        </w:rPr>
        <w:t xml:space="preserve">    （1）基本情况分析：</w:t>
      </w:r>
    </w:p>
    <w:p>
      <w:pPr>
        <w:pStyle w:val="6"/>
        <w:shd w:val="clear" w:color="auto" w:fill="FFFFFF"/>
        <w:spacing w:before="0" w:beforeAutospacing="0" w:after="0" w:afterAutospacing="0" w:line="560" w:lineRule="exact"/>
        <w:rPr>
          <w:rFonts w:hint="eastAsia" w:ascii="宋体" w:hAnsi="宋体" w:eastAsia="宋体" w:cs="宋体"/>
          <w:b w:val="0"/>
          <w:bCs/>
          <w:sz w:val="30"/>
          <w:szCs w:val="30"/>
        </w:rPr>
      </w:pPr>
      <w:r>
        <w:rPr>
          <w:rFonts w:hint="eastAsia" w:ascii="宋体" w:hAnsi="宋体" w:eastAsia="宋体" w:cs="宋体"/>
          <w:b w:val="0"/>
          <w:bCs/>
          <w:color w:val="000000"/>
          <w:sz w:val="30"/>
          <w:szCs w:val="30"/>
        </w:rPr>
        <w:t xml:space="preserve">    </w:t>
      </w:r>
      <w:r>
        <w:rPr>
          <w:rFonts w:hint="eastAsia" w:ascii="宋体" w:hAnsi="宋体" w:eastAsia="宋体" w:cs="宋体"/>
          <w:b w:val="0"/>
          <w:bCs/>
          <w:color w:val="000000"/>
          <w:sz w:val="30"/>
          <w:szCs w:val="30"/>
          <w:lang w:val="en-US" w:eastAsia="zh-CN"/>
        </w:rPr>
        <w:t>2019年一般财政拨款收入197.83万元，年初结转与结余有29.59万元，</w:t>
      </w:r>
      <w:r>
        <w:rPr>
          <w:rFonts w:hint="eastAsia" w:ascii="宋体" w:hAnsi="宋体" w:eastAsia="宋体" w:cs="宋体"/>
          <w:b w:val="0"/>
          <w:bCs/>
          <w:sz w:val="30"/>
          <w:szCs w:val="30"/>
        </w:rPr>
        <w:t>201</w:t>
      </w:r>
      <w:r>
        <w:rPr>
          <w:rFonts w:hint="eastAsia" w:ascii="宋体" w:hAnsi="宋体" w:eastAsia="宋体" w:cs="宋体"/>
          <w:b w:val="0"/>
          <w:bCs/>
          <w:sz w:val="30"/>
          <w:szCs w:val="30"/>
          <w:lang w:val="en-US" w:eastAsia="zh-CN"/>
        </w:rPr>
        <w:t>9</w:t>
      </w:r>
      <w:r>
        <w:rPr>
          <w:rFonts w:hint="eastAsia" w:ascii="宋体" w:hAnsi="宋体" w:eastAsia="宋体" w:cs="宋体"/>
          <w:b w:val="0"/>
          <w:bCs/>
          <w:sz w:val="30"/>
          <w:szCs w:val="30"/>
        </w:rPr>
        <w:t>年支出</w:t>
      </w:r>
      <w:r>
        <w:rPr>
          <w:rFonts w:hint="eastAsia" w:ascii="宋体" w:hAnsi="宋体" w:eastAsia="宋体" w:cs="宋体"/>
          <w:b w:val="0"/>
          <w:bCs/>
          <w:sz w:val="30"/>
          <w:szCs w:val="30"/>
          <w:lang w:val="en-US" w:eastAsia="zh-CN"/>
        </w:rPr>
        <w:t>227.42</w:t>
      </w:r>
      <w:r>
        <w:rPr>
          <w:rFonts w:hint="eastAsia" w:ascii="宋体" w:hAnsi="宋体" w:eastAsia="宋体" w:cs="宋体"/>
          <w:b w:val="0"/>
          <w:bCs/>
          <w:sz w:val="30"/>
          <w:szCs w:val="30"/>
        </w:rPr>
        <w:t>万元，按资金来源分析：其中财政拨款支出</w:t>
      </w:r>
      <w:r>
        <w:rPr>
          <w:rFonts w:hint="eastAsia" w:ascii="宋体" w:hAnsi="宋体" w:eastAsia="宋体" w:cs="宋体"/>
          <w:b w:val="0"/>
          <w:bCs/>
          <w:sz w:val="30"/>
          <w:szCs w:val="30"/>
          <w:lang w:val="en-US" w:eastAsia="zh-CN"/>
        </w:rPr>
        <w:t>197.78</w:t>
      </w:r>
      <w:r>
        <w:rPr>
          <w:rFonts w:hint="eastAsia" w:ascii="宋体" w:hAnsi="宋体" w:eastAsia="宋体" w:cs="宋体"/>
          <w:b w:val="0"/>
          <w:bCs/>
          <w:sz w:val="30"/>
          <w:szCs w:val="30"/>
        </w:rPr>
        <w:t>万元，占目前总支出的</w:t>
      </w:r>
      <w:r>
        <w:rPr>
          <w:rFonts w:hint="eastAsia" w:ascii="宋体" w:hAnsi="宋体" w:eastAsia="宋体" w:cs="宋体"/>
          <w:b w:val="0"/>
          <w:bCs/>
          <w:sz w:val="30"/>
          <w:szCs w:val="30"/>
          <w:lang w:val="en-US" w:eastAsia="zh-CN"/>
        </w:rPr>
        <w:t>87</w:t>
      </w:r>
      <w:r>
        <w:rPr>
          <w:rFonts w:hint="eastAsia" w:ascii="宋体" w:hAnsi="宋体" w:eastAsia="宋体" w:cs="宋体"/>
          <w:b w:val="0"/>
          <w:bCs/>
          <w:sz w:val="30"/>
          <w:szCs w:val="30"/>
        </w:rPr>
        <w:t>%，</w:t>
      </w:r>
      <w:r>
        <w:rPr>
          <w:rFonts w:hint="eastAsia" w:ascii="宋体" w:hAnsi="宋体" w:eastAsia="宋体" w:cs="宋体"/>
          <w:b w:val="0"/>
          <w:bCs/>
          <w:sz w:val="30"/>
          <w:szCs w:val="30"/>
          <w:lang w:val="en-US" w:eastAsia="zh-CN"/>
        </w:rPr>
        <w:t>项目支出29.64万元，</w:t>
      </w:r>
      <w:r>
        <w:rPr>
          <w:rFonts w:hint="eastAsia" w:ascii="宋体" w:hAnsi="宋体" w:eastAsia="宋体" w:cs="宋体"/>
          <w:b w:val="0"/>
          <w:bCs/>
          <w:sz w:val="30"/>
          <w:szCs w:val="30"/>
        </w:rPr>
        <w:t>占目前总支出的</w:t>
      </w:r>
      <w:r>
        <w:rPr>
          <w:rFonts w:hint="eastAsia" w:ascii="宋体" w:hAnsi="宋体" w:eastAsia="宋体" w:cs="宋体"/>
          <w:b w:val="0"/>
          <w:bCs/>
          <w:sz w:val="30"/>
          <w:szCs w:val="30"/>
          <w:lang w:val="en-US" w:eastAsia="zh-CN"/>
        </w:rPr>
        <w:t>13</w:t>
      </w:r>
      <w:r>
        <w:rPr>
          <w:rFonts w:hint="eastAsia" w:ascii="宋体" w:hAnsi="宋体" w:eastAsia="宋体" w:cs="宋体"/>
          <w:b w:val="0"/>
          <w:bCs/>
          <w:sz w:val="30"/>
          <w:szCs w:val="30"/>
        </w:rPr>
        <w:t>%</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按支出性质分析：基本支出</w:t>
      </w:r>
      <w:r>
        <w:rPr>
          <w:rFonts w:hint="eastAsia" w:ascii="宋体" w:hAnsi="宋体" w:eastAsia="宋体" w:cs="宋体"/>
          <w:b w:val="0"/>
          <w:bCs/>
          <w:sz w:val="30"/>
          <w:szCs w:val="30"/>
          <w:lang w:val="en-US" w:eastAsia="zh-CN"/>
        </w:rPr>
        <w:t>197.78</w:t>
      </w:r>
      <w:r>
        <w:rPr>
          <w:rFonts w:hint="eastAsia" w:ascii="宋体" w:hAnsi="宋体" w:eastAsia="宋体" w:cs="宋体"/>
          <w:b w:val="0"/>
          <w:bCs/>
          <w:sz w:val="30"/>
          <w:szCs w:val="30"/>
        </w:rPr>
        <w:t>万元，占本年总支出的</w:t>
      </w:r>
      <w:r>
        <w:rPr>
          <w:rFonts w:hint="eastAsia" w:ascii="宋体" w:hAnsi="宋体" w:eastAsia="宋体" w:cs="宋体"/>
          <w:b w:val="0"/>
          <w:bCs/>
          <w:sz w:val="30"/>
          <w:szCs w:val="30"/>
          <w:lang w:val="en-US" w:eastAsia="zh-CN"/>
        </w:rPr>
        <w:t>87</w:t>
      </w:r>
      <w:r>
        <w:rPr>
          <w:rFonts w:hint="eastAsia" w:ascii="宋体" w:hAnsi="宋体" w:eastAsia="宋体" w:cs="宋体"/>
          <w:b w:val="0"/>
          <w:bCs/>
          <w:sz w:val="30"/>
          <w:szCs w:val="30"/>
        </w:rPr>
        <w:t>%，项目支出</w:t>
      </w:r>
      <w:r>
        <w:rPr>
          <w:rFonts w:hint="eastAsia" w:ascii="宋体" w:hAnsi="宋体" w:eastAsia="宋体" w:cs="宋体"/>
          <w:b w:val="0"/>
          <w:bCs/>
          <w:sz w:val="30"/>
          <w:szCs w:val="30"/>
          <w:lang w:val="en-US" w:eastAsia="zh-CN"/>
        </w:rPr>
        <w:t>29.64</w:t>
      </w:r>
      <w:r>
        <w:rPr>
          <w:rFonts w:hint="eastAsia" w:ascii="宋体" w:hAnsi="宋体" w:eastAsia="宋体" w:cs="宋体"/>
          <w:b w:val="0"/>
          <w:bCs/>
          <w:sz w:val="30"/>
          <w:szCs w:val="30"/>
        </w:rPr>
        <w:t>万元，占本年总支出的</w:t>
      </w:r>
      <w:r>
        <w:rPr>
          <w:rFonts w:hint="eastAsia" w:ascii="宋体" w:hAnsi="宋体" w:eastAsia="宋体" w:cs="宋体"/>
          <w:b w:val="0"/>
          <w:bCs/>
          <w:sz w:val="30"/>
          <w:szCs w:val="30"/>
          <w:lang w:val="en-US" w:eastAsia="zh-CN"/>
        </w:rPr>
        <w:t>13</w:t>
      </w:r>
      <w:r>
        <w:rPr>
          <w:rFonts w:hint="eastAsia" w:ascii="宋体" w:hAnsi="宋体" w:eastAsia="宋体" w:cs="宋体"/>
          <w:b w:val="0"/>
          <w:bCs/>
          <w:sz w:val="30"/>
          <w:szCs w:val="30"/>
        </w:rPr>
        <w:t>%；按支出经济分类：工资福利支出</w:t>
      </w:r>
      <w:r>
        <w:rPr>
          <w:rFonts w:hint="eastAsia" w:ascii="宋体" w:hAnsi="宋体" w:eastAsia="宋体" w:cs="宋体"/>
          <w:b w:val="0"/>
          <w:bCs/>
          <w:sz w:val="30"/>
          <w:szCs w:val="30"/>
          <w:lang w:val="en-US" w:eastAsia="zh-CN"/>
        </w:rPr>
        <w:t>179.92</w:t>
      </w:r>
      <w:r>
        <w:rPr>
          <w:rFonts w:hint="eastAsia" w:ascii="宋体" w:hAnsi="宋体" w:eastAsia="宋体" w:cs="宋体"/>
          <w:b w:val="0"/>
          <w:bCs/>
          <w:sz w:val="30"/>
          <w:szCs w:val="30"/>
        </w:rPr>
        <w:t>万元，占本年支出</w:t>
      </w:r>
      <w:r>
        <w:rPr>
          <w:rFonts w:hint="eastAsia" w:ascii="宋体" w:hAnsi="宋体" w:eastAsia="宋体" w:cs="宋体"/>
          <w:b w:val="0"/>
          <w:bCs/>
          <w:sz w:val="30"/>
          <w:szCs w:val="30"/>
          <w:lang w:val="en-US" w:eastAsia="zh-CN"/>
        </w:rPr>
        <w:t>79</w:t>
      </w:r>
      <w:r>
        <w:rPr>
          <w:rFonts w:hint="eastAsia" w:ascii="宋体" w:hAnsi="宋体" w:eastAsia="宋体" w:cs="宋体"/>
          <w:b w:val="0"/>
          <w:bCs/>
          <w:sz w:val="30"/>
          <w:szCs w:val="30"/>
        </w:rPr>
        <w:t>%，商品和服务支出</w:t>
      </w:r>
      <w:r>
        <w:rPr>
          <w:rFonts w:hint="eastAsia" w:ascii="宋体" w:hAnsi="宋体" w:eastAsia="宋体" w:cs="宋体"/>
          <w:b w:val="0"/>
          <w:bCs/>
          <w:sz w:val="30"/>
          <w:szCs w:val="30"/>
          <w:lang w:val="en-US" w:eastAsia="zh-CN"/>
        </w:rPr>
        <w:t>17.1</w:t>
      </w:r>
      <w:r>
        <w:rPr>
          <w:rFonts w:hint="eastAsia" w:ascii="宋体" w:hAnsi="宋体" w:eastAsia="宋体" w:cs="宋体"/>
          <w:b w:val="0"/>
          <w:bCs/>
          <w:sz w:val="30"/>
          <w:szCs w:val="30"/>
        </w:rPr>
        <w:t>万元，占本年支出</w:t>
      </w:r>
      <w:r>
        <w:rPr>
          <w:rFonts w:hint="eastAsia" w:ascii="宋体" w:hAnsi="宋体" w:eastAsia="宋体" w:cs="宋体"/>
          <w:b w:val="0"/>
          <w:bCs/>
          <w:sz w:val="30"/>
          <w:szCs w:val="30"/>
          <w:lang w:val="en-US" w:eastAsia="zh-CN"/>
        </w:rPr>
        <w:t>8</w:t>
      </w:r>
      <w:r>
        <w:rPr>
          <w:rFonts w:hint="eastAsia" w:ascii="宋体" w:hAnsi="宋体" w:eastAsia="宋体" w:cs="宋体"/>
          <w:b w:val="0"/>
          <w:bCs/>
          <w:sz w:val="30"/>
          <w:szCs w:val="30"/>
        </w:rPr>
        <w:t>%，对个人和家庭的补助</w:t>
      </w:r>
      <w:r>
        <w:rPr>
          <w:rFonts w:hint="eastAsia" w:ascii="宋体" w:hAnsi="宋体" w:eastAsia="宋体" w:cs="宋体"/>
          <w:b w:val="0"/>
          <w:bCs/>
          <w:sz w:val="30"/>
          <w:szCs w:val="30"/>
          <w:lang w:val="en-US" w:eastAsia="zh-CN"/>
        </w:rPr>
        <w:t>30.4</w:t>
      </w:r>
      <w:r>
        <w:rPr>
          <w:rFonts w:hint="eastAsia" w:ascii="宋体" w:hAnsi="宋体" w:eastAsia="宋体" w:cs="宋体"/>
          <w:b w:val="0"/>
          <w:bCs/>
          <w:sz w:val="30"/>
          <w:szCs w:val="30"/>
        </w:rPr>
        <w:t>万元，占本年支</w:t>
      </w:r>
      <w:r>
        <w:rPr>
          <w:rFonts w:hint="eastAsia" w:ascii="宋体" w:hAnsi="宋体" w:eastAsia="宋体" w:cs="宋体"/>
          <w:b w:val="0"/>
          <w:bCs/>
          <w:sz w:val="30"/>
          <w:szCs w:val="30"/>
          <w:lang w:val="en-US" w:eastAsia="zh-CN"/>
        </w:rPr>
        <w:t>13</w:t>
      </w:r>
      <w:r>
        <w:rPr>
          <w:rFonts w:hint="eastAsia" w:ascii="宋体" w:hAnsi="宋体" w:eastAsia="宋体" w:cs="宋体"/>
          <w:b w:val="0"/>
          <w:bCs/>
          <w:sz w:val="30"/>
          <w:szCs w:val="30"/>
        </w:rPr>
        <w:t>%。</w:t>
      </w:r>
    </w:p>
    <w:p>
      <w:pPr>
        <w:pStyle w:val="6"/>
        <w:shd w:val="clear" w:color="auto" w:fill="FFFFFF"/>
        <w:spacing w:before="0" w:beforeAutospacing="0" w:after="0" w:afterAutospacing="0" w:line="560" w:lineRule="exact"/>
        <w:jc w:val="both"/>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 xml:space="preserve">    （2）“三公”经费预算执行情况:</w:t>
      </w:r>
    </w:p>
    <w:p>
      <w:pPr>
        <w:pStyle w:val="6"/>
        <w:shd w:val="clear" w:color="auto" w:fill="FFFFFF"/>
        <w:spacing w:before="0" w:beforeAutospacing="0" w:after="0" w:afterAutospacing="0" w:line="560" w:lineRule="exact"/>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 xml:space="preserve">    201</w:t>
      </w:r>
      <w:r>
        <w:rPr>
          <w:rFonts w:hint="eastAsia" w:ascii="宋体" w:hAnsi="宋体" w:eastAsia="宋体" w:cs="宋体"/>
          <w:b w:val="0"/>
          <w:bCs/>
          <w:color w:val="000000"/>
          <w:sz w:val="30"/>
          <w:szCs w:val="30"/>
          <w:lang w:val="en-US" w:eastAsia="zh-CN"/>
        </w:rPr>
        <w:t>9</w:t>
      </w:r>
      <w:r>
        <w:rPr>
          <w:rFonts w:hint="eastAsia" w:ascii="宋体" w:hAnsi="宋体" w:eastAsia="宋体" w:cs="宋体"/>
          <w:b w:val="0"/>
          <w:bCs/>
          <w:color w:val="000000"/>
          <w:sz w:val="30"/>
          <w:szCs w:val="30"/>
        </w:rPr>
        <w:t>年预算公务接待费</w:t>
      </w:r>
      <w:r>
        <w:rPr>
          <w:rFonts w:hint="eastAsia" w:ascii="宋体" w:hAnsi="宋体" w:eastAsia="宋体" w:cs="宋体"/>
          <w:b w:val="0"/>
          <w:bCs/>
          <w:color w:val="000000"/>
          <w:sz w:val="30"/>
          <w:szCs w:val="30"/>
          <w:lang w:val="en-US" w:eastAsia="zh-CN"/>
        </w:rPr>
        <w:t>0</w:t>
      </w:r>
      <w:r>
        <w:rPr>
          <w:rFonts w:hint="eastAsia" w:ascii="宋体" w:hAnsi="宋体" w:eastAsia="宋体" w:cs="宋体"/>
          <w:b w:val="0"/>
          <w:bCs/>
          <w:color w:val="000000"/>
          <w:sz w:val="30"/>
          <w:szCs w:val="30"/>
        </w:rPr>
        <w:t>万元,公务用车运行维护费</w:t>
      </w:r>
      <w:r>
        <w:rPr>
          <w:rFonts w:hint="eastAsia" w:ascii="宋体" w:hAnsi="宋体" w:eastAsia="宋体" w:cs="宋体"/>
          <w:b w:val="0"/>
          <w:bCs/>
          <w:color w:val="000000"/>
          <w:sz w:val="30"/>
          <w:szCs w:val="30"/>
          <w:lang w:val="en-US" w:eastAsia="zh-CN"/>
        </w:rPr>
        <w:t>0.98</w:t>
      </w:r>
      <w:r>
        <w:rPr>
          <w:rFonts w:hint="eastAsia" w:ascii="宋体" w:hAnsi="宋体" w:eastAsia="宋体" w:cs="宋体"/>
          <w:b w:val="0"/>
          <w:bCs/>
          <w:color w:val="000000"/>
          <w:sz w:val="30"/>
          <w:szCs w:val="30"/>
        </w:rPr>
        <w:t>万元,合计</w:t>
      </w:r>
      <w:r>
        <w:rPr>
          <w:rFonts w:hint="eastAsia" w:ascii="宋体" w:hAnsi="宋体" w:eastAsia="宋体" w:cs="宋体"/>
          <w:b w:val="0"/>
          <w:bCs/>
          <w:color w:val="000000"/>
          <w:sz w:val="30"/>
          <w:szCs w:val="30"/>
          <w:lang w:val="en-US" w:eastAsia="zh-CN"/>
        </w:rPr>
        <w:t>0.98</w:t>
      </w:r>
      <w:r>
        <w:rPr>
          <w:rFonts w:hint="eastAsia" w:ascii="宋体" w:hAnsi="宋体" w:eastAsia="宋体" w:cs="宋体"/>
          <w:b w:val="0"/>
          <w:bCs/>
          <w:color w:val="000000"/>
          <w:sz w:val="30"/>
          <w:szCs w:val="30"/>
        </w:rPr>
        <w:t>万元</w:t>
      </w:r>
      <w:r>
        <w:rPr>
          <w:rFonts w:hint="eastAsia" w:ascii="宋体" w:hAnsi="宋体" w:eastAsia="宋体" w:cs="宋体"/>
          <w:b w:val="0"/>
          <w:bCs/>
          <w:sz w:val="30"/>
          <w:szCs w:val="30"/>
        </w:rPr>
        <w:t>。</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本单位有一辆人社局划拨的越野车，应许在经费里支付</w:t>
      </w:r>
      <w:r>
        <w:rPr>
          <w:rFonts w:hint="eastAsia" w:ascii="宋体" w:hAnsi="宋体" w:eastAsia="宋体" w:cs="宋体"/>
          <w:b w:val="0"/>
          <w:bCs/>
          <w:sz w:val="30"/>
          <w:szCs w:val="30"/>
          <w:lang w:eastAsia="zh-CN"/>
        </w:rPr>
        <w:t>）</w:t>
      </w:r>
    </w:p>
    <w:p>
      <w:pPr>
        <w:spacing w:line="580" w:lineRule="exact"/>
        <w:ind w:firstLine="602" w:firstLineChars="200"/>
        <w:rPr>
          <w:rFonts w:hint="eastAsia" w:ascii="宋体" w:hAnsi="宋体" w:eastAsia="宋体" w:cs="宋体"/>
          <w:sz w:val="32"/>
          <w:szCs w:val="32"/>
        </w:rPr>
      </w:pPr>
      <w:r>
        <w:rPr>
          <w:rFonts w:hint="eastAsia" w:ascii="宋体" w:hAnsi="宋体" w:eastAsia="宋体" w:cs="宋体"/>
          <w:b/>
          <w:bCs/>
          <w:sz w:val="30"/>
          <w:szCs w:val="30"/>
        </w:rPr>
        <w:t>（三）结果应用情况。</w:t>
      </w:r>
    </w:p>
    <w:p>
      <w:pPr>
        <w:snapToGrid w:val="0"/>
        <w:spacing w:line="560" w:lineRule="exact"/>
        <w:ind w:firstLine="600" w:firstLineChars="200"/>
        <w:jc w:val="left"/>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snapToGrid w:val="0"/>
        <w:spacing w:line="560" w:lineRule="exact"/>
        <w:ind w:firstLine="600" w:firstLineChars="200"/>
        <w:jc w:val="left"/>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6"/>
        <w:shd w:val="clear" w:color="auto" w:fill="FFFFFF"/>
        <w:spacing w:before="0" w:beforeAutospacing="0" w:after="0" w:afterAutospacing="0" w:line="560" w:lineRule="exac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bookmarkStart w:id="0" w:name="_GoBack"/>
      <w:bookmarkEnd w:id="0"/>
      <w:r>
        <w:rPr>
          <w:rFonts w:hint="eastAsia" w:ascii="宋体" w:hAnsi="宋体" w:eastAsia="宋体" w:cs="宋体"/>
          <w:b w:val="0"/>
          <w:bCs/>
          <w:color w:val="000000"/>
          <w:sz w:val="30"/>
          <w:szCs w:val="30"/>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numPr>
          <w:ilvl w:val="0"/>
          <w:numId w:val="3"/>
        </w:numPr>
        <w:spacing w:line="580" w:lineRule="exact"/>
        <w:ind w:firstLine="321" w:firstLineChars="100"/>
        <w:rPr>
          <w:rFonts w:hint="eastAsia" w:ascii="宋体" w:hAnsi="宋体" w:eastAsia="宋体" w:cs="宋体"/>
          <w:b/>
          <w:bCs/>
          <w:sz w:val="32"/>
          <w:szCs w:val="32"/>
        </w:rPr>
      </w:pPr>
      <w:r>
        <w:rPr>
          <w:rFonts w:hint="eastAsia" w:ascii="宋体" w:hAnsi="宋体" w:eastAsia="宋体" w:cs="宋体"/>
          <w:b/>
          <w:bCs/>
          <w:sz w:val="32"/>
          <w:szCs w:val="32"/>
        </w:rPr>
        <w:t>评价结论及建议</w:t>
      </w:r>
    </w:p>
    <w:p>
      <w:pPr>
        <w:numPr>
          <w:numId w:val="0"/>
        </w:numPr>
        <w:spacing w:line="580" w:lineRule="exact"/>
        <w:ind w:firstLine="602" w:firstLineChars="200"/>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（一）评价结论</w:t>
      </w:r>
    </w:p>
    <w:p>
      <w:pPr>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从自评情况来看，我局部门支出绩效水平较高，整体上完成了年初设定的绩效目标，保障了我局工作的正常运转，促进了我局的事业发展，充分发挥了财政资金的经济效益和社会效益。</w:t>
      </w:r>
    </w:p>
    <w:p>
      <w:pPr>
        <w:ind w:firstLine="602" w:firstLineChars="200"/>
        <w:rPr>
          <w:rFonts w:hint="eastAsia" w:ascii="宋体" w:hAnsi="宋体" w:eastAsia="宋体" w:cs="宋体"/>
          <w:b/>
          <w:bCs w:val="0"/>
          <w:sz w:val="30"/>
          <w:szCs w:val="30"/>
          <w:lang w:val="zh-CN"/>
        </w:rPr>
      </w:pPr>
      <w:r>
        <w:rPr>
          <w:rFonts w:hint="eastAsia" w:ascii="宋体" w:hAnsi="宋体" w:cs="宋体"/>
          <w:b/>
          <w:bCs w:val="0"/>
          <w:sz w:val="30"/>
          <w:szCs w:val="30"/>
          <w:lang w:val="en-US" w:eastAsia="zh-CN"/>
        </w:rPr>
        <w:t>(二）</w:t>
      </w:r>
      <w:r>
        <w:rPr>
          <w:rFonts w:hint="eastAsia" w:ascii="宋体" w:hAnsi="宋体" w:eastAsia="宋体" w:cs="宋体"/>
          <w:b/>
          <w:bCs w:val="0"/>
          <w:sz w:val="30"/>
          <w:szCs w:val="30"/>
          <w:lang w:val="zh-CN"/>
        </w:rPr>
        <w:t>存在问题</w:t>
      </w:r>
    </w:p>
    <w:p>
      <w:pPr>
        <w:numPr>
          <w:numId w:val="0"/>
        </w:numPr>
        <w:ind w:firstLine="600" w:firstLineChars="200"/>
        <w:rPr>
          <w:rFonts w:hint="eastAsia" w:ascii="宋体" w:hAnsi="宋体" w:eastAsia="宋体" w:cs="宋体"/>
          <w:b w:val="0"/>
          <w:bCs/>
          <w:sz w:val="30"/>
          <w:szCs w:val="30"/>
          <w:lang w:val="zh-CN"/>
        </w:rPr>
      </w:pPr>
      <w:r>
        <w:rPr>
          <w:rFonts w:hint="eastAsia" w:ascii="宋体" w:hAnsi="宋体" w:eastAsia="宋体" w:cs="宋体"/>
          <w:b w:val="0"/>
          <w:bCs/>
          <w:sz w:val="30"/>
          <w:szCs w:val="30"/>
        </w:rPr>
        <w:t>从绩效评价看，部门支出预算和绩效评价工作还存在部分项目无法用量化指标来进行考评的问题。</w:t>
      </w:r>
    </w:p>
    <w:p>
      <w:pPr>
        <w:pStyle w:val="6"/>
        <w:numPr>
          <w:numId w:val="0"/>
        </w:numPr>
        <w:shd w:val="clear" w:color="auto" w:fill="FFFFFF"/>
        <w:spacing w:before="0" w:beforeAutospacing="0" w:after="0" w:afterAutospacing="0" w:line="560" w:lineRule="exact"/>
        <w:ind w:firstLine="602" w:firstLineChars="200"/>
        <w:rPr>
          <w:rFonts w:hint="eastAsia" w:ascii="宋体" w:hAnsi="宋体" w:eastAsia="宋体" w:cs="宋体"/>
          <w:b w:val="0"/>
          <w:bCs/>
          <w:sz w:val="30"/>
          <w:szCs w:val="30"/>
          <w:lang w:val="zh-CN"/>
        </w:rPr>
      </w:pPr>
      <w:r>
        <w:rPr>
          <w:rFonts w:hint="eastAsia" w:cs="宋体"/>
          <w:b/>
          <w:bCs w:val="0"/>
          <w:sz w:val="30"/>
          <w:szCs w:val="30"/>
          <w:lang w:val="zh-CN"/>
        </w:rPr>
        <w:t>（</w:t>
      </w:r>
      <w:r>
        <w:rPr>
          <w:rFonts w:hint="eastAsia" w:cs="宋体"/>
          <w:b/>
          <w:bCs w:val="0"/>
          <w:sz w:val="30"/>
          <w:szCs w:val="30"/>
          <w:lang w:val="en-US" w:eastAsia="zh-CN"/>
        </w:rPr>
        <w:t>三</w:t>
      </w:r>
      <w:r>
        <w:rPr>
          <w:rFonts w:hint="eastAsia" w:cs="宋体"/>
          <w:b/>
          <w:bCs w:val="0"/>
          <w:sz w:val="30"/>
          <w:szCs w:val="30"/>
          <w:lang w:val="zh-CN"/>
        </w:rPr>
        <w:t>）</w:t>
      </w:r>
      <w:r>
        <w:rPr>
          <w:rFonts w:hint="eastAsia" w:ascii="宋体" w:hAnsi="宋体" w:eastAsia="宋体" w:cs="宋体"/>
          <w:b/>
          <w:bCs w:val="0"/>
          <w:sz w:val="30"/>
          <w:szCs w:val="30"/>
          <w:lang w:val="zh-CN"/>
        </w:rPr>
        <w:t>改进建议</w:t>
      </w:r>
    </w:p>
    <w:p>
      <w:pPr>
        <w:pStyle w:val="6"/>
        <w:numPr>
          <w:numId w:val="0"/>
        </w:numPr>
        <w:shd w:val="clear" w:color="auto" w:fill="FFFFFF"/>
        <w:spacing w:before="0" w:beforeAutospacing="0" w:after="0" w:afterAutospacing="0" w:line="560" w:lineRule="exact"/>
        <w:ind w:leftChars="200"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建议加强对绩效评价工作的培训和指导，进一步优化项目绩效考核指标体系，做到合理性</w:t>
      </w:r>
      <w:r>
        <w:rPr>
          <w:rFonts w:hint="eastAsia" w:cs="宋体"/>
          <w:b w:val="0"/>
          <w:bCs/>
          <w:sz w:val="30"/>
          <w:szCs w:val="30"/>
          <w:lang w:val="en-US" w:eastAsia="zh-CN"/>
        </w:rPr>
        <w:t>与可调整性。</w:t>
      </w:r>
      <w:r>
        <w:rPr>
          <w:rFonts w:hint="eastAsia" w:ascii="宋体" w:hAnsi="宋体" w:eastAsia="宋体" w:cs="宋体"/>
          <w:b w:val="0"/>
          <w:bCs/>
          <w:sz w:val="30"/>
          <w:szCs w:val="30"/>
        </w:rPr>
        <w:t>　  </w:t>
      </w:r>
    </w:p>
    <w:p>
      <w:pPr>
        <w:pStyle w:val="6"/>
        <w:shd w:val="clear" w:color="auto" w:fill="FFFFFF"/>
        <w:spacing w:before="0" w:beforeAutospacing="0" w:after="0" w:afterAutospacing="0" w:line="560" w:lineRule="exact"/>
        <w:rPr>
          <w:rFonts w:hint="eastAsia" w:ascii="宋体" w:hAnsi="宋体" w:eastAsia="宋体" w:cs="宋体"/>
          <w:b w:val="0"/>
          <w:bCs/>
          <w:sz w:val="30"/>
          <w:szCs w:val="30"/>
        </w:rPr>
      </w:pPr>
    </w:p>
    <w:p>
      <w:pPr>
        <w:spacing w:line="580" w:lineRule="exact"/>
        <w:ind w:firstLine="640" w:firstLineChars="200"/>
        <w:rPr>
          <w:rFonts w:hint="eastAsia" w:ascii="宋体" w:hAnsi="宋体" w:eastAsia="宋体" w:cs="宋体"/>
          <w:sz w:val="32"/>
          <w:szCs w:val="32"/>
        </w:rPr>
      </w:pPr>
    </w:p>
    <w:p>
      <w:pPr>
        <w:widowControl/>
        <w:ind w:firstLine="2560" w:firstLineChars="8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黑水县城乡居民养老保险事业管理局</w:t>
      </w:r>
    </w:p>
    <w:p>
      <w:pPr>
        <w:widowControl/>
        <w:ind w:firstLine="3840" w:firstLineChars="1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23820"/>
    <w:multiLevelType w:val="singleLevel"/>
    <w:tmpl w:val="B2E23820"/>
    <w:lvl w:ilvl="0" w:tentative="0">
      <w:start w:val="4"/>
      <w:numFmt w:val="chineseCounting"/>
      <w:suff w:val="nothing"/>
      <w:lvlText w:val="%1、"/>
      <w:lvlJc w:val="left"/>
      <w:rPr>
        <w:rFonts w:hint="eastAsia"/>
      </w:rPr>
    </w:lvl>
  </w:abstractNum>
  <w:abstractNum w:abstractNumId="1">
    <w:nsid w:val="1F9C7238"/>
    <w:multiLevelType w:val="singleLevel"/>
    <w:tmpl w:val="1F9C7238"/>
    <w:lvl w:ilvl="0" w:tentative="0">
      <w:start w:val="2"/>
      <w:numFmt w:val="chineseCounting"/>
      <w:suff w:val="nothing"/>
      <w:lvlText w:val="（%1）"/>
      <w:lvlJc w:val="left"/>
      <w:rPr>
        <w:rFonts w:hint="eastAsia"/>
      </w:rPr>
    </w:lvl>
  </w:abstractNum>
  <w:abstractNum w:abstractNumId="2">
    <w:nsid w:val="22D295CC"/>
    <w:multiLevelType w:val="singleLevel"/>
    <w:tmpl w:val="22D295C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36435EC2"/>
    <w:rsid w:val="4B27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11</TotalTime>
  <ScaleCrop>false</ScaleCrop>
  <LinksUpToDate>false</LinksUpToDate>
  <CharactersWithSpaces>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Watermelon</cp:lastModifiedBy>
  <dcterms:modified xsi:type="dcterms:W3CDTF">2020-08-11T02:34:20Z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