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44"/>
          <w:szCs w:val="44"/>
          <w:lang w:val="en-US" w:eastAsia="zh-CN"/>
        </w:rPr>
      </w:pPr>
      <w:r>
        <w:rPr>
          <w:rFonts w:hint="eastAsia" w:ascii="仿宋_GB2312" w:hAnsi="黑体" w:eastAsia="仿宋_GB2312" w:cs="方正小标宋简体"/>
          <w:b/>
          <w:sz w:val="44"/>
          <w:szCs w:val="44"/>
          <w:lang w:val="en-US" w:eastAsia="zh-CN"/>
        </w:rPr>
        <w:t>黑水县城乡居民养老保险事业管理局</w:t>
      </w: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44"/>
          <w:szCs w:val="44"/>
          <w:lang w:val="en-US" w:eastAsia="zh-CN"/>
        </w:rPr>
      </w:pPr>
      <w:r>
        <w:rPr>
          <w:rFonts w:hint="eastAsia" w:ascii="仿宋_GB2312" w:hAnsi="黑体" w:eastAsia="仿宋_GB2312" w:cs="方正小标宋简体"/>
          <w:b/>
          <w:sz w:val="44"/>
          <w:szCs w:val="44"/>
          <w:lang w:val="en-US" w:eastAsia="zh-CN"/>
        </w:rPr>
        <w:t>2022年项目支出绩效评价报告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统筹业务股室按照各乡镇提供重度残疾人资料，核实该身份，一经确认，需在系统内对其进行重度残疾人代缴养老保险，出纳汇总确认，根据业务股室提供人数说明对年初预算资金进行支付，会计登账处理。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重度残疾代缴社会保险个人缴费年初预算18.5万元，2022年实际重度残疾代缴453人，代缴标准500元/人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年，代缴资金22.65万元，预算资金不足，县级财政及时足额补差，对重度残疾困难人员按500元标准代缴城乡居民基本养老保险，实现法定人员全覆盖，逐步提高社会保险待遇水平。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阿坝州人民政府</w:t>
      </w:r>
      <w:r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t>关于印发《阿坝州完善城乡居民基本养老保险 制度实施办法》的通知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（阿府发〔2021〕15号）文件要求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对重度残疾人、独生子女伤残死亡家庭（指独生子女三级以 上残疾或者死亡且未再生育或者收养子女的家庭）夫妻，由州、县 （市）人民政府按 100 元/年·人的标准为其代缴养老保险费，所需 资金由州、县（市）两级财政按 4:6 比例进行分担。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地方政策有根据2011年黑水县人民政府第十一届65次常务会会议精神，对重度（一、二级）残疾人、独生子女伤残死亡家庭（指独生子女三级以上残疾或死亡且未再生育或收养子女的家庭）夫妻，人民政府按500元/年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·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人的标准为其代缴养老保险费。综合两项政策，故州上应承担40元，县级承担460元。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重度残疾代缴社会保险个人缴费年初预算18.5万元，2022年实际重度残疾代缴453人，代缴标准500元/人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年，代缴资金22.65万元，预算资金不足，县级财政及时足额补差。</w:t>
      </w:r>
      <w:r>
        <w:rPr>
          <w:rFonts w:hint="eastAsia" w:ascii="仿宋" w:hAnsi="仿宋" w:eastAsia="仿宋" w:cs="仿宋"/>
          <w:sz w:val="32"/>
          <w:szCs w:val="32"/>
        </w:rPr>
        <w:t>对照项目资金管理办法，评价项目严格执行财务管理制度、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及时进行</w:t>
      </w:r>
      <w:r>
        <w:rPr>
          <w:rFonts w:hint="eastAsia" w:ascii="仿宋" w:hAnsi="仿宋" w:eastAsia="仿宋" w:cs="仿宋"/>
          <w:sz w:val="32"/>
          <w:szCs w:val="32"/>
        </w:rPr>
        <w:t>财务处理、会计核算规范。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项目目标完成情况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数量指标：代缴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城乡居民基本养老保险，按照政策规定应缴尽缴；质量指标：重度残疾困难人员的参保率指标值达100%；时效指标：资金在规定时间下达率100%；成本指标：代缴重度残疾困难人员标准500元/人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年。</w:t>
      </w:r>
      <w:r>
        <w:rPr>
          <w:rFonts w:hint="eastAsia" w:ascii="仿宋_GB2312" w:hAnsi="仿宋" w:eastAsia="仿宋_GB2312" w:cs="仿宋_GB2312"/>
          <w:sz w:val="32"/>
          <w:szCs w:val="32"/>
        </w:rPr>
        <w:t>项目效益情况（经济效益、项目社会效益、生态效益、可持续效益、公平性、资金使用效率、受益群体满意度等）。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社会效益指标：对困难群体的促进作用，实现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实现法定人员全覆盖，逐步提高社会保险待遇水平；满意度指标：</w:t>
      </w:r>
      <w:r>
        <w:rPr>
          <w:rFonts w:hint="eastAsia" w:ascii="仿宋_GB2312" w:hAnsi="仿宋" w:eastAsia="仿宋_GB2312" w:cs="仿宋_GB2312"/>
          <w:sz w:val="32"/>
          <w:szCs w:val="32"/>
        </w:rPr>
        <w:t>受益群体满意度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达95%。</w:t>
      </w:r>
    </w:p>
    <w:p>
      <w:pPr>
        <w:numPr>
          <w:numId w:val="0"/>
        </w:numPr>
        <w:spacing w:line="58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</w:p>
    <w:p>
      <w:pPr>
        <w:numPr>
          <w:numId w:val="0"/>
        </w:numPr>
        <w:spacing w:line="58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无。</w:t>
      </w:r>
      <w:bookmarkStart w:id="0" w:name="_GoBack"/>
      <w:bookmarkEnd w:id="0"/>
    </w:p>
    <w:p>
      <w:pPr>
        <w:numPr>
          <w:numId w:val="0"/>
        </w:numPr>
        <w:spacing w:line="580" w:lineRule="exact"/>
        <w:ind w:leftChars="200"/>
        <w:rPr>
          <w:rFonts w:hint="eastAsia" w:ascii="仿宋_GB2312" w:hAnsi="仿宋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F161FB"/>
    <w:multiLevelType w:val="singleLevel"/>
    <w:tmpl w:val="A4F161F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A3NDkxMWExMzRkMTgzMDZhZWNkZmRkNzNlZDcxMmEifQ=="/>
  </w:docVars>
  <w:rsids>
    <w:rsidRoot w:val="004C22EC"/>
    <w:rsid w:val="004C22EC"/>
    <w:rsid w:val="007B38C6"/>
    <w:rsid w:val="15037617"/>
    <w:rsid w:val="1B4A3EC4"/>
    <w:rsid w:val="20903B81"/>
    <w:rsid w:val="32CA5C84"/>
    <w:rsid w:val="4A0B0DD8"/>
    <w:rsid w:val="57B166CC"/>
    <w:rsid w:val="60EB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13</TotalTime>
  <ScaleCrop>false</ScaleCrop>
  <LinksUpToDate>false</LinksUpToDate>
  <CharactersWithSpaces>339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Watermelon</cp:lastModifiedBy>
  <dcterms:modified xsi:type="dcterms:W3CDTF">2023-08-23T08:46:26Z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4731A01C4C7C412987CA57528A918636_12</vt:lpwstr>
  </property>
</Properties>
</file>