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sz w:val="44"/>
          <w:szCs w:val="44"/>
        </w:rPr>
      </w:pPr>
      <w:bookmarkStart w:id="0" w:name="_Toc15396616"/>
      <w:r>
        <w:rPr>
          <w:rFonts w:hint="eastAsia" w:ascii="方正小标宋_GBK" w:hAnsi="方正小标宋_GBK" w:eastAsia="方正小标宋_GBK" w:cs="方正小标宋_GBK"/>
          <w:b/>
          <w:sz w:val="44"/>
          <w:szCs w:val="44"/>
        </w:rPr>
        <w:t>黑</w:t>
      </w:r>
      <w:r>
        <w:rPr>
          <w:rFonts w:hint="eastAsia" w:ascii="方正小标宋_GBK" w:hAnsi="方正小标宋_GBK" w:eastAsia="方正小标宋_GBK" w:cs="方正小标宋_GBK"/>
          <w:b/>
          <w:sz w:val="44"/>
          <w:szCs w:val="44"/>
        </w:rPr>
        <w:t>水县科</w:t>
      </w:r>
      <w:r>
        <w:rPr>
          <w:rFonts w:hint="eastAsia" w:ascii="方正小标宋_GBK" w:hAnsi="方正小标宋_GBK" w:eastAsia="方正小标宋_GBK" w:cs="方正小标宋_GBK"/>
          <w:b/>
          <w:sz w:val="44"/>
          <w:szCs w:val="44"/>
        </w:rPr>
        <w:t>学</w:t>
      </w:r>
      <w:r>
        <w:rPr>
          <w:rFonts w:hint="eastAsia" w:ascii="方正小标宋_GBK" w:hAnsi="方正小标宋_GBK" w:eastAsia="方正小标宋_GBK" w:cs="方正小标宋_GBK"/>
          <w:b/>
          <w:sz w:val="44"/>
          <w:szCs w:val="44"/>
        </w:rPr>
        <w:t>技术协会</w:t>
      </w:r>
      <w:r>
        <w:rPr>
          <w:rFonts w:hint="eastAsia" w:ascii="方正小标宋_GBK" w:hAnsi="方正小标宋_GBK" w:eastAsia="方正小标宋_GBK" w:cs="方正小标宋_GBK"/>
          <w:b/>
          <w:sz w:val="44"/>
          <w:szCs w:val="44"/>
        </w:rPr>
        <w:t>2021年部门</w:t>
      </w:r>
    </w:p>
    <w:p>
      <w:pPr>
        <w:spacing w:line="600" w:lineRule="exact"/>
        <w:jc w:val="center"/>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黑水县科学技术协会属于党领导下的人民团体，没有下属二级预算单位。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科学技术协会主要负责开展学术交流，活跃学术思想，弘扬科学精神，普及科学知识，科学思想和科学方法，捍卫科学尊严，推广先进技术，代办、领办和举办经济实体；编辑学术刊物和科普读物，举办为科技工作者服务的事业。开展青少年科学技术教育活动，提高全民族科学文化素质。开展全民科学素质纲要的贯彻落实工作。反映科技工作者的意见和要求，维护科技工作者的合法权益。组织科技工作者参与科技政策、法规制定，表彰奖励有突出贡献的优秀科技团体和科技工作者，举荐人才。开展科学论证、咨询服务，提出政策建议，促进科技成果的转化。开展民间科技交流与合作，发展同省内外，州内外、县内外的科技团体和人员的友好往来，促进对外交往。对所属县级学会、协会进行管理，对基层科协、农村专业协会进行业务指导。承担县委、县政府交办的其他事项。</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单位总编制4名，其中：行政编制3名，工勤1名。实有在职人员总数5人，（其中：行政人员5人）；退休人员2人。</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1．收入与预算对比分析：本单位20</w:t>
      </w:r>
      <w:r>
        <w:rPr>
          <w:rFonts w:ascii="仿宋_GB2312" w:hAnsi="仿宋" w:eastAsia="仿宋_GB2312" w:cs="仿宋_GB2312"/>
          <w:sz w:val="32"/>
          <w:szCs w:val="32"/>
        </w:rPr>
        <w:t>2</w:t>
      </w:r>
      <w:r>
        <w:rPr>
          <w:rFonts w:hint="eastAsia" w:ascii="仿宋_GB2312" w:hAnsi="仿宋" w:eastAsia="仿宋_GB2312" w:cs="仿宋_GB2312"/>
          <w:sz w:val="32"/>
          <w:szCs w:val="32"/>
        </w:rPr>
        <w:t>1年年初预算安排收入144.4万元，本年实际收入144.4万元，本年实际收入与年初预算数</w:t>
      </w:r>
      <w:r>
        <w:rPr>
          <w:rFonts w:ascii="仿宋_GB2312" w:hAnsi="仿宋" w:eastAsia="仿宋_GB2312" w:cs="仿宋_GB2312"/>
          <w:sz w:val="32"/>
          <w:szCs w:val="32"/>
        </w:rPr>
        <w:t>持平</w:t>
      </w:r>
      <w:r>
        <w:rPr>
          <w:rFonts w:hint="eastAsia" w:ascii="仿宋_GB2312" w:hAnsi="仿宋" w:eastAsia="仿宋_GB2312" w:cs="仿宋_GB2312"/>
          <w:sz w:val="32"/>
          <w:szCs w:val="32"/>
        </w:rPr>
        <w:t>，差异率</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2．本年收入与上年收入的对比分析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本年度实际收入144.4万元，比上年度收入158.85万元减少14.465万元，下降10%。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3．本年收入结构分析：本年收入144.4万元，其中财政拨款收入144.4万元，占本年收入的100%。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1．支出与预算对比分析：本年预算支出186.11万元，本年决算数支出186.11万元。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本年度实际支出186.11万元，比上年度151.17万元增加34.94万元，增长率18.77%,差异原因主要：人员经费及项目资金增加。</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186.11万元，按资金来源分析：其中财政拨款支出186.11万元，占本年总支出的100%。按支出性质分析：基本支出143.08万元，占本年总支出的76.88%，项目支出43.03万元，占本年总支出的23.12%；按支出经济分类：工资福利支出119.51万元，占本年支出64.21%，商品和服务支出45.3万元，占本年支出24.34%，对个人和家庭的补助10.64万元，占本年支出5.72%，其</w:t>
      </w:r>
      <w:r>
        <w:rPr>
          <w:rFonts w:ascii="仿宋_GB2312" w:hAnsi="仿宋" w:eastAsia="仿宋_GB2312" w:cs="仿宋_GB2312"/>
          <w:sz w:val="32"/>
          <w:szCs w:val="32"/>
        </w:rPr>
        <w:t>他资</w:t>
      </w:r>
      <w:r>
        <w:rPr>
          <w:rFonts w:hint="eastAsia" w:ascii="仿宋_GB2312" w:hAnsi="仿宋" w:eastAsia="仿宋_GB2312" w:cs="仿宋_GB2312"/>
          <w:sz w:val="32"/>
          <w:szCs w:val="32"/>
        </w:rPr>
        <w:t>本</w:t>
      </w:r>
      <w:r>
        <w:rPr>
          <w:rFonts w:ascii="仿宋_GB2312" w:hAnsi="仿宋" w:eastAsia="仿宋_GB2312" w:cs="仿宋_GB2312"/>
          <w:sz w:val="32"/>
          <w:szCs w:val="32"/>
        </w:rPr>
        <w:t>性支出</w:t>
      </w:r>
      <w:r>
        <w:rPr>
          <w:rFonts w:hint="eastAsia" w:ascii="仿宋_GB2312" w:hAnsi="仿宋" w:eastAsia="仿宋_GB2312" w:cs="仿宋_GB2312"/>
          <w:sz w:val="32"/>
          <w:szCs w:val="32"/>
        </w:rPr>
        <w:t>10.65万元，占本年支出5.73%。</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w:t>
      </w:r>
      <w:r>
        <w:rPr>
          <w:rFonts w:ascii="仿宋_GB2312" w:hAnsi="仿宋" w:eastAsia="仿宋_GB2312" w:cs="仿宋_GB2312"/>
          <w:sz w:val="32"/>
          <w:szCs w:val="32"/>
        </w:rPr>
        <w:t>2</w:t>
      </w:r>
      <w:r>
        <w:rPr>
          <w:rFonts w:hint="eastAsia" w:ascii="仿宋_GB2312" w:hAnsi="仿宋" w:eastAsia="仿宋_GB2312" w:cs="仿宋_GB2312"/>
          <w:sz w:val="32"/>
          <w:szCs w:val="32"/>
        </w:rPr>
        <w:t>1年年初预算安排收入144.4万元, 本年预算支出186.11万元。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严格执行“厉行节约、反对浪费”的规定，严格控制“三公”经费支出，加强公务用车管理，努力降低燃修费用，“三公”经费较上年有所增加。本年三公经费支出2.11万元，其中：公务用车运行维护费2.11万元，公务接待0万元。上年三公经费支出2.42万元，其中：公务用车运行维护费2.33万元，公务接待0.09万元。</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rPr>
        <w:t>无</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我们将进一步重视预算的编制工作，提高预算编制的精确度，提高财政资金使用效率，尽量减少预算执行调整、结转和结余注销的情形。</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45E05"/>
    <w:rsid w:val="00141269"/>
    <w:rsid w:val="001B66CE"/>
    <w:rsid w:val="002149B6"/>
    <w:rsid w:val="00267126"/>
    <w:rsid w:val="00291808"/>
    <w:rsid w:val="002A123B"/>
    <w:rsid w:val="00491B22"/>
    <w:rsid w:val="004B3FD9"/>
    <w:rsid w:val="00517393"/>
    <w:rsid w:val="0052390C"/>
    <w:rsid w:val="00615DC7"/>
    <w:rsid w:val="00617109"/>
    <w:rsid w:val="00715706"/>
    <w:rsid w:val="00720014"/>
    <w:rsid w:val="00844079"/>
    <w:rsid w:val="00915222"/>
    <w:rsid w:val="009D7684"/>
    <w:rsid w:val="00AC798E"/>
    <w:rsid w:val="00C3723A"/>
    <w:rsid w:val="00D10A56"/>
    <w:rsid w:val="00D824B7"/>
    <w:rsid w:val="00EB351F"/>
    <w:rsid w:val="36435EC2"/>
    <w:rsid w:val="4F6B4AFF"/>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253</Words>
  <Characters>1447</Characters>
  <Lines>12</Lines>
  <Paragraphs>3</Paragraphs>
  <TotalTime>10</TotalTime>
  <ScaleCrop>false</ScaleCrop>
  <LinksUpToDate>false</LinksUpToDate>
  <CharactersWithSpaces>1697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2021-08-12T08:14:00Z</dcterms:created>
  <dc:creator>Sky123.Org</dc:creator>
  <cp:lastModifiedBy>admin</cp:lastModifiedBy>
  <cp:lastPrinted>2022-08-18T07:03:01Z</cp:lastPrinted>
  <dcterms:modified xsi:type="dcterms:W3CDTF">2022-08-18T07:03:04Z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