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contextualSpacing/>
        <w:rPr>
          <w:rFonts w:eastAsia="黑体"/>
          <w:szCs w:val="32"/>
          <w:lang w:val="zh-CN"/>
        </w:rPr>
      </w:pPr>
      <w:r>
        <w:drawing>
          <wp:anchor distT="0" distB="0" distL="114300" distR="114300" simplePos="0" relativeHeight="251659264" behindDoc="1" locked="0" layoutInCell="1" allowOverlap="1">
            <wp:simplePos x="0" y="0"/>
            <wp:positionH relativeFrom="margin">
              <wp:align>left</wp:align>
            </wp:positionH>
            <wp:positionV relativeFrom="paragraph">
              <wp:posOffset>-8255</wp:posOffset>
            </wp:positionV>
            <wp:extent cx="5591175" cy="1981835"/>
            <wp:effectExtent l="0" t="0" r="0" b="0"/>
            <wp:wrapNone/>
            <wp:docPr id="4" name="图片 1" descr="QQ图片2019010716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QQ图片20190107160622"/>
                    <pic:cNvPicPr>
                      <a:picLocks noChangeAspect="1" noChangeArrowheads="1"/>
                    </pic:cNvPicPr>
                  </pic:nvPicPr>
                  <pic:blipFill>
                    <a:blip r:embed="rId6" cstate="print"/>
                    <a:srcRect/>
                    <a:stretch>
                      <a:fillRect/>
                    </a:stretch>
                  </pic:blipFill>
                  <pic:spPr>
                    <a:xfrm>
                      <a:off x="0" y="0"/>
                      <a:ext cx="5591175" cy="1981714"/>
                    </a:xfrm>
                    <a:prstGeom prst="rect">
                      <a:avLst/>
                    </a:prstGeom>
                    <a:noFill/>
                  </pic:spPr>
                </pic:pic>
              </a:graphicData>
            </a:graphic>
          </wp:anchor>
        </w:drawing>
      </w:r>
    </w:p>
    <w:p>
      <w:pPr>
        <w:pStyle w:val="2"/>
        <w:rPr>
          <w:lang w:val="zh-CN"/>
        </w:rPr>
      </w:pPr>
      <w:r>
        <w:rPr>
          <w:rFonts w:hint="eastAsia"/>
          <w:lang w:val="zh-CN"/>
        </w:rPr>
        <w:t xml:space="preserve">  </w:t>
      </w:r>
    </w:p>
    <w:p>
      <w:pPr>
        <w:rPr>
          <w:lang w:val="zh-CN"/>
        </w:rPr>
      </w:pPr>
    </w:p>
    <w:p>
      <w:pPr>
        <w:pStyle w:val="2"/>
        <w:rPr>
          <w:lang w:val="zh-CN"/>
        </w:rPr>
      </w:pPr>
    </w:p>
    <w:p>
      <w:pPr>
        <w:widowControl/>
        <w:spacing w:line="578" w:lineRule="exact"/>
        <w:contextualSpacing/>
        <w:jc w:val="center"/>
        <w:rPr>
          <w:rFonts w:eastAsia="方正小标宋简体"/>
          <w:bCs/>
          <w:sz w:val="44"/>
          <w:szCs w:val="44"/>
          <w:shd w:val="clear" w:color="auto" w:fill="FFFFFF"/>
        </w:rPr>
      </w:pPr>
    </w:p>
    <w:p>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spacing w:line="58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一、部门（单位）概况</w:t>
      </w:r>
    </w:p>
    <w:p>
      <w:pPr>
        <w:spacing w:line="580" w:lineRule="exact"/>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（一）机构组成。</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会属于党领导下的人民团体，没有下属二级预算单位。</w:t>
      </w:r>
    </w:p>
    <w:p>
      <w:pPr>
        <w:widowControl/>
        <w:adjustRightInd w:val="0"/>
        <w:snapToGrid w:val="0"/>
        <w:spacing w:line="578" w:lineRule="exact"/>
        <w:ind w:firstLine="562" w:firstLineChars="200"/>
        <w:contextualSpacing/>
        <w:jc w:val="left"/>
        <w:rPr>
          <w:rFonts w:eastAsia="楷体_GB2312"/>
          <w:b/>
          <w:bCs/>
          <w:color w:val="000000"/>
          <w:kern w:val="0"/>
          <w:szCs w:val="32"/>
          <w:shd w:val="clear" w:color="auto" w:fill="FFFFFF"/>
          <w:lang w:val="zh-CN"/>
        </w:rPr>
      </w:pPr>
      <w:r>
        <w:rPr>
          <w:rFonts w:ascii="方正黑体_GBK" w:hAnsi="方正黑体_GBK" w:eastAsia="方正黑体_GBK" w:cs="方正黑体_GBK"/>
          <w:b/>
          <w:bCs/>
          <w:sz w:val="28"/>
          <w:szCs w:val="28"/>
        </w:rPr>
        <w:t>（二）机构职能</w:t>
      </w:r>
      <w:r>
        <w:rPr>
          <w:rFonts w:hint="eastAsia" w:ascii="方正黑体_GBK" w:hAnsi="方正黑体_GBK" w:eastAsia="方正黑体_GBK" w:cs="方正黑体_GBK"/>
          <w:b/>
          <w:bCs/>
          <w:sz w:val="28"/>
          <w:szCs w:val="28"/>
        </w:rPr>
        <w:t>。</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黑水县科学技术协会主要负责开展学术交流，活跃学术思想，弘扬科学精神，普及科学知识，科学思想和科学方法，捍卫科学尊严，推广先进技术，代办、领办和举办经济实体；编辑学术刊物和科普读物，举办为科技工作者服务的事业。开展青少年科学技术教育活动，提高全民族科学文化素质。开展全民科学素质纲要的贯彻落实工作。反映科技工作者的意见和要求，维护科技工作者的合法权益。组织科技工作者参与科技政策、法规制定，表彰奖励有突出贡献的优秀科技团体和科技工作者，举荐人才。开展科学论证、咨询服务，提出政策建议，促进科技成果转化。开展民间科技交流与合作，发展同省内外，州内外、县内外的科技团体和人员的友好往来，促进对外交往。对所属县级学会、协会进行管理，对基层科协、农村专业协会进行业务指导。承担县委、县政府交办的其他事项。</w:t>
      </w:r>
    </w:p>
    <w:p>
      <w:pPr>
        <w:spacing w:line="580" w:lineRule="exact"/>
        <w:ind w:firstLine="562" w:firstLineChars="200"/>
        <w:rPr>
          <w:rFonts w:hint="eastAsia" w:ascii="方正黑体_GBK" w:hAnsi="方正黑体_GBK" w:eastAsia="方正黑体_GBK" w:cs="方正黑体_GBK"/>
          <w:b/>
          <w:bCs/>
          <w:sz w:val="28"/>
          <w:szCs w:val="28"/>
        </w:rPr>
      </w:pPr>
    </w:p>
    <w:p>
      <w:pPr>
        <w:spacing w:line="580" w:lineRule="exact"/>
        <w:ind w:firstLine="562" w:firstLineChars="200"/>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w:t>
      </w:r>
      <w:r>
        <w:rPr>
          <w:rFonts w:hint="eastAsia" w:ascii="方正黑体_GBK" w:hAnsi="方正黑体_GBK" w:eastAsia="方正黑体_GBK" w:cs="方正黑体_GBK"/>
          <w:b/>
          <w:bCs/>
          <w:sz w:val="28"/>
          <w:szCs w:val="28"/>
        </w:rPr>
        <w:t>三</w:t>
      </w:r>
      <w:r>
        <w:rPr>
          <w:rFonts w:ascii="方正黑体_GBK" w:hAnsi="方正黑体_GBK" w:eastAsia="方正黑体_GBK" w:cs="方正黑体_GBK"/>
          <w:b/>
          <w:bCs/>
          <w:sz w:val="28"/>
          <w:szCs w:val="28"/>
        </w:rPr>
        <w:t>）人员概况</w:t>
      </w:r>
      <w:r>
        <w:rPr>
          <w:rFonts w:hint="eastAsia" w:ascii="方正黑体_GBK" w:hAnsi="方正黑体_GBK" w:eastAsia="方正黑体_GBK" w:cs="方正黑体_GBK"/>
          <w:b/>
          <w:bCs/>
          <w:sz w:val="28"/>
          <w:szCs w:val="28"/>
        </w:rPr>
        <w:t>。</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单位总编制4名，其中：行政编制3名，工勤1名。实有在职人员总数5人，（其中：行政人员4人）；退休人员3人。</w:t>
      </w:r>
    </w:p>
    <w:p>
      <w:pPr>
        <w:spacing w:line="580" w:lineRule="exact"/>
        <w:ind w:firstLine="640" w:firstLineChars="200"/>
        <w:rPr>
          <w:rFonts w:hint="eastAsia" w:ascii="方正黑体_GBK" w:hAnsi="方正黑体_GBK" w:eastAsia="方正黑体_GBK" w:cs="方正黑体_GBK"/>
          <w:szCs w:val="32"/>
        </w:rPr>
      </w:pPr>
      <w:r>
        <w:rPr>
          <w:rFonts w:ascii="方正黑体_GBK" w:hAnsi="方正黑体_GBK" w:eastAsia="方正黑体_GBK" w:cs="方正黑体_GBK"/>
          <w:szCs w:val="32"/>
        </w:rPr>
        <w:t>二、部门资金收支情况</w:t>
      </w:r>
    </w:p>
    <w:p>
      <w:pPr>
        <w:spacing w:line="580" w:lineRule="exact"/>
        <w:ind w:firstLine="562" w:firstLineChars="200"/>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（一）</w:t>
      </w:r>
      <w:r>
        <w:rPr>
          <w:rFonts w:hint="eastAsia" w:ascii="方正黑体_GBK" w:hAnsi="方正黑体_GBK" w:eastAsia="方正黑体_GBK" w:cs="方正黑体_GBK"/>
          <w:b/>
          <w:bCs/>
          <w:sz w:val="28"/>
          <w:szCs w:val="28"/>
        </w:rPr>
        <w:t>收入情况</w:t>
      </w:r>
      <w:r>
        <w:rPr>
          <w:rFonts w:ascii="方正黑体_GBK" w:hAnsi="方正黑体_GBK" w:eastAsia="方正黑体_GBK" w:cs="方正黑体_GBK"/>
          <w:b/>
          <w:bCs/>
          <w:sz w:val="28"/>
          <w:szCs w:val="28"/>
        </w:rPr>
        <w:t>。</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本年度收入全年预算数为166.25万元，收入决算数为166.25万元。其中：一般公共预算财政拨款收入为166.25万元，占比100.00%。一般公共预算财政拨款收入166.25万元相比上年度132.57万元增加33.68万元，主要原因为本</w:t>
      </w:r>
      <w:r>
        <w:rPr>
          <w:rFonts w:ascii="仿宋" w:hAnsi="仿宋" w:eastAsia="仿宋"/>
          <w:bCs/>
          <w:szCs w:val="32"/>
        </w:rPr>
        <w:t>年</w:t>
      </w:r>
      <w:r>
        <w:rPr>
          <w:rFonts w:hint="eastAsia" w:ascii="仿宋" w:hAnsi="仿宋" w:eastAsia="仿宋"/>
          <w:bCs/>
          <w:szCs w:val="32"/>
        </w:rPr>
        <w:t>上</w:t>
      </w:r>
      <w:r>
        <w:rPr>
          <w:rFonts w:ascii="仿宋" w:hAnsi="仿宋" w:eastAsia="仿宋"/>
          <w:bCs/>
          <w:szCs w:val="32"/>
        </w:rPr>
        <w:t>级拨入专项资金</w:t>
      </w:r>
      <w:r>
        <w:rPr>
          <w:rFonts w:hint="eastAsia" w:ascii="仿宋" w:hAnsi="仿宋" w:eastAsia="仿宋"/>
          <w:bCs/>
          <w:szCs w:val="32"/>
        </w:rPr>
        <w:t>增加。</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w:t>
      </w:r>
      <w:r>
        <w:rPr>
          <w:rFonts w:hint="eastAsia" w:ascii="方正黑体_GBK" w:hAnsi="方正黑体_GBK" w:eastAsia="方正黑体_GBK" w:cs="方正黑体_GBK"/>
          <w:b/>
          <w:bCs/>
          <w:sz w:val="28"/>
          <w:szCs w:val="28"/>
        </w:rPr>
        <w:t>二</w:t>
      </w:r>
      <w:r>
        <w:rPr>
          <w:rFonts w:ascii="方正黑体_GBK" w:hAnsi="方正黑体_GBK" w:eastAsia="方正黑体_GBK" w:cs="方正黑体_GBK"/>
          <w:b/>
          <w:bCs/>
          <w:sz w:val="28"/>
          <w:szCs w:val="28"/>
        </w:rPr>
        <w:t>）</w:t>
      </w:r>
      <w:r>
        <w:rPr>
          <w:rFonts w:hint="eastAsia" w:ascii="方正黑体_GBK" w:hAnsi="方正黑体_GBK" w:eastAsia="方正黑体_GBK" w:cs="方正黑体_GBK"/>
          <w:b/>
          <w:bCs/>
          <w:sz w:val="28"/>
          <w:szCs w:val="28"/>
        </w:rPr>
        <w:t>支出情况</w:t>
      </w:r>
      <w:r>
        <w:rPr>
          <w:rFonts w:ascii="方正黑体_GBK" w:hAnsi="方正黑体_GBK" w:eastAsia="方正黑体_GBK" w:cs="方正黑体_GBK"/>
          <w:b/>
          <w:bCs/>
          <w:sz w:val="28"/>
          <w:szCs w:val="28"/>
        </w:rPr>
        <w:t>。</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本年度支出全年预算数为166.25万元，支出决算数为166.25万元。其中：科学技术支出为131.90万元，占比79%；社会保障和就业支出为18.25万元，占比11%；卫生健康支出为6.87万元，占比4%；住房保障支出9.25万元，占比6%。</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w:t>
      </w:r>
      <w:r>
        <w:rPr>
          <w:rFonts w:hint="eastAsia" w:ascii="方正黑体_GBK" w:hAnsi="方正黑体_GBK" w:eastAsia="方正黑体_GBK" w:cs="方正黑体_GBK"/>
          <w:b/>
          <w:bCs/>
          <w:sz w:val="28"/>
          <w:szCs w:val="28"/>
        </w:rPr>
        <w:t>三</w:t>
      </w:r>
      <w:r>
        <w:rPr>
          <w:rFonts w:ascii="方正黑体_GBK" w:hAnsi="方正黑体_GBK" w:eastAsia="方正黑体_GBK" w:cs="方正黑体_GBK"/>
          <w:b/>
          <w:bCs/>
          <w:sz w:val="28"/>
          <w:szCs w:val="28"/>
        </w:rPr>
        <w:t>）结余分配和结转结余情况</w:t>
      </w:r>
      <w:r>
        <w:rPr>
          <w:rFonts w:hint="eastAsia" w:ascii="方正黑体_GBK" w:hAnsi="方正黑体_GBK" w:eastAsia="方正黑体_GBK" w:cs="方正黑体_GBK"/>
          <w:b/>
          <w:bCs/>
          <w:sz w:val="28"/>
          <w:szCs w:val="28"/>
        </w:rPr>
        <w:t>。</w:t>
      </w:r>
    </w:p>
    <w:p>
      <w:pPr>
        <w:spacing w:line="580" w:lineRule="exact"/>
        <w:ind w:firstLine="640" w:firstLineChars="200"/>
        <w:rPr>
          <w:rFonts w:hint="eastAsia" w:ascii="仿宋" w:hAnsi="仿宋" w:eastAsia="仿宋"/>
          <w:bCs/>
          <w:szCs w:val="32"/>
        </w:rPr>
      </w:pPr>
      <w:r>
        <w:rPr>
          <w:rFonts w:hint="eastAsia" w:ascii="仿宋" w:hAnsi="仿宋" w:eastAsia="仿宋"/>
          <w:bCs/>
          <w:szCs w:val="32"/>
        </w:rPr>
        <w:t>无结转分配和结转结余。</w:t>
      </w:r>
    </w:p>
    <w:p>
      <w:pPr>
        <w:spacing w:line="580" w:lineRule="exact"/>
        <w:ind w:firstLine="640" w:firstLineChars="200"/>
        <w:rPr>
          <w:rFonts w:hint="eastAsia" w:ascii="方正黑体_GBK" w:hAnsi="方正黑体_GBK" w:eastAsia="方正黑体_GBK" w:cs="方正黑体_GBK"/>
          <w:szCs w:val="32"/>
        </w:rPr>
      </w:pPr>
      <w:r>
        <w:rPr>
          <w:rFonts w:ascii="方正黑体_GBK" w:hAnsi="方正黑体_GBK" w:eastAsia="方正黑体_GBK" w:cs="方正黑体_GBK"/>
          <w:szCs w:val="32"/>
        </w:rPr>
        <w:t>三、部门预算绩效分析</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（一）</w:t>
      </w:r>
      <w:r>
        <w:rPr>
          <w:rFonts w:hint="eastAsia" w:ascii="方正黑体_GBK" w:hAnsi="方正黑体_GBK" w:eastAsia="方正黑体_GBK" w:cs="方正黑体_GBK"/>
          <w:b/>
          <w:bCs/>
          <w:sz w:val="28"/>
          <w:szCs w:val="28"/>
        </w:rPr>
        <w:t>部门预算</w:t>
      </w:r>
      <w:r>
        <w:rPr>
          <w:rFonts w:ascii="方正黑体_GBK" w:hAnsi="方正黑体_GBK" w:eastAsia="方正黑体_GBK" w:cs="方正黑体_GBK"/>
          <w:b/>
          <w:bCs/>
          <w:sz w:val="28"/>
          <w:szCs w:val="28"/>
        </w:rPr>
        <w:t>总体绩效分析。</w:t>
      </w:r>
    </w:p>
    <w:p>
      <w:pPr>
        <w:adjustRightInd w:val="0"/>
        <w:snapToGrid w:val="0"/>
        <w:spacing w:line="578" w:lineRule="exact"/>
        <w:ind w:firstLine="560" w:firstLineChars="200"/>
        <w:contextualSpacing/>
        <w:rPr>
          <w:rFonts w:ascii="仿宋" w:hAnsi="仿宋" w:eastAsia="仿宋"/>
          <w:bCs/>
          <w:szCs w:val="32"/>
        </w:rPr>
      </w:pPr>
      <w:r>
        <w:rPr>
          <w:rFonts w:hint="eastAsia" w:ascii="楷体_GB2312" w:hAnsi="楷体_GB2312" w:eastAsia="楷体_GB2312" w:cs="楷体_GB2312"/>
          <w:kern w:val="0"/>
          <w:sz w:val="28"/>
          <w:szCs w:val="28"/>
          <w:shd w:val="clear" w:color="auto" w:fill="FFFFFF"/>
        </w:rPr>
        <w:t>1.</w:t>
      </w:r>
      <w:r>
        <w:rPr>
          <w:rFonts w:hint="eastAsia" w:ascii="楷体_GB2312" w:hAnsi="楷体_GB2312" w:eastAsia="楷体_GB2312" w:cs="楷体_GB2312"/>
          <w:kern w:val="0"/>
          <w:sz w:val="28"/>
          <w:szCs w:val="28"/>
          <w:shd w:val="clear" w:color="auto" w:fill="FFFFFF"/>
          <w:lang w:val="zh-CN"/>
        </w:rPr>
        <w:t>履职效能。</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（1）推进“天府科技云”工作。</w:t>
      </w:r>
      <w:r>
        <w:rPr>
          <w:rFonts w:hint="eastAsia" w:ascii="仿宋" w:hAnsi="仿宋" w:eastAsia="仿宋"/>
          <w:bCs/>
          <w:szCs w:val="32"/>
        </w:rPr>
        <w:t>组织召开全县天府科技云培训会，结合“天府科技云”平台的重要意义、操作使用方法，将天府科技云工作纳入各单位半年、年度考核目标细则，将工作向纵深推进。截至目前，全县天府科技云APP用户3810人，在平台注册单位376个，精准科普服务群众数1615人次，科普浏览量为1051875次。继续聘用3名“专职保姆”开展“一单一策”全过程保姆服务，指导机关、企事业单位、农村专合社、农技协、农村群众在平台开展注册，引导干部群众使用天府科技云平台，向平台学科学、要答案。完成了此项职能绩效目标，此项自评得分5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（2）科普宣传，提升全民科学素质。</w:t>
      </w:r>
      <w:r>
        <w:rPr>
          <w:rFonts w:hint="eastAsia" w:ascii="仿宋" w:hAnsi="仿宋" w:eastAsia="仿宋"/>
          <w:bCs/>
          <w:szCs w:val="32"/>
        </w:rPr>
        <w:t>主动作为，积极与多部门联系，动员广大科技工作者和社会力量构建大科普工作格局。一是通过“三八国际妇女节”、“两联一进”、“全国科普日”、“全国科技工作者日”等宣传活动为契机，在县城设置宣传点，向广大群众普及地震、森林草原火灾、电信诈骗、生态环境、防灾减灾等相关知识，发放宣传资料3300余份，发放科普小手册450余份、广告伞300个、手机支架</w:t>
      </w:r>
      <w:r>
        <w:rPr>
          <w:rFonts w:ascii="仿宋" w:hAnsi="仿宋" w:eastAsia="仿宋"/>
          <w:bCs/>
          <w:szCs w:val="32"/>
        </w:rPr>
        <w:t>350</w:t>
      </w:r>
      <w:r>
        <w:rPr>
          <w:rFonts w:hint="eastAsia" w:ascii="仿宋" w:hAnsi="仿宋" w:eastAsia="仿宋"/>
          <w:bCs/>
          <w:szCs w:val="32"/>
        </w:rPr>
        <w:t>个、科普宣传水杯250个。完成了此项职能绩效目标，此项自评得分5分。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（3）推进“两联一进”工作。</w:t>
      </w:r>
      <w:r>
        <w:rPr>
          <w:rFonts w:hint="eastAsia" w:ascii="仿宋" w:hAnsi="仿宋" w:eastAsia="仿宋"/>
          <w:bCs/>
          <w:szCs w:val="32"/>
        </w:rPr>
        <w:t>组织联系干部在联户联情、联寺联僧群众工作中主动作为，做好了芦花镇泽盖村24户联系户、2名僧侣的联系工作，向群众和僧人大力宣传党的二十大精神、民族团结进步创建、防灾减灾等知识，传达县委</w:t>
      </w:r>
      <w:r>
        <w:rPr>
          <w:rFonts w:hint="default" w:ascii="仿宋" w:hAnsi="仿宋" w:eastAsia="仿宋"/>
          <w:bCs/>
          <w:szCs w:val="32"/>
        </w:rPr>
        <w:t>县</w:t>
      </w:r>
      <w:r>
        <w:rPr>
          <w:rFonts w:hint="eastAsia" w:ascii="仿宋" w:hAnsi="仿宋" w:eastAsia="仿宋"/>
          <w:bCs/>
          <w:szCs w:val="32"/>
        </w:rPr>
        <w:t>政府中心工作思路、重要会议精神和重大决策部署。要求联系群众切实抓好森林草原防灭火、地质灾害防控、维护社会稳定等工作，引导群众铭恩奋进、永远跟党走。完成了此项职能绩效目标，此项自评得分5分。</w:t>
      </w:r>
    </w:p>
    <w:p>
      <w:pPr>
        <w:pBdr>
          <w:bottom w:val="single" w:color="FFFFFF" w:sz="4" w:space="31"/>
        </w:pBdr>
        <w:autoSpaceDE w:val="0"/>
        <w:snapToGrid w:val="0"/>
        <w:spacing w:line="576" w:lineRule="exact"/>
        <w:ind w:firstLine="640" w:firstLineChars="200"/>
        <w:rPr>
          <w:rFonts w:hint="eastAsia" w:ascii="楷体_GB2312" w:hAnsi="楷体_GB2312" w:eastAsia="楷体_GB2312" w:cs="楷体_GB2312"/>
          <w:kern w:val="0"/>
          <w:sz w:val="28"/>
          <w:szCs w:val="28"/>
          <w:shd w:val="clear" w:color="auto" w:fill="FFFFFF"/>
        </w:rPr>
      </w:pPr>
      <w:r>
        <w:rPr>
          <w:rFonts w:hint="eastAsia" w:ascii="仿宋" w:hAnsi="仿宋" w:eastAsia="仿宋"/>
          <w:bCs/>
          <w:szCs w:val="32"/>
        </w:rPr>
        <w:t>综上我单位履职效能指标综合自评得分15分。</w:t>
      </w:r>
    </w:p>
    <w:p>
      <w:pPr>
        <w:pBdr>
          <w:bottom w:val="single" w:color="FFFFFF" w:sz="4" w:space="31"/>
        </w:pBdr>
        <w:autoSpaceDE w:val="0"/>
        <w:snapToGrid w:val="0"/>
        <w:spacing w:line="576" w:lineRule="exact"/>
        <w:ind w:firstLine="560" w:firstLineChars="200"/>
        <w:rPr>
          <w:rFonts w:ascii="楷体_GB2312" w:hAnsi="楷体_GB2312" w:eastAsia="楷体_GB2312" w:cs="楷体_GB2312"/>
          <w:kern w:val="0"/>
          <w:sz w:val="28"/>
          <w:szCs w:val="28"/>
          <w:shd w:val="clear" w:color="auto" w:fill="FFFFFF"/>
        </w:rPr>
      </w:pPr>
      <w:r>
        <w:rPr>
          <w:rFonts w:hint="eastAsia" w:ascii="楷体_GB2312" w:hAnsi="楷体_GB2312" w:eastAsia="楷体_GB2312" w:cs="楷体_GB2312"/>
          <w:kern w:val="0"/>
          <w:sz w:val="28"/>
          <w:szCs w:val="28"/>
          <w:shd w:val="clear" w:color="auto" w:fill="FFFFFF"/>
        </w:rPr>
        <w:t>2.</w:t>
      </w:r>
      <w:r>
        <w:rPr>
          <w:rFonts w:ascii="楷体_GB2312" w:hAnsi="楷体_GB2312" w:eastAsia="楷体_GB2312" w:cs="楷体_GB2312"/>
          <w:kern w:val="0"/>
          <w:sz w:val="28"/>
          <w:szCs w:val="28"/>
          <w:shd w:val="clear" w:color="auto" w:fill="FFFFFF"/>
        </w:rPr>
        <w:t>预算管理</w:t>
      </w:r>
      <w:r>
        <w:rPr>
          <w:rFonts w:hint="eastAsia" w:ascii="楷体_GB2312" w:hAnsi="楷体_GB2312" w:eastAsia="楷体_GB2312" w:cs="楷体_GB2312"/>
          <w:kern w:val="0"/>
          <w:sz w:val="28"/>
          <w:szCs w:val="28"/>
          <w:shd w:val="clear" w:color="auto" w:fill="FFFFFF"/>
        </w:rPr>
        <w:t>。</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（1）预算编制质量。</w:t>
      </w:r>
      <w:r>
        <w:rPr>
          <w:rFonts w:hint="eastAsia" w:ascii="仿宋" w:hAnsi="仿宋" w:eastAsia="仿宋"/>
          <w:bCs/>
          <w:szCs w:val="32"/>
        </w:rPr>
        <w:t>我单位严格按要求编制年初部门预算，部门预算编制目标制定清晰，部门整体绩效目标编制完整、合理部门整体绩效目标完整、合理</w:t>
      </w:r>
      <w:r>
        <w:rPr>
          <w:rFonts w:ascii="仿宋" w:hAnsi="仿宋" w:eastAsia="仿宋"/>
          <w:bCs/>
          <w:szCs w:val="32"/>
        </w:rPr>
        <w:t>的</w:t>
      </w:r>
      <w:r>
        <w:rPr>
          <w:rFonts w:hint="eastAsia" w:ascii="仿宋" w:hAnsi="仿宋" w:eastAsia="仿宋"/>
          <w:bCs/>
          <w:szCs w:val="32"/>
        </w:rPr>
        <w:t>反映</w:t>
      </w:r>
      <w:r>
        <w:rPr>
          <w:rFonts w:ascii="仿宋" w:hAnsi="仿宋" w:eastAsia="仿宋"/>
          <w:bCs/>
          <w:szCs w:val="32"/>
        </w:rPr>
        <w:t>了</w:t>
      </w:r>
      <w:r>
        <w:rPr>
          <w:rFonts w:hint="eastAsia" w:ascii="仿宋" w:hAnsi="仿宋" w:eastAsia="仿宋"/>
          <w:bCs/>
          <w:szCs w:val="32"/>
        </w:rPr>
        <w:t>部门年度职责履行情况，项目绩效目标编制明确，并通过了预算草案审查，审查后未提出确需修改的问题</w:t>
      </w:r>
      <w:r>
        <w:rPr>
          <w:rFonts w:ascii="仿宋" w:hAnsi="仿宋" w:eastAsia="仿宋"/>
          <w:bCs/>
          <w:szCs w:val="32"/>
        </w:rPr>
        <w:t>。</w:t>
      </w:r>
      <w:r>
        <w:rPr>
          <w:rFonts w:hint="eastAsia" w:ascii="仿宋" w:hAnsi="仿宋" w:eastAsia="仿宋"/>
          <w:bCs/>
          <w:szCs w:val="32"/>
        </w:rPr>
        <w:t>此项自评得分8分</w:t>
      </w:r>
      <w:r>
        <w:rPr>
          <w:rFonts w:ascii="仿宋" w:hAnsi="仿宋" w:eastAsia="仿宋"/>
          <w:bCs/>
          <w:szCs w:val="32"/>
        </w:rPr>
        <w:t>。</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楷体" w:hAnsi="楷体" w:eastAsia="楷体"/>
          <w:bCs/>
          <w:szCs w:val="32"/>
        </w:rPr>
        <w:t>（2）</w:t>
      </w:r>
      <w:r>
        <w:rPr>
          <w:rFonts w:hint="eastAsia" w:ascii="楷体" w:hAnsi="楷体" w:eastAsia="楷体"/>
          <w:bCs/>
          <w:szCs w:val="32"/>
        </w:rPr>
        <w:t>单位收入统筹</w:t>
      </w:r>
      <w:r>
        <w:rPr>
          <w:rFonts w:ascii="楷体" w:hAnsi="楷体" w:eastAsia="楷体"/>
          <w:bCs/>
          <w:szCs w:val="32"/>
        </w:rPr>
        <w:t>。</w:t>
      </w:r>
      <w:r>
        <w:rPr>
          <w:rFonts w:ascii="仿宋" w:hAnsi="仿宋" w:eastAsia="仿宋"/>
          <w:bCs/>
          <w:szCs w:val="32"/>
        </w:rPr>
        <w:t>我</w:t>
      </w:r>
      <w:r>
        <w:rPr>
          <w:rFonts w:hint="eastAsia" w:ascii="仿宋" w:hAnsi="仿宋" w:eastAsia="仿宋"/>
          <w:bCs/>
          <w:szCs w:val="32"/>
        </w:rPr>
        <w:t>单位</w:t>
      </w:r>
      <w:r>
        <w:rPr>
          <w:rFonts w:ascii="仿宋" w:hAnsi="仿宋" w:eastAsia="仿宋"/>
          <w:bCs/>
          <w:szCs w:val="32"/>
        </w:rPr>
        <w:t>为全额拨款预算单位，全年单位收入均属财政拨款收入，均纳入预算管理，结息收入按规定上缴财政，无自有收入。此项自评得分4分。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楷体" w:hAnsi="楷体" w:eastAsia="楷体"/>
          <w:bCs/>
          <w:szCs w:val="32"/>
        </w:rPr>
        <w:t>（3）</w:t>
      </w:r>
      <w:r>
        <w:rPr>
          <w:rFonts w:hint="eastAsia" w:ascii="楷体" w:hAnsi="楷体" w:eastAsia="楷体"/>
          <w:bCs/>
          <w:szCs w:val="32"/>
        </w:rPr>
        <w:t>支出执行进度</w:t>
      </w:r>
      <w:r>
        <w:rPr>
          <w:rFonts w:ascii="楷体" w:hAnsi="楷体" w:eastAsia="楷体"/>
          <w:bCs/>
          <w:szCs w:val="32"/>
        </w:rPr>
        <w:t>。</w:t>
      </w:r>
      <w:r>
        <w:rPr>
          <w:rFonts w:ascii="仿宋" w:hAnsi="仿宋" w:eastAsia="仿宋"/>
          <w:bCs/>
          <w:szCs w:val="32"/>
        </w:rPr>
        <w:t>我</w:t>
      </w:r>
      <w:r>
        <w:rPr>
          <w:rFonts w:hint="eastAsia" w:ascii="仿宋" w:hAnsi="仿宋" w:eastAsia="仿宋"/>
          <w:bCs/>
          <w:szCs w:val="32"/>
        </w:rPr>
        <w:t>单位按时</w:t>
      </w:r>
      <w:r>
        <w:rPr>
          <w:rFonts w:ascii="仿宋" w:hAnsi="仿宋" w:eastAsia="仿宋"/>
          <w:bCs/>
          <w:szCs w:val="32"/>
        </w:rPr>
        <w:t>支付资金，此项自评得分5分。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ascii="楷体" w:hAnsi="楷体" w:eastAsia="楷体"/>
          <w:bCs/>
          <w:szCs w:val="32"/>
        </w:rPr>
        <w:t>（4）</w:t>
      </w:r>
      <w:r>
        <w:rPr>
          <w:rFonts w:hint="eastAsia" w:ascii="楷体" w:hAnsi="楷体" w:eastAsia="楷体"/>
          <w:bCs/>
          <w:szCs w:val="32"/>
        </w:rPr>
        <w:t>预算年终结余</w:t>
      </w:r>
      <w:r>
        <w:rPr>
          <w:rFonts w:ascii="楷体" w:hAnsi="楷体" w:eastAsia="楷体"/>
          <w:bCs/>
          <w:szCs w:val="32"/>
        </w:rPr>
        <w:t>。</w:t>
      </w:r>
      <w:r>
        <w:rPr>
          <w:rFonts w:hint="eastAsia" w:ascii="仿宋" w:hAnsi="仿宋" w:eastAsia="仿宋"/>
          <w:bCs/>
          <w:szCs w:val="32"/>
        </w:rPr>
        <w:t>我单位</w:t>
      </w:r>
      <w:r>
        <w:rPr>
          <w:rFonts w:ascii="仿宋" w:hAnsi="仿宋" w:eastAsia="仿宋"/>
          <w:bCs/>
          <w:szCs w:val="32"/>
        </w:rPr>
        <w:t>年末结余为零，收支平衡，此项自评得分2分。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楷体" w:hAnsi="楷体" w:eastAsia="楷体"/>
          <w:bCs/>
          <w:szCs w:val="32"/>
        </w:rPr>
        <w:t>（5）</w:t>
      </w:r>
      <w:r>
        <w:rPr>
          <w:rFonts w:hint="eastAsia" w:ascii="楷体" w:hAnsi="楷体" w:eastAsia="楷体"/>
          <w:bCs/>
          <w:szCs w:val="32"/>
        </w:rPr>
        <w:t>严控一般性支出</w:t>
      </w:r>
      <w:r>
        <w:rPr>
          <w:rFonts w:ascii="楷体" w:hAnsi="楷体" w:eastAsia="楷体"/>
          <w:bCs/>
          <w:szCs w:val="32"/>
        </w:rPr>
        <w:t>。</w:t>
      </w:r>
      <w:r>
        <w:rPr>
          <w:rFonts w:hint="eastAsia" w:ascii="仿宋" w:hAnsi="仿宋" w:eastAsia="仿宋"/>
          <w:bCs/>
          <w:szCs w:val="32"/>
        </w:rPr>
        <w:t>对每笔预算支出严格把关，没有超预算或无预算安排支出，也没有虚列支出或套取预算资金、转嫁支出等问题，没有超标准超范围发放津贴补贴的问题。</w:t>
      </w:r>
      <w:r>
        <w:rPr>
          <w:rFonts w:ascii="仿宋" w:hAnsi="仿宋" w:eastAsia="仿宋"/>
          <w:bCs/>
          <w:szCs w:val="32"/>
        </w:rPr>
        <w:t>此项自评得分5分。</w:t>
      </w:r>
    </w:p>
    <w:p>
      <w:pPr>
        <w:pBdr>
          <w:bottom w:val="single" w:color="FFFFFF" w:sz="4" w:space="31"/>
        </w:pBdr>
        <w:autoSpaceDE w:val="0"/>
        <w:snapToGrid w:val="0"/>
        <w:spacing w:line="576" w:lineRule="exact"/>
        <w:ind w:firstLine="640" w:firstLineChars="200"/>
        <w:rPr>
          <w:rFonts w:hint="eastAsia" w:ascii="仿宋" w:hAnsi="仿宋" w:eastAsia="仿宋"/>
          <w:bCs/>
          <w:szCs w:val="32"/>
        </w:rPr>
      </w:pPr>
      <w:r>
        <w:rPr>
          <w:rFonts w:hint="eastAsia" w:ascii="仿宋" w:hAnsi="仿宋" w:eastAsia="仿宋"/>
          <w:bCs/>
          <w:szCs w:val="32"/>
        </w:rPr>
        <w:t>综上我单位预算管理指标综合自评得分24分。</w:t>
      </w:r>
    </w:p>
    <w:p>
      <w:pPr>
        <w:pBdr>
          <w:bottom w:val="single" w:color="FFFFFF" w:sz="4" w:space="31"/>
        </w:pBdr>
        <w:autoSpaceDE w:val="0"/>
        <w:snapToGrid w:val="0"/>
        <w:spacing w:line="576" w:lineRule="exact"/>
        <w:ind w:firstLine="560" w:firstLineChars="200"/>
        <w:rPr>
          <w:rFonts w:ascii="楷体_GB2312" w:hAnsi="楷体_GB2312" w:eastAsia="楷体_GB2312" w:cs="楷体_GB2312"/>
          <w:kern w:val="0"/>
          <w:sz w:val="28"/>
          <w:szCs w:val="28"/>
          <w:shd w:val="clear" w:color="auto" w:fill="FFFFFF"/>
        </w:rPr>
      </w:pPr>
      <w:r>
        <w:rPr>
          <w:rFonts w:hint="eastAsia" w:ascii="楷体_GB2312" w:hAnsi="楷体_GB2312" w:eastAsia="楷体_GB2312" w:cs="楷体_GB2312"/>
          <w:kern w:val="0"/>
          <w:sz w:val="28"/>
          <w:szCs w:val="28"/>
          <w:shd w:val="clear" w:color="auto" w:fill="FFFFFF"/>
        </w:rPr>
        <w:t>3.</w:t>
      </w:r>
      <w:r>
        <w:rPr>
          <w:rFonts w:ascii="楷体_GB2312" w:hAnsi="楷体_GB2312" w:eastAsia="楷体_GB2312" w:cs="楷体_GB2312"/>
          <w:kern w:val="0"/>
          <w:sz w:val="28"/>
          <w:szCs w:val="28"/>
          <w:shd w:val="clear" w:color="auto" w:fill="FFFFFF"/>
        </w:rPr>
        <w:t>财务管理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（1）财务管理制度。</w:t>
      </w:r>
      <w:r>
        <w:rPr>
          <w:rFonts w:hint="eastAsia" w:ascii="仿宋" w:hAnsi="仿宋" w:eastAsia="仿宋"/>
          <w:bCs/>
          <w:szCs w:val="32"/>
        </w:rPr>
        <w:t>我单位严格执行财务管理制度，财务处理及时，会计核算规范。严格规范内控制度，按照财务管理制度执行各项资金支付，</w:t>
      </w:r>
      <w:r>
        <w:rPr>
          <w:rFonts w:ascii="仿宋" w:hAnsi="仿宋" w:eastAsia="仿宋"/>
          <w:bCs/>
          <w:szCs w:val="32"/>
        </w:rPr>
        <w:t>此项</w:t>
      </w:r>
      <w:r>
        <w:rPr>
          <w:rFonts w:hint="eastAsia" w:ascii="仿宋" w:hAnsi="仿宋" w:eastAsia="仿宋"/>
          <w:bCs/>
          <w:szCs w:val="32"/>
        </w:rPr>
        <w:t>自评</w:t>
      </w:r>
      <w:r>
        <w:rPr>
          <w:rFonts w:ascii="仿宋" w:hAnsi="仿宋" w:eastAsia="仿宋"/>
          <w:bCs/>
          <w:szCs w:val="32"/>
        </w:rPr>
        <w:t>得分</w:t>
      </w:r>
      <w:r>
        <w:rPr>
          <w:rFonts w:hint="eastAsia" w:ascii="仿宋" w:hAnsi="仿宋" w:eastAsia="仿宋"/>
          <w:bCs/>
          <w:szCs w:val="32"/>
        </w:rPr>
        <w:t>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（2）财务岗位设置。</w:t>
      </w:r>
      <w:r>
        <w:rPr>
          <w:rFonts w:hint="eastAsia" w:ascii="仿宋" w:hAnsi="仿宋" w:eastAsia="仿宋"/>
          <w:bCs/>
          <w:szCs w:val="32"/>
        </w:rPr>
        <w:t>我单位财务岗位设置明确，会计职责 ；做好会计核算和监督，保证会计</w:t>
      </w:r>
      <w:r>
        <w:rPr>
          <w:rFonts w:hint="default" w:ascii="仿宋" w:hAnsi="仿宋" w:eastAsia="仿宋"/>
          <w:bCs/>
          <w:szCs w:val="32"/>
        </w:rPr>
        <w:t>账</w:t>
      </w:r>
      <w:r>
        <w:rPr>
          <w:rFonts w:hint="eastAsia" w:ascii="仿宋" w:hAnsi="仿宋" w:eastAsia="仿宋"/>
          <w:bCs/>
          <w:szCs w:val="32"/>
        </w:rPr>
        <w:t>务处理及时，会计科目运用准确，会计核算信息真实完整。录入 ( 编制 ) 记</w:t>
      </w:r>
      <w:r>
        <w:rPr>
          <w:rFonts w:hint="default" w:ascii="仿宋" w:hAnsi="仿宋" w:eastAsia="仿宋"/>
          <w:bCs/>
          <w:szCs w:val="32"/>
        </w:rPr>
        <w:t>账</w:t>
      </w:r>
      <w:r>
        <w:rPr>
          <w:rFonts w:hint="eastAsia" w:ascii="仿宋" w:hAnsi="仿宋" w:eastAsia="仿宋"/>
          <w:bCs/>
          <w:szCs w:val="32"/>
        </w:rPr>
        <w:t>凭证，负责</w:t>
      </w:r>
      <w:r>
        <w:fldChar w:fldCharType="begin"/>
      </w:r>
      <w:r>
        <w:instrText xml:space="preserve"> HYPERLINK "https://www.baidu.com/s?wd=%E4%BC%9A%E8%AE%A1%E5%87%AD%E8%AF%81&amp;tn=44039180_cpr&amp;fenlei=mv6quAkxTZn0IZRqIHckPjm4nH00T1dWPH7BnAR4mynzrjm4PyR10ZwV5Hcvrjm3rH6sPfKWUMw85HfYnjn4nH6sgvPsT6KdThsqpZwYTjCEQLGCpyw9Uz4Bmy-bIi4WUvYETgN-TLwGUv3EnHfdnjRYPWnd" \t "https://zhidao.baidu.com/question/_blank" </w:instrText>
      </w:r>
      <w:r>
        <w:fldChar w:fldCharType="separate"/>
      </w:r>
      <w:r>
        <w:rPr>
          <w:rFonts w:hint="eastAsia" w:ascii="仿宋" w:hAnsi="仿宋" w:eastAsia="仿宋"/>
          <w:bCs/>
          <w:szCs w:val="32"/>
        </w:rPr>
        <w:t>会计凭证</w:t>
      </w:r>
      <w:r>
        <w:rPr>
          <w:rFonts w:hint="eastAsia" w:ascii="仿宋" w:hAnsi="仿宋" w:eastAsia="仿宋"/>
          <w:bCs/>
          <w:szCs w:val="32"/>
        </w:rPr>
        <w:fldChar w:fldCharType="end"/>
      </w:r>
      <w:r>
        <w:rPr>
          <w:rFonts w:hint="eastAsia" w:ascii="仿宋" w:hAnsi="仿宋" w:eastAsia="仿宋"/>
          <w:bCs/>
          <w:szCs w:val="32"/>
        </w:rPr>
        <w:t>汇总、</w:t>
      </w:r>
      <w:r>
        <w:rPr>
          <w:rFonts w:hint="default" w:ascii="仿宋" w:hAnsi="仿宋" w:eastAsia="仿宋"/>
          <w:bCs/>
          <w:szCs w:val="32"/>
        </w:rPr>
        <w:t>账</w:t>
      </w:r>
      <w:r>
        <w:rPr>
          <w:rFonts w:hint="eastAsia" w:ascii="仿宋" w:hAnsi="仿宋" w:eastAsia="仿宋"/>
          <w:bCs/>
          <w:szCs w:val="32"/>
        </w:rPr>
        <w:t>簿登记，打印输出记</w:t>
      </w:r>
      <w:r>
        <w:rPr>
          <w:rFonts w:hint="default" w:ascii="仿宋" w:hAnsi="仿宋" w:eastAsia="仿宋"/>
          <w:bCs/>
          <w:szCs w:val="32"/>
        </w:rPr>
        <w:t>账</w:t>
      </w:r>
      <w:r>
        <w:rPr>
          <w:rFonts w:hint="eastAsia" w:ascii="仿宋" w:hAnsi="仿宋" w:eastAsia="仿宋"/>
          <w:bCs/>
          <w:szCs w:val="32"/>
        </w:rPr>
        <w:t>凭证和</w:t>
      </w:r>
      <w:r>
        <w:rPr>
          <w:rFonts w:hint="default" w:ascii="仿宋" w:hAnsi="仿宋" w:eastAsia="仿宋"/>
          <w:bCs/>
          <w:szCs w:val="32"/>
        </w:rPr>
        <w:t>账</w:t>
      </w:r>
      <w:r>
        <w:rPr>
          <w:rFonts w:hint="eastAsia" w:ascii="仿宋" w:hAnsi="仿宋" w:eastAsia="仿宋"/>
          <w:bCs/>
          <w:szCs w:val="32"/>
        </w:rPr>
        <w:t>簿。出纳职责；负责单位日常的费用报销，负责日常现金、支票的收与支出，信用卡的核对，及时登记现金及银行存款日记账，认真审核各种原始凭证，负责登记银行存款日记</w:t>
      </w:r>
      <w:r>
        <w:rPr>
          <w:rFonts w:hint="default" w:ascii="仿宋" w:hAnsi="仿宋" w:eastAsia="仿宋"/>
          <w:bCs/>
          <w:szCs w:val="32"/>
        </w:rPr>
        <w:t>账</w:t>
      </w:r>
      <w:r>
        <w:rPr>
          <w:rFonts w:hint="eastAsia" w:ascii="仿宋" w:hAnsi="仿宋" w:eastAsia="仿宋"/>
          <w:bCs/>
          <w:szCs w:val="32"/>
        </w:rPr>
        <w:t>和现金日记</w:t>
      </w:r>
      <w:r>
        <w:rPr>
          <w:rFonts w:hint="default" w:ascii="仿宋" w:hAnsi="仿宋" w:eastAsia="仿宋"/>
          <w:bCs/>
          <w:szCs w:val="32"/>
        </w:rPr>
        <w:t>账</w:t>
      </w:r>
      <w:r>
        <w:rPr>
          <w:rFonts w:hint="eastAsia" w:ascii="仿宋" w:hAnsi="仿宋" w:eastAsia="仿宋"/>
          <w:bCs/>
          <w:szCs w:val="32"/>
        </w:rPr>
        <w:t>，做到逐笔登记，日清月结，确保账账、账证、账实相符。</w:t>
      </w:r>
      <w:r>
        <w:rPr>
          <w:rFonts w:ascii="仿宋" w:hAnsi="仿宋" w:eastAsia="仿宋"/>
          <w:bCs/>
          <w:szCs w:val="32"/>
        </w:rPr>
        <w:t>此项</w:t>
      </w:r>
      <w:r>
        <w:rPr>
          <w:rFonts w:hint="eastAsia" w:ascii="仿宋" w:hAnsi="仿宋" w:eastAsia="仿宋"/>
          <w:bCs/>
          <w:szCs w:val="32"/>
        </w:rPr>
        <w:t>自评</w:t>
      </w:r>
      <w:r>
        <w:rPr>
          <w:rFonts w:ascii="仿宋" w:hAnsi="仿宋" w:eastAsia="仿宋"/>
          <w:bCs/>
          <w:szCs w:val="32"/>
        </w:rPr>
        <w:t>得分</w:t>
      </w:r>
      <w:r>
        <w:rPr>
          <w:rFonts w:hint="eastAsia" w:ascii="仿宋" w:hAnsi="仿宋" w:eastAsia="仿宋"/>
          <w:bCs/>
          <w:szCs w:val="32"/>
        </w:rPr>
        <w:t>2分。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（3）资金使用规范。</w:t>
      </w:r>
      <w:r>
        <w:rPr>
          <w:rFonts w:hint="eastAsia" w:ascii="仿宋" w:hAnsi="仿宋" w:eastAsia="仿宋"/>
          <w:bCs/>
          <w:szCs w:val="32"/>
        </w:rPr>
        <w:t>财政资金使用明确资金支付审核流程，按照内控制度严格拨付，做到规范有效，</w:t>
      </w:r>
      <w:r>
        <w:rPr>
          <w:rFonts w:ascii="仿宋" w:hAnsi="仿宋" w:eastAsia="仿宋"/>
          <w:bCs/>
          <w:szCs w:val="32"/>
        </w:rPr>
        <w:t>此项</w:t>
      </w:r>
      <w:r>
        <w:rPr>
          <w:rFonts w:hint="eastAsia" w:ascii="仿宋" w:hAnsi="仿宋" w:eastAsia="仿宋"/>
          <w:bCs/>
          <w:szCs w:val="32"/>
        </w:rPr>
        <w:t>自评</w:t>
      </w:r>
      <w:r>
        <w:rPr>
          <w:rFonts w:ascii="仿宋" w:hAnsi="仿宋" w:eastAsia="仿宋"/>
          <w:bCs/>
          <w:szCs w:val="32"/>
        </w:rPr>
        <w:t>得分</w:t>
      </w:r>
      <w:r>
        <w:rPr>
          <w:rFonts w:hint="eastAsia" w:ascii="仿宋" w:hAnsi="仿宋" w:eastAsia="仿宋"/>
          <w:bCs/>
          <w:szCs w:val="32"/>
        </w:rPr>
        <w:t>4分。</w:t>
      </w:r>
    </w:p>
    <w:p>
      <w:pPr>
        <w:pBdr>
          <w:bottom w:val="single" w:color="FFFFFF" w:sz="4" w:space="31"/>
        </w:pBdr>
        <w:autoSpaceDE w:val="0"/>
        <w:snapToGrid w:val="0"/>
        <w:spacing w:line="576" w:lineRule="exact"/>
        <w:ind w:firstLine="640" w:firstLineChars="200"/>
        <w:rPr>
          <w:rFonts w:hint="eastAsia" w:ascii="仿宋" w:hAnsi="仿宋" w:eastAsia="仿宋"/>
          <w:bCs/>
          <w:szCs w:val="32"/>
        </w:rPr>
      </w:pPr>
      <w:r>
        <w:rPr>
          <w:rFonts w:hint="eastAsia" w:ascii="仿宋" w:hAnsi="仿宋" w:eastAsia="仿宋"/>
          <w:bCs/>
          <w:szCs w:val="32"/>
        </w:rPr>
        <w:t>综上我单位财务管理指标综合自评得分10分。</w:t>
      </w:r>
    </w:p>
    <w:p>
      <w:pPr>
        <w:pBdr>
          <w:bottom w:val="single" w:color="FFFFFF" w:sz="4" w:space="31"/>
        </w:pBdr>
        <w:autoSpaceDE w:val="0"/>
        <w:snapToGrid w:val="0"/>
        <w:spacing w:line="576" w:lineRule="exact"/>
        <w:ind w:firstLine="560" w:firstLineChars="200"/>
        <w:rPr>
          <w:rFonts w:ascii="楷体_GB2312" w:hAnsi="楷体_GB2312" w:eastAsia="楷体_GB2312" w:cs="楷体_GB2312"/>
          <w:kern w:val="0"/>
          <w:sz w:val="28"/>
          <w:szCs w:val="28"/>
          <w:shd w:val="clear" w:color="auto" w:fill="FFFFFF"/>
        </w:rPr>
      </w:pPr>
      <w:r>
        <w:rPr>
          <w:rFonts w:hint="eastAsia" w:ascii="楷体_GB2312" w:hAnsi="楷体_GB2312" w:eastAsia="楷体_GB2312" w:cs="楷体_GB2312"/>
          <w:kern w:val="0"/>
          <w:sz w:val="28"/>
          <w:szCs w:val="28"/>
          <w:shd w:val="clear" w:color="auto" w:fill="FFFFFF"/>
        </w:rPr>
        <w:t>4.</w:t>
      </w:r>
      <w:r>
        <w:rPr>
          <w:rFonts w:ascii="楷体_GB2312" w:hAnsi="楷体_GB2312" w:eastAsia="楷体_GB2312" w:cs="楷体_GB2312"/>
          <w:kern w:val="0"/>
          <w:sz w:val="28"/>
          <w:szCs w:val="28"/>
          <w:shd w:val="clear" w:color="auto" w:fill="FFFFFF"/>
        </w:rPr>
        <w:t>资产管理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（1）人均资产变化率。</w:t>
      </w:r>
      <w:r>
        <w:rPr>
          <w:rFonts w:hint="eastAsia" w:ascii="仿宋" w:hAnsi="仿宋" w:eastAsia="仿宋"/>
          <w:bCs/>
          <w:szCs w:val="32"/>
        </w:rPr>
        <w:t>严格按照资产管理制度执行，购买物资达到规定金额做入账登记，人均资产变化率</w:t>
      </w:r>
      <w:r>
        <w:rPr>
          <w:rFonts w:hint="default" w:ascii="仿宋" w:hAnsi="仿宋" w:eastAsia="仿宋"/>
          <w:bCs/>
          <w:szCs w:val="32"/>
        </w:rPr>
        <w:t>低</w:t>
      </w:r>
      <w:r>
        <w:rPr>
          <w:rFonts w:hint="eastAsia" w:ascii="仿宋" w:hAnsi="仿宋" w:eastAsia="仿宋"/>
          <w:bCs/>
          <w:szCs w:val="32"/>
        </w:rPr>
        <w:t>，</w:t>
      </w:r>
      <w:r>
        <w:rPr>
          <w:rFonts w:ascii="仿宋" w:hAnsi="仿宋" w:eastAsia="仿宋"/>
          <w:bCs/>
          <w:szCs w:val="32"/>
        </w:rPr>
        <w:t>此项自评得分</w:t>
      </w:r>
      <w:r>
        <w:rPr>
          <w:rFonts w:hint="eastAsia" w:ascii="仿宋" w:hAnsi="仿宋" w:eastAsia="仿宋"/>
          <w:bCs/>
          <w:szCs w:val="32"/>
        </w:rPr>
        <w:t>3</w:t>
      </w:r>
      <w:r>
        <w:rPr>
          <w:rFonts w:ascii="仿宋" w:hAnsi="仿宋" w:eastAsia="仿宋"/>
          <w:bCs/>
          <w:szCs w:val="32"/>
        </w:rPr>
        <w:t>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（2）资产利用率。</w:t>
      </w:r>
      <w:r>
        <w:rPr>
          <w:rFonts w:hint="eastAsia" w:ascii="仿宋" w:hAnsi="仿宋" w:eastAsia="仿宋"/>
          <w:bCs/>
          <w:szCs w:val="32"/>
        </w:rPr>
        <w:t>资产利用率高，使用率达100%，人均资产利用率较高，</w:t>
      </w:r>
      <w:r>
        <w:rPr>
          <w:rFonts w:ascii="仿宋" w:hAnsi="仿宋" w:eastAsia="仿宋"/>
          <w:bCs/>
          <w:szCs w:val="32"/>
        </w:rPr>
        <w:t>此项自评得分</w:t>
      </w:r>
      <w:r>
        <w:rPr>
          <w:rFonts w:hint="eastAsia" w:ascii="仿宋" w:hAnsi="仿宋" w:eastAsia="仿宋"/>
          <w:bCs/>
          <w:szCs w:val="32"/>
        </w:rPr>
        <w:t>3</w:t>
      </w:r>
      <w:r>
        <w:rPr>
          <w:rFonts w:ascii="仿宋" w:hAnsi="仿宋" w:eastAsia="仿宋"/>
          <w:bCs/>
          <w:szCs w:val="32"/>
        </w:rPr>
        <w:t>分。</w:t>
      </w:r>
    </w:p>
    <w:p>
      <w:pPr>
        <w:pBdr>
          <w:bottom w:val="single" w:color="FFFFFF" w:sz="4" w:space="31"/>
        </w:pBdr>
        <w:autoSpaceDE w:val="0"/>
        <w:snapToGrid w:val="0"/>
        <w:spacing w:line="576" w:lineRule="exact"/>
        <w:ind w:firstLine="640" w:firstLineChars="200"/>
        <w:rPr>
          <w:rFonts w:ascii="楷体_GB2312" w:hAnsi="楷体_GB2312" w:eastAsia="楷体_GB2312" w:cs="楷体_GB2312"/>
          <w:kern w:val="0"/>
          <w:sz w:val="28"/>
          <w:szCs w:val="28"/>
          <w:shd w:val="clear" w:color="auto" w:fill="FFFFFF"/>
        </w:rPr>
      </w:pPr>
      <w:r>
        <w:rPr>
          <w:rFonts w:hint="eastAsia" w:ascii="楷体" w:hAnsi="楷体" w:eastAsia="楷体"/>
          <w:bCs/>
          <w:szCs w:val="32"/>
        </w:rPr>
        <w:t>（3）资产盘活率。</w:t>
      </w:r>
      <w:r>
        <w:rPr>
          <w:rFonts w:hint="eastAsia" w:ascii="仿宋" w:hAnsi="仿宋" w:eastAsia="仿宋"/>
          <w:bCs/>
          <w:szCs w:val="32"/>
        </w:rPr>
        <w:t>大部分资产处于在用状态，一些设备由于老化等原因，出现闲置现象。</w:t>
      </w:r>
      <w:r>
        <w:rPr>
          <w:rFonts w:ascii="仿宋" w:hAnsi="仿宋" w:eastAsia="仿宋"/>
          <w:bCs/>
          <w:szCs w:val="32"/>
        </w:rPr>
        <w:t>此项自评得分</w:t>
      </w:r>
      <w:r>
        <w:rPr>
          <w:rFonts w:hint="eastAsia" w:ascii="仿宋" w:hAnsi="仿宋" w:eastAsia="仿宋"/>
          <w:bCs/>
          <w:szCs w:val="32"/>
        </w:rPr>
        <w:t>2</w:t>
      </w:r>
      <w:r>
        <w:rPr>
          <w:rFonts w:ascii="仿宋" w:hAnsi="仿宋" w:eastAsia="仿宋"/>
          <w:bCs/>
          <w:szCs w:val="32"/>
        </w:rPr>
        <w:t>分。</w:t>
      </w:r>
    </w:p>
    <w:p>
      <w:pPr>
        <w:pBdr>
          <w:bottom w:val="single" w:color="FFFFFF" w:sz="4" w:space="31"/>
        </w:pBdr>
        <w:autoSpaceDE w:val="0"/>
        <w:snapToGrid w:val="0"/>
        <w:spacing w:line="576" w:lineRule="exact"/>
        <w:ind w:firstLine="640" w:firstLineChars="200"/>
        <w:rPr>
          <w:rFonts w:hint="eastAsia" w:ascii="楷体_GB2312" w:hAnsi="楷体_GB2312" w:eastAsia="楷体_GB2312" w:cs="楷体_GB2312"/>
          <w:kern w:val="0"/>
          <w:sz w:val="28"/>
          <w:szCs w:val="28"/>
          <w:shd w:val="clear" w:color="auto" w:fill="FFFFFF"/>
        </w:rPr>
      </w:pPr>
      <w:r>
        <w:rPr>
          <w:rFonts w:hint="eastAsia" w:ascii="仿宋" w:hAnsi="仿宋" w:eastAsia="仿宋"/>
          <w:bCs/>
          <w:szCs w:val="32"/>
        </w:rPr>
        <w:t>综上我单位资产管理指标综合自评得分8分。</w:t>
      </w:r>
    </w:p>
    <w:p>
      <w:pPr>
        <w:pBdr>
          <w:bottom w:val="single" w:color="FFFFFF" w:sz="4" w:space="31"/>
        </w:pBdr>
        <w:autoSpaceDE w:val="0"/>
        <w:snapToGrid w:val="0"/>
        <w:spacing w:line="576" w:lineRule="exact"/>
        <w:ind w:firstLine="560" w:firstLineChars="200"/>
        <w:rPr>
          <w:rFonts w:ascii="楷体_GB2312" w:hAnsi="楷体_GB2312" w:eastAsia="楷体_GB2312" w:cs="楷体_GB2312"/>
          <w:kern w:val="0"/>
          <w:sz w:val="28"/>
          <w:szCs w:val="28"/>
          <w:shd w:val="clear" w:color="auto" w:fill="FFFFFF"/>
        </w:rPr>
      </w:pPr>
      <w:r>
        <w:rPr>
          <w:rFonts w:hint="eastAsia" w:ascii="楷体_GB2312" w:hAnsi="楷体_GB2312" w:eastAsia="楷体_GB2312" w:cs="楷体_GB2312"/>
          <w:kern w:val="0"/>
          <w:sz w:val="28"/>
          <w:szCs w:val="28"/>
          <w:shd w:val="clear" w:color="auto" w:fill="FFFFFF"/>
        </w:rPr>
        <w:t>5.</w:t>
      </w:r>
      <w:r>
        <w:rPr>
          <w:rFonts w:ascii="楷体_GB2312" w:hAnsi="楷体_GB2312" w:eastAsia="楷体_GB2312" w:cs="楷体_GB2312"/>
          <w:kern w:val="0"/>
          <w:sz w:val="28"/>
          <w:szCs w:val="28"/>
          <w:shd w:val="clear" w:color="auto" w:fill="FFFFFF"/>
        </w:rPr>
        <w:t>采购管理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（1）支持中小企业发展。</w:t>
      </w:r>
      <w:r>
        <w:rPr>
          <w:rFonts w:hint="eastAsia" w:ascii="仿宋" w:hAnsi="仿宋" w:eastAsia="仿宋"/>
          <w:bCs/>
          <w:szCs w:val="32"/>
        </w:rPr>
        <w:t>我单位2023年无政府采购，未达到政府采购的标准项目均按照采购内控制度执行，均在中小企业采购。</w:t>
      </w:r>
      <w:r>
        <w:rPr>
          <w:rFonts w:ascii="仿宋" w:hAnsi="仿宋" w:eastAsia="仿宋"/>
          <w:bCs/>
          <w:szCs w:val="32"/>
        </w:rPr>
        <w:t>此项自评得分</w:t>
      </w:r>
      <w:r>
        <w:rPr>
          <w:rFonts w:hint="eastAsia" w:ascii="仿宋" w:hAnsi="仿宋" w:eastAsia="仿宋"/>
          <w:bCs/>
          <w:szCs w:val="32"/>
        </w:rPr>
        <w:t>3</w:t>
      </w:r>
      <w:r>
        <w:rPr>
          <w:rFonts w:ascii="仿宋" w:hAnsi="仿宋" w:eastAsia="仿宋"/>
          <w:bCs/>
          <w:szCs w:val="32"/>
        </w:rPr>
        <w:t>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（2）采购执行率。</w:t>
      </w:r>
      <w:r>
        <w:rPr>
          <w:rFonts w:hint="eastAsia" w:ascii="仿宋" w:hAnsi="仿宋" w:eastAsia="仿宋"/>
          <w:bCs/>
          <w:szCs w:val="32"/>
        </w:rPr>
        <w:t>采购执行率100%。</w:t>
      </w:r>
      <w:r>
        <w:rPr>
          <w:rFonts w:ascii="仿宋" w:hAnsi="仿宋" w:eastAsia="仿宋"/>
          <w:bCs/>
          <w:szCs w:val="32"/>
        </w:rPr>
        <w:t>此项自评得分</w:t>
      </w:r>
      <w:r>
        <w:rPr>
          <w:rFonts w:hint="eastAsia" w:ascii="仿宋" w:hAnsi="仿宋" w:eastAsia="仿宋"/>
          <w:bCs/>
          <w:szCs w:val="32"/>
        </w:rPr>
        <w:t>3</w:t>
      </w:r>
      <w:r>
        <w:rPr>
          <w:rFonts w:ascii="仿宋" w:hAnsi="仿宋" w:eastAsia="仿宋"/>
          <w:bCs/>
          <w:szCs w:val="32"/>
        </w:rPr>
        <w:t>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仿宋" w:hAnsi="仿宋" w:eastAsia="仿宋"/>
          <w:bCs/>
          <w:szCs w:val="32"/>
        </w:rPr>
        <w:t>综上我单位采购管理指标综合自评得分6分。</w:t>
      </w:r>
    </w:p>
    <w:p>
      <w:pPr>
        <w:pBdr>
          <w:bottom w:val="single" w:color="FFFFFF" w:sz="4" w:space="31"/>
        </w:pBdr>
        <w:autoSpaceDE w:val="0"/>
        <w:snapToGrid w:val="0"/>
        <w:spacing w:line="576" w:lineRule="exact"/>
        <w:ind w:firstLine="562" w:firstLineChars="200"/>
        <w:rPr>
          <w:rFonts w:hint="eastAsia" w:ascii="仿宋" w:hAnsi="仿宋" w:eastAsia="仿宋" w:cs="仿宋"/>
          <w:szCs w:val="22"/>
        </w:rPr>
      </w:pPr>
      <w:r>
        <w:rPr>
          <w:rFonts w:ascii="方正黑体_GBK" w:hAnsi="方正黑体_GBK" w:eastAsia="方正黑体_GBK" w:cs="方正黑体_GBK"/>
          <w:b/>
          <w:bCs/>
          <w:sz w:val="28"/>
          <w:szCs w:val="28"/>
        </w:rPr>
        <w:t>（二）部门预算项目绩效分析。</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仿宋" w:hAnsi="仿宋" w:eastAsia="仿宋"/>
          <w:bCs/>
          <w:szCs w:val="32"/>
        </w:rPr>
        <w:t>常年项目绩效分析。该类项目总数</w:t>
      </w:r>
      <w:r>
        <w:rPr>
          <w:rFonts w:hint="eastAsia" w:ascii="仿宋" w:hAnsi="仿宋" w:eastAsia="仿宋"/>
          <w:bCs/>
          <w:szCs w:val="32"/>
        </w:rPr>
        <w:t>1</w:t>
      </w:r>
      <w:r>
        <w:rPr>
          <w:rFonts w:ascii="仿宋" w:hAnsi="仿宋" w:eastAsia="仿宋"/>
          <w:bCs/>
          <w:szCs w:val="32"/>
        </w:rPr>
        <w:t xml:space="preserve">个，涉及预算总金额   </w:t>
      </w:r>
      <w:r>
        <w:rPr>
          <w:rFonts w:hint="eastAsia" w:ascii="仿宋" w:hAnsi="仿宋" w:eastAsia="仿宋"/>
          <w:bCs/>
          <w:szCs w:val="32"/>
        </w:rPr>
        <w:t>25</w:t>
      </w:r>
      <w:r>
        <w:rPr>
          <w:rFonts w:ascii="仿宋" w:hAnsi="仿宋" w:eastAsia="仿宋"/>
          <w:bCs/>
          <w:szCs w:val="32"/>
        </w:rPr>
        <w:t>万元，1</w:t>
      </w:r>
      <w:r>
        <w:rPr>
          <w:rFonts w:hint="eastAsia" w:ascii="仿宋" w:hAnsi="仿宋" w:eastAsia="仿宋"/>
          <w:bCs/>
          <w:szCs w:val="32"/>
        </w:rPr>
        <w:t>—</w:t>
      </w:r>
      <w:r>
        <w:rPr>
          <w:rFonts w:ascii="仿宋" w:hAnsi="仿宋" w:eastAsia="仿宋"/>
          <w:bCs/>
          <w:szCs w:val="32"/>
        </w:rPr>
        <w:t>12月预算执行总体进度为</w:t>
      </w:r>
      <w:r>
        <w:rPr>
          <w:rFonts w:hint="eastAsia" w:ascii="仿宋" w:hAnsi="仿宋" w:eastAsia="仿宋"/>
          <w:bCs/>
          <w:szCs w:val="32"/>
        </w:rPr>
        <w:t>100</w:t>
      </w:r>
      <w:r>
        <w:rPr>
          <w:rFonts w:ascii="仿宋" w:hAnsi="仿宋" w:eastAsia="仿宋"/>
          <w:bCs/>
          <w:szCs w:val="32"/>
        </w:rPr>
        <w:t>%，其中：预算结余率大于10%的项目共计</w:t>
      </w:r>
      <w:r>
        <w:rPr>
          <w:rFonts w:hint="eastAsia" w:ascii="仿宋" w:hAnsi="仿宋" w:eastAsia="仿宋"/>
          <w:bCs/>
          <w:szCs w:val="32"/>
        </w:rPr>
        <w:t>0</w:t>
      </w:r>
      <w:r>
        <w:rPr>
          <w:rFonts w:ascii="仿宋" w:hAnsi="仿宋" w:eastAsia="仿宋"/>
          <w:bCs/>
          <w:szCs w:val="32"/>
        </w:rPr>
        <w:t>个。</w:t>
      </w:r>
    </w:p>
    <w:p>
      <w:pPr>
        <w:pBdr>
          <w:bottom w:val="single" w:color="FFFFFF" w:sz="4" w:space="31"/>
        </w:pBdr>
        <w:autoSpaceDE w:val="0"/>
        <w:snapToGrid w:val="0"/>
        <w:spacing w:line="576" w:lineRule="exact"/>
        <w:ind w:firstLine="640" w:firstLineChars="200"/>
        <w:rPr>
          <w:rFonts w:ascii="仿宋" w:hAnsi="仿宋" w:eastAsia="仿宋" w:cs="仿宋"/>
          <w:szCs w:val="22"/>
        </w:rPr>
      </w:pPr>
      <w:r>
        <w:rPr>
          <w:rFonts w:hint="eastAsia" w:ascii="仿宋" w:hAnsi="仿宋" w:eastAsia="仿宋"/>
          <w:bCs/>
          <w:szCs w:val="32"/>
        </w:rPr>
        <w:t>1.</w:t>
      </w:r>
      <w:r>
        <w:rPr>
          <w:rFonts w:hint="eastAsia" w:ascii="楷体_GB2312" w:hAnsi="楷体_GB2312" w:eastAsia="楷体_GB2312" w:cs="楷体_GB2312"/>
          <w:kern w:val="0"/>
          <w:sz w:val="28"/>
          <w:szCs w:val="28"/>
          <w:shd w:val="clear" w:color="auto" w:fill="FFFFFF"/>
        </w:rPr>
        <w:t>项目决策</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（1）决策程序。</w:t>
      </w:r>
      <w:r>
        <w:rPr>
          <w:rFonts w:hint="eastAsia" w:ascii="仿宋" w:hAnsi="仿宋" w:eastAsia="仿宋"/>
          <w:bCs/>
          <w:szCs w:val="32"/>
        </w:rPr>
        <w:t>项目设立、调整延续等方面符合资金管理基本规范和决策程序要求，此项自评得分4分。</w:t>
      </w:r>
    </w:p>
    <w:p>
      <w:pPr>
        <w:pBdr>
          <w:bottom w:val="single" w:color="FFFFFF" w:sz="4" w:space="31"/>
        </w:pBdr>
        <w:autoSpaceDE w:val="0"/>
        <w:snapToGrid w:val="0"/>
        <w:spacing w:line="576" w:lineRule="exact"/>
        <w:ind w:firstLine="640" w:firstLineChars="200"/>
        <w:rPr>
          <w:rFonts w:ascii="仿宋" w:hAnsi="仿宋" w:eastAsia="仿宋"/>
          <w:bCs/>
        </w:rPr>
      </w:pPr>
      <w:r>
        <w:rPr>
          <w:rFonts w:hint="eastAsia" w:ascii="楷体" w:hAnsi="楷体" w:eastAsia="楷体"/>
          <w:bCs/>
          <w:szCs w:val="32"/>
        </w:rPr>
        <w:t>（2）目标设置。</w:t>
      </w:r>
      <w:r>
        <w:rPr>
          <w:rFonts w:hint="eastAsia" w:ascii="仿宋" w:hAnsi="仿宋" w:eastAsia="仿宋"/>
          <w:bCs/>
          <w:szCs w:val="32"/>
        </w:rPr>
        <w:t>一是</w:t>
      </w:r>
      <w:r>
        <w:rPr>
          <w:rFonts w:hint="eastAsia" w:ascii="仿宋" w:hAnsi="仿宋" w:eastAsia="仿宋"/>
          <w:bCs/>
        </w:rPr>
        <w:t>天府科技云 “专职保姆”费用15万元</w:t>
      </w:r>
      <w:r>
        <w:rPr>
          <w:rFonts w:hint="eastAsia" w:ascii="仿宋" w:hAnsi="仿宋" w:eastAsia="仿宋"/>
          <w:bCs/>
          <w:szCs w:val="32"/>
        </w:rPr>
        <w:t>，主要用于聘请3名“专职保姆”，持续开展“天府科技云”平台宣传推广、引导群众注册、发布信息等服务。二是</w:t>
      </w:r>
      <w:r>
        <w:rPr>
          <w:rFonts w:hint="eastAsia" w:ascii="仿宋" w:hAnsi="仿宋" w:eastAsia="仿宋"/>
          <w:bCs/>
        </w:rPr>
        <w:t>科普宣传工作专项资金7</w:t>
      </w:r>
      <w:r>
        <w:rPr>
          <w:rFonts w:hint="eastAsia" w:ascii="仿宋" w:hAnsi="仿宋" w:eastAsia="仿宋"/>
          <w:bCs/>
          <w:szCs w:val="32"/>
        </w:rPr>
        <w:t>万元，结合县委、</w:t>
      </w:r>
      <w:r>
        <w:rPr>
          <w:rFonts w:hint="default" w:ascii="仿宋" w:hAnsi="仿宋" w:eastAsia="仿宋"/>
          <w:bCs/>
          <w:szCs w:val="32"/>
        </w:rPr>
        <w:t>县</w:t>
      </w:r>
      <w:r>
        <w:rPr>
          <w:rFonts w:hint="eastAsia" w:ascii="仿宋" w:hAnsi="仿宋" w:eastAsia="仿宋"/>
          <w:bCs/>
          <w:szCs w:val="32"/>
        </w:rPr>
        <w:t>政府中心工作开展科普进乡村、进单位园等多种类型的科普宣传活动，采取发放科普宣传资料、更换科普宣传栏内容、悬挂科普宣传横幅等多种形式，全力提升全县各族群众科学素养。三是</w:t>
      </w:r>
      <w:r>
        <w:rPr>
          <w:rFonts w:hint="eastAsia" w:ascii="仿宋" w:hAnsi="仿宋" w:eastAsia="仿宋"/>
          <w:bCs/>
        </w:rPr>
        <w:t>天府科技云运维费用3万元，主要用于组织召开全县机关单位天府科技云APP培训会，深入企业推广天府科技云APP。</w:t>
      </w:r>
      <w:r>
        <w:rPr>
          <w:rFonts w:hint="eastAsia" w:ascii="仿宋" w:hAnsi="仿宋" w:eastAsia="仿宋"/>
          <w:bCs/>
          <w:szCs w:val="32"/>
        </w:rPr>
        <w:t>目标设置科学合理、规范完整、量化细化、预算匹配。此项自评得分4分。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（3）项目入库。</w:t>
      </w:r>
      <w:r>
        <w:rPr>
          <w:rFonts w:hint="eastAsia" w:ascii="仿宋" w:hAnsi="仿宋" w:eastAsia="仿宋"/>
          <w:bCs/>
          <w:szCs w:val="32"/>
        </w:rPr>
        <w:t>各项目按照预期目标完整、经济活动真实入库管理。在规定时间内完成项目入库，此项自评得分4分。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仿宋" w:hAnsi="仿宋" w:eastAsia="仿宋"/>
          <w:bCs/>
          <w:szCs w:val="32"/>
        </w:rPr>
        <w:t>综上我单位项目决策指标综合自评得分12分。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_GB2312" w:hAnsi="楷体_GB2312" w:eastAsia="楷体_GB2312" w:cs="楷体_GB2312"/>
          <w:kern w:val="0"/>
          <w:szCs w:val="32"/>
          <w:shd w:val="clear" w:color="auto" w:fill="FFFFFF"/>
        </w:rPr>
        <w:t>2.项目执行</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（1）资金执行同向。</w:t>
      </w:r>
      <w:r>
        <w:rPr>
          <w:rFonts w:hint="eastAsia" w:ascii="仿宋" w:hAnsi="仿宋" w:eastAsia="仿宋"/>
          <w:bCs/>
          <w:szCs w:val="32"/>
        </w:rPr>
        <w:t>2023年度我部门实际列支项目与绩效预算阶段项目相符，此项自评得分4分。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（2）项目调整。</w:t>
      </w:r>
      <w:r>
        <w:rPr>
          <w:rFonts w:hint="eastAsia" w:ascii="仿宋" w:hAnsi="仿宋" w:eastAsia="仿宋"/>
          <w:bCs/>
          <w:szCs w:val="32"/>
        </w:rPr>
        <w:t>项目执行进度有序推进，完成绩效目标100%，无应采取未采取收回预算、年末根据资金使用进度调整结余资金为其他项目报财政审核后执行，此项自评得分4分。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 w:hAnsi="楷体" w:eastAsia="楷体"/>
          <w:bCs/>
          <w:szCs w:val="32"/>
        </w:rPr>
        <w:t>（3）执行结果。</w:t>
      </w:r>
      <w:r>
        <w:rPr>
          <w:rFonts w:hint="eastAsia" w:ascii="仿宋" w:hAnsi="仿宋" w:eastAsia="仿宋"/>
          <w:bCs/>
          <w:szCs w:val="32"/>
        </w:rPr>
        <w:t>预算执行完成各项目标，资金支付进度正常有序，此项自评得分4分。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仿宋" w:hAnsi="仿宋" w:eastAsia="仿宋"/>
          <w:bCs/>
          <w:szCs w:val="32"/>
        </w:rPr>
        <w:t>综上我单位项目执行指标综合自评得分12分。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楷体_GB2312" w:hAnsi="楷体_GB2312" w:eastAsia="楷体_GB2312" w:cs="楷体_GB2312"/>
          <w:kern w:val="0"/>
          <w:szCs w:val="32"/>
          <w:shd w:val="clear" w:color="auto" w:fill="FFFFFF"/>
        </w:rPr>
        <w:t>3.</w:t>
      </w:r>
      <w:r>
        <w:rPr>
          <w:rFonts w:hint="eastAsia" w:ascii="楷体_GB2312" w:hAnsi="楷体_GB2312" w:eastAsia="楷体_GB2312" w:cs="楷体_GB2312"/>
          <w:kern w:val="0"/>
          <w:szCs w:val="32"/>
          <w:shd w:val="clear" w:color="auto" w:fill="FFFFFF"/>
          <w:lang w:val="zh-CN"/>
        </w:rPr>
        <w:t>目标实现</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仿宋" w:hAnsi="仿宋" w:eastAsia="仿宋"/>
          <w:bCs/>
          <w:szCs w:val="32"/>
        </w:rPr>
        <w:t>（1）</w:t>
      </w:r>
      <w:r>
        <w:rPr>
          <w:rFonts w:hint="eastAsia" w:ascii="仿宋" w:hAnsi="仿宋" w:eastAsia="仿宋"/>
          <w:bCs/>
          <w:szCs w:val="32"/>
        </w:rPr>
        <w:t>目标完成</w:t>
      </w:r>
      <w:r>
        <w:rPr>
          <w:rFonts w:ascii="仿宋" w:hAnsi="仿宋" w:eastAsia="仿宋"/>
          <w:bCs/>
          <w:szCs w:val="32"/>
        </w:rPr>
        <w:t>。目标设立清晰，完成率为100%，</w:t>
      </w:r>
      <w:r>
        <w:rPr>
          <w:rFonts w:hint="eastAsia" w:ascii="仿宋" w:hAnsi="仿宋" w:eastAsia="仿宋"/>
          <w:bCs/>
          <w:szCs w:val="32"/>
        </w:rPr>
        <w:t>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仿宋" w:hAnsi="仿宋" w:eastAsia="仿宋"/>
          <w:bCs/>
          <w:szCs w:val="32"/>
        </w:rPr>
        <w:t>（2）</w:t>
      </w:r>
      <w:r>
        <w:rPr>
          <w:rFonts w:hint="eastAsia" w:ascii="仿宋" w:hAnsi="仿宋" w:eastAsia="仿宋"/>
          <w:bCs/>
          <w:szCs w:val="32"/>
        </w:rPr>
        <w:t>目标偏离</w:t>
      </w:r>
      <w:r>
        <w:rPr>
          <w:rFonts w:ascii="仿宋" w:hAnsi="仿宋" w:eastAsia="仿宋"/>
          <w:bCs/>
          <w:szCs w:val="32"/>
        </w:rPr>
        <w:t>。项目均按目标完成无偏差，</w:t>
      </w:r>
      <w:r>
        <w:rPr>
          <w:rFonts w:hint="eastAsia" w:ascii="仿宋" w:hAnsi="仿宋" w:eastAsia="仿宋"/>
          <w:bCs/>
          <w:szCs w:val="32"/>
        </w:rPr>
        <w:t>此项自评得分4分。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仿宋" w:hAnsi="仿宋" w:eastAsia="仿宋"/>
          <w:bCs/>
          <w:szCs w:val="32"/>
        </w:rPr>
        <w:t>（3）</w:t>
      </w:r>
      <w:r>
        <w:rPr>
          <w:rFonts w:hint="eastAsia" w:ascii="仿宋" w:hAnsi="仿宋" w:eastAsia="仿宋"/>
          <w:bCs/>
          <w:szCs w:val="32"/>
        </w:rPr>
        <w:t>实现效果</w:t>
      </w:r>
      <w:r>
        <w:rPr>
          <w:rFonts w:ascii="仿宋" w:hAnsi="仿宋" w:eastAsia="仿宋"/>
          <w:bCs/>
          <w:szCs w:val="32"/>
        </w:rPr>
        <w:t>。项目实现效果好，项目执行好评率高、目标完成率高，</w:t>
      </w:r>
      <w:r>
        <w:rPr>
          <w:rFonts w:hint="eastAsia" w:ascii="仿宋" w:hAnsi="仿宋" w:eastAsia="仿宋"/>
          <w:bCs/>
          <w:szCs w:val="32"/>
        </w:rPr>
        <w:t>此项自评得分</w:t>
      </w:r>
      <w:r>
        <w:rPr>
          <w:rFonts w:ascii="仿宋" w:hAnsi="仿宋" w:eastAsia="仿宋"/>
          <w:bCs/>
          <w:szCs w:val="32"/>
        </w:rPr>
        <w:t>3</w:t>
      </w:r>
      <w:r>
        <w:rPr>
          <w:rFonts w:hint="eastAsia" w:ascii="仿宋" w:hAnsi="仿宋" w:eastAsia="仿宋"/>
          <w:bCs/>
          <w:szCs w:val="32"/>
        </w:rPr>
        <w:t>分。</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ascii="仿宋" w:hAnsi="仿宋" w:eastAsia="仿宋"/>
          <w:bCs/>
          <w:szCs w:val="32"/>
        </w:rPr>
        <w:t>综上我</w:t>
      </w:r>
      <w:r>
        <w:rPr>
          <w:rFonts w:hint="eastAsia" w:ascii="仿宋" w:hAnsi="仿宋" w:eastAsia="仿宋"/>
          <w:bCs/>
          <w:szCs w:val="32"/>
        </w:rPr>
        <w:t>单位</w:t>
      </w:r>
      <w:r>
        <w:rPr>
          <w:rFonts w:ascii="仿宋" w:hAnsi="仿宋" w:eastAsia="仿宋"/>
          <w:bCs/>
          <w:szCs w:val="32"/>
        </w:rPr>
        <w:t>目标实现指标综合自评得分11分。</w:t>
      </w:r>
      <w:r>
        <w:rPr>
          <w:rFonts w:ascii="Calibri" w:hAnsi="Calibri" w:eastAsia="仿宋" w:cs="Calibri"/>
          <w:bCs/>
          <w:szCs w:val="32"/>
        </w:rPr>
        <w:t> </w:t>
      </w:r>
    </w:p>
    <w:p>
      <w:pPr>
        <w:pBdr>
          <w:bottom w:val="single" w:color="FFFFFF" w:sz="4" w:space="31"/>
        </w:pBdr>
        <w:autoSpaceDE w:val="0"/>
        <w:snapToGrid w:val="0"/>
        <w:spacing w:line="576" w:lineRule="exact"/>
        <w:ind w:firstLine="562" w:firstLineChars="200"/>
        <w:rPr>
          <w:rFonts w:ascii="仿宋" w:hAnsi="仿宋" w:eastAsia="仿宋"/>
          <w:bCs/>
          <w:szCs w:val="32"/>
        </w:rPr>
      </w:pPr>
      <w:r>
        <w:rPr>
          <w:rFonts w:ascii="方正黑体_GBK" w:hAnsi="方正黑体_GBK" w:eastAsia="方正黑体_GBK" w:cs="方正黑体_GBK"/>
          <w:b/>
          <w:bCs/>
          <w:sz w:val="28"/>
          <w:szCs w:val="28"/>
        </w:rPr>
        <w:t>（</w:t>
      </w:r>
      <w:r>
        <w:rPr>
          <w:rFonts w:hint="eastAsia" w:ascii="方正黑体_GBK" w:hAnsi="方正黑体_GBK" w:eastAsia="方正黑体_GBK" w:cs="方正黑体_GBK"/>
          <w:b/>
          <w:bCs/>
          <w:sz w:val="28"/>
          <w:szCs w:val="28"/>
        </w:rPr>
        <w:t>三</w:t>
      </w:r>
      <w:r>
        <w:rPr>
          <w:rFonts w:ascii="方正黑体_GBK" w:hAnsi="方正黑体_GBK" w:eastAsia="方正黑体_GBK" w:cs="方正黑体_GBK"/>
          <w:b/>
          <w:bCs/>
          <w:sz w:val="28"/>
          <w:szCs w:val="28"/>
        </w:rPr>
        <w:t>）重点领域绩效分析。</w:t>
      </w:r>
    </w:p>
    <w:p>
      <w:pPr>
        <w:pBdr>
          <w:bottom w:val="single" w:color="FFFFFF" w:sz="4" w:space="31"/>
        </w:pBdr>
        <w:autoSpaceDE w:val="0"/>
        <w:snapToGrid w:val="0"/>
        <w:spacing w:line="576" w:lineRule="exact"/>
        <w:ind w:firstLine="640" w:firstLineChars="200"/>
        <w:rPr>
          <w:rFonts w:ascii="仿宋" w:hAnsi="仿宋" w:eastAsia="仿宋"/>
          <w:bCs/>
          <w:szCs w:val="32"/>
        </w:rPr>
      </w:pPr>
      <w:r>
        <w:rPr>
          <w:rFonts w:hint="eastAsia" w:ascii="仿宋" w:hAnsi="仿宋" w:eastAsia="仿宋"/>
          <w:bCs/>
          <w:szCs w:val="32"/>
        </w:rPr>
        <w:t>本单位2023年度不涉及国有资本、行政事业性国有资产、债券资金、政府采购和政府购买服务等重点领域。</w:t>
      </w:r>
    </w:p>
    <w:p>
      <w:pPr>
        <w:pBdr>
          <w:bottom w:val="single" w:color="FFFFFF" w:sz="4" w:space="31"/>
        </w:pBdr>
        <w:autoSpaceDE w:val="0"/>
        <w:snapToGrid w:val="0"/>
        <w:spacing w:line="576" w:lineRule="exact"/>
        <w:ind w:firstLine="562" w:firstLineChars="200"/>
        <w:rPr>
          <w:rFonts w:ascii="仿宋" w:hAnsi="仿宋" w:eastAsia="仿宋"/>
          <w:bCs/>
          <w:szCs w:val="32"/>
        </w:rPr>
      </w:pPr>
      <w:r>
        <w:rPr>
          <w:rFonts w:ascii="方正黑体_GBK" w:hAnsi="方正黑体_GBK" w:eastAsia="方正黑体_GBK" w:cs="方正黑体_GBK"/>
          <w:b/>
          <w:bCs/>
          <w:sz w:val="28"/>
          <w:szCs w:val="28"/>
        </w:rPr>
        <w:t>（四）绩效结果应用情况</w:t>
      </w:r>
      <w:r>
        <w:rPr>
          <w:rFonts w:hint="eastAsia" w:ascii="方正黑体_GBK" w:hAnsi="方正黑体_GBK" w:eastAsia="方正黑体_GBK" w:cs="方正黑体_GBK"/>
          <w:b/>
          <w:bCs/>
          <w:sz w:val="28"/>
          <w:szCs w:val="28"/>
        </w:rPr>
        <w:t>。</w:t>
      </w:r>
    </w:p>
    <w:p>
      <w:pPr>
        <w:pBdr>
          <w:bottom w:val="single" w:color="FFFFFF" w:sz="4" w:space="31"/>
        </w:pBdr>
        <w:autoSpaceDE w:val="0"/>
        <w:snapToGrid w:val="0"/>
        <w:spacing w:line="576" w:lineRule="exact"/>
        <w:ind w:firstLine="640" w:firstLineChars="200"/>
        <w:rPr>
          <w:rFonts w:hint="eastAsia" w:ascii="仿宋" w:hAnsi="仿宋" w:eastAsia="仿宋"/>
          <w:bCs/>
          <w:szCs w:val="32"/>
        </w:rPr>
      </w:pPr>
      <w:r>
        <w:rPr>
          <w:rFonts w:hint="eastAsia" w:ascii="仿宋" w:hAnsi="仿宋" w:eastAsia="仿宋"/>
          <w:bCs/>
          <w:szCs w:val="32"/>
        </w:rPr>
        <w:t>我中心严格按照县财政</w:t>
      </w:r>
      <w:r>
        <w:rPr>
          <w:rFonts w:hint="default" w:ascii="仿宋" w:hAnsi="仿宋" w:eastAsia="仿宋"/>
          <w:bCs/>
          <w:szCs w:val="32"/>
        </w:rPr>
        <w:t>局</w:t>
      </w:r>
      <w:r>
        <w:rPr>
          <w:rFonts w:hint="eastAsia" w:ascii="仿宋" w:hAnsi="仿宋" w:eastAsia="仿宋"/>
          <w:bCs/>
          <w:szCs w:val="32"/>
        </w:rPr>
        <w:t>通知要求公开预算、决算、部门整体绩效；严格按照县财政局要求对部门整体全面进行绩效评价，并及时上报财政；严格按照县财政局文件要求及时进行自查，并上报材料，未发现违纪违规问题。严格执行“厉行节约、反对浪费”的规定，严格控制“三公”经费支出，加强公务用车管理，努力降低燃修费用。根据部门职能职责，认真完成县委县政府安排的各项专项工作任务及其他年度重点工作任务。</w:t>
      </w:r>
    </w:p>
    <w:p>
      <w:pPr>
        <w:spacing w:line="580" w:lineRule="exact"/>
        <w:ind w:firstLine="640" w:firstLineChars="200"/>
        <w:rPr>
          <w:rFonts w:hint="eastAsia" w:ascii="方正黑体_GBK" w:hAnsi="方正黑体_GBK" w:eastAsia="方正黑体_GBK" w:cs="方正黑体_GBK"/>
          <w:szCs w:val="32"/>
        </w:rPr>
      </w:pPr>
      <w:r>
        <w:rPr>
          <w:rFonts w:ascii="方正黑体_GBK" w:hAnsi="方正黑体_GBK" w:eastAsia="方正黑体_GBK" w:cs="方正黑体_GBK"/>
          <w:szCs w:val="32"/>
        </w:rPr>
        <w:t>四、评价结论及建议</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（一）评价结论。</w:t>
      </w:r>
    </w:p>
    <w:p>
      <w:pPr>
        <w:widowControl/>
        <w:adjustRightInd w:val="0"/>
        <w:snapToGrid w:val="0"/>
        <w:spacing w:line="578" w:lineRule="exact"/>
        <w:ind w:firstLine="640" w:firstLineChars="200"/>
        <w:contextualSpacing/>
        <w:jc w:val="left"/>
        <w:rPr>
          <w:rFonts w:hint="eastAsia" w:ascii="仿宋" w:hAnsi="仿宋" w:eastAsia="仿宋"/>
          <w:bCs/>
          <w:szCs w:val="32"/>
        </w:rPr>
      </w:pPr>
      <w:r>
        <w:rPr>
          <w:rFonts w:hint="eastAsia" w:ascii="仿宋" w:hAnsi="仿宋" w:eastAsia="仿宋"/>
          <w:bCs/>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hint="eastAsia" w:ascii="仿宋" w:hAnsi="仿宋" w:eastAsia="仿宋" w:cs="仿宋"/>
          <w:kern w:val="0"/>
          <w:szCs w:val="32"/>
          <w:shd w:val="clear" w:color="auto" w:fill="FFFEFB"/>
          <w:lang w:bidi="ar"/>
        </w:rPr>
        <w:t>部门整体绩效自评得分98分。</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（二）存在问题。</w:t>
      </w:r>
    </w:p>
    <w:p>
      <w:pPr>
        <w:spacing w:line="560" w:lineRule="exact"/>
        <w:ind w:firstLine="960" w:firstLineChars="300"/>
        <w:rPr>
          <w:rFonts w:hint="eastAsia" w:ascii="仿宋" w:hAnsi="仿宋" w:eastAsia="仿宋"/>
          <w:bCs/>
          <w:szCs w:val="32"/>
        </w:rPr>
      </w:pPr>
      <w:r>
        <w:rPr>
          <w:rFonts w:ascii="仿宋" w:hAnsi="仿宋" w:eastAsia="仿宋"/>
          <w:bCs/>
          <w:szCs w:val="32"/>
        </w:rPr>
        <w:t>预算管理制度</w:t>
      </w:r>
      <w:r>
        <w:rPr>
          <w:rFonts w:hint="eastAsia" w:ascii="仿宋" w:hAnsi="仿宋" w:eastAsia="仿宋"/>
          <w:bCs/>
          <w:szCs w:val="32"/>
        </w:rPr>
        <w:t>、</w:t>
      </w:r>
      <w:r>
        <w:rPr>
          <w:rFonts w:ascii="仿宋" w:hAnsi="仿宋" w:eastAsia="仿宋"/>
          <w:bCs/>
          <w:szCs w:val="32"/>
        </w:rPr>
        <w:t>财务数据分析方法</w:t>
      </w:r>
      <w:r>
        <w:rPr>
          <w:rFonts w:hint="eastAsia" w:ascii="仿宋" w:hAnsi="仿宋" w:eastAsia="仿宋"/>
          <w:bCs/>
          <w:szCs w:val="32"/>
        </w:rPr>
        <w:t>、机制等创新力度有待提高。</w:t>
      </w:r>
    </w:p>
    <w:p>
      <w:pPr>
        <w:widowControl/>
        <w:adjustRightInd w:val="0"/>
        <w:snapToGrid w:val="0"/>
        <w:spacing w:line="578" w:lineRule="exact"/>
        <w:ind w:firstLine="562" w:firstLineChars="200"/>
        <w:contextualSpacing/>
        <w:jc w:val="left"/>
        <w:rPr>
          <w:rFonts w:hint="eastAsia" w:ascii="方正黑体_GBK" w:hAnsi="方正黑体_GBK" w:eastAsia="方正黑体_GBK" w:cs="方正黑体_GBK"/>
          <w:b/>
          <w:bCs/>
          <w:sz w:val="28"/>
          <w:szCs w:val="28"/>
        </w:rPr>
      </w:pPr>
      <w:r>
        <w:rPr>
          <w:rFonts w:ascii="方正黑体_GBK" w:hAnsi="方正黑体_GBK" w:eastAsia="方正黑体_GBK" w:cs="方正黑体_GBK"/>
          <w:b/>
          <w:bCs/>
          <w:sz w:val="28"/>
          <w:szCs w:val="28"/>
        </w:rPr>
        <w:t>（三）改进建议。</w:t>
      </w:r>
    </w:p>
    <w:p>
      <w:pPr>
        <w:spacing w:line="580" w:lineRule="exact"/>
        <w:ind w:firstLine="800" w:firstLineChars="250"/>
        <w:rPr>
          <w:rFonts w:hint="eastAsia" w:ascii="仿宋" w:hAnsi="仿宋" w:eastAsia="仿宋"/>
          <w:bCs/>
          <w:szCs w:val="32"/>
        </w:rPr>
      </w:pPr>
      <w:r>
        <w:rPr>
          <w:rFonts w:hint="eastAsia" w:ascii="仿宋" w:hAnsi="仿宋" w:eastAsia="仿宋"/>
          <w:bCs/>
          <w:szCs w:val="32"/>
        </w:rPr>
        <w:t>我们将进一步重视预算的编制工作，提高预算编制的精确度，提高财政资金使用效率，尽量减少预算执行调整、结转和结余注销的情形。</w:t>
      </w:r>
    </w:p>
    <w:p>
      <w:pPr>
        <w:widowControl/>
        <w:adjustRightInd w:val="0"/>
        <w:snapToGrid w:val="0"/>
        <w:spacing w:line="578" w:lineRule="exact"/>
        <w:ind w:firstLine="640" w:firstLineChars="200"/>
        <w:contextualSpacing/>
        <w:jc w:val="left"/>
        <w:rPr>
          <w:rFonts w:hint="eastAsia" w:ascii="仿宋_GB2312" w:hAnsi="仿宋_GB2312" w:cs="仿宋_GB2312"/>
          <w:kern w:val="0"/>
          <w:szCs w:val="32"/>
        </w:rPr>
      </w:pPr>
    </w:p>
    <w:p>
      <w:pPr>
        <w:spacing w:line="578" w:lineRule="exact"/>
        <w:contextualSpacing/>
        <w:rPr>
          <w:rFonts w:eastAsia="黑体"/>
          <w:szCs w:val="32"/>
        </w:rPr>
      </w:pPr>
    </w:p>
    <w:p>
      <w:pPr>
        <w:spacing w:line="578" w:lineRule="exact"/>
        <w:ind w:firstLine="640" w:firstLineChars="200"/>
        <w:rPr>
          <w:color w:val="000000"/>
          <w:kern w:val="0"/>
          <w:szCs w:val="32"/>
          <w:shd w:val="clear" w:color="auto" w:fill="FFFFFF"/>
        </w:rPr>
      </w:pPr>
    </w:p>
    <w:p>
      <w:pPr>
        <w:spacing w:line="576" w:lineRule="exact"/>
        <w:ind w:firstLine="640" w:firstLineChars="200"/>
        <w:rPr>
          <w:rFonts w:ascii="仿宋" w:eastAsia="仿宋" w:cs="仿宋"/>
          <w:szCs w:val="32"/>
        </w:rPr>
      </w:pPr>
      <w:r>
        <w:rPr>
          <w:rFonts w:hint="eastAsia" w:ascii="仿宋" w:eastAsia="仿宋" w:cs="仿宋"/>
          <w:szCs w:val="32"/>
        </w:rPr>
        <w:t>附表：</w:t>
      </w:r>
      <w:r>
        <w:rPr>
          <w:rFonts w:ascii="仿宋" w:eastAsia="仿宋" w:cs="仿宋"/>
          <w:szCs w:val="32"/>
        </w:rPr>
        <w:t>部门整体支出绩效目标完成情况自评表</w:t>
      </w:r>
    </w:p>
    <w:p>
      <w:pPr>
        <w:spacing w:line="578" w:lineRule="exact"/>
        <w:ind w:firstLine="640" w:firstLineChars="200"/>
        <w:rPr>
          <w:color w:val="000000"/>
          <w:kern w:val="0"/>
          <w:szCs w:val="32"/>
          <w:shd w:val="clear" w:color="auto" w:fill="FFFFFF"/>
        </w:rPr>
      </w:pPr>
    </w:p>
    <w:p>
      <w:pPr>
        <w:spacing w:line="578" w:lineRule="exact"/>
        <w:ind w:firstLine="640" w:firstLineChars="200"/>
        <w:rPr>
          <w:color w:val="000000"/>
          <w:kern w:val="0"/>
          <w:szCs w:val="32"/>
          <w:shd w:val="clear" w:color="auto" w:fill="FFFFFF"/>
        </w:rPr>
      </w:pPr>
    </w:p>
    <w:p>
      <w:pPr>
        <w:spacing w:line="578" w:lineRule="exact"/>
        <w:ind w:firstLine="640" w:firstLineChars="200"/>
        <w:rPr>
          <w:color w:val="000000"/>
          <w:kern w:val="0"/>
          <w:szCs w:val="32"/>
          <w:shd w:val="clear" w:color="auto" w:fill="FFFFFF"/>
        </w:rPr>
      </w:pPr>
    </w:p>
    <w:p>
      <w:pPr>
        <w:spacing w:line="576" w:lineRule="exact"/>
        <w:ind w:firstLine="5120" w:firstLineChars="1600"/>
        <w:rPr>
          <w:rFonts w:ascii="仿宋" w:eastAsia="仿宋" w:cs="仿宋"/>
          <w:szCs w:val="32"/>
        </w:rPr>
      </w:pPr>
      <w:r>
        <w:rPr>
          <w:rFonts w:hint="eastAsia" w:ascii="仿宋" w:eastAsia="仿宋" w:cs="仿宋"/>
          <w:szCs w:val="32"/>
        </w:rPr>
        <w:t>黑水县科学技术协会</w:t>
      </w:r>
    </w:p>
    <w:p>
      <w:pPr>
        <w:spacing w:line="576" w:lineRule="exact"/>
        <w:ind w:firstLine="5440" w:firstLineChars="1700"/>
        <w:rPr>
          <w:rFonts w:ascii="仿宋" w:eastAsia="仿宋" w:cs="仿宋"/>
          <w:szCs w:val="32"/>
        </w:rPr>
      </w:pPr>
      <w:r>
        <w:rPr>
          <w:rFonts w:hint="eastAsia" w:ascii="仿宋" w:eastAsia="仿宋" w:cs="仿宋"/>
          <w:szCs w:val="32"/>
        </w:rPr>
        <w:t>2024年7月30日</w:t>
      </w:r>
    </w:p>
    <w:p>
      <w:pPr>
        <w:spacing w:line="576" w:lineRule="exact"/>
        <w:ind w:firstLine="4320" w:firstLineChars="1350"/>
        <w:rPr>
          <w:rFonts w:ascii="仿宋" w:eastAsia="仿宋" w:cs="仿宋"/>
          <w:szCs w:val="32"/>
        </w:rPr>
      </w:pPr>
    </w:p>
    <w:p>
      <w:pPr>
        <w:rPr>
          <w:rFonts w:hint="eastAsia"/>
        </w:rPr>
      </w:pPr>
    </w:p>
    <w:p>
      <w:pPr>
        <w:spacing w:line="576" w:lineRule="exact"/>
        <w:ind w:firstLine="320" w:firstLineChars="100"/>
        <w:rPr>
          <w:rFonts w:ascii="方正仿宋_GBK" w:eastAsia="方正仿宋_GBK"/>
          <w:szCs w:val="32"/>
        </w:rPr>
      </w:pPr>
      <w:r>
        <w:rPr>
          <w:rFonts w:hint="eastAsia" w:ascii="仿宋" w:eastAsia="仿宋" w:cs="仿宋"/>
          <w:szCs w:val="32"/>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48260</wp:posOffset>
                </wp:positionV>
                <wp:extent cx="5579745" cy="635"/>
                <wp:effectExtent l="0" t="0" r="0" b="0"/>
                <wp:wrapNone/>
                <wp:docPr id="1231337129" name="直接连接符 1"/>
                <wp:cNvGraphicFramePr/>
                <a:graphic xmlns:a="http://schemas.openxmlformats.org/drawingml/2006/main">
                  <a:graphicData uri="http://schemas.microsoft.com/office/word/2010/wordprocessingShape">
                    <wps:wsp>
                      <wps:cNvCnPr/>
                      <wps:spPr>
                        <a:xfrm>
                          <a:off x="0" y="0"/>
                          <a:ext cx="5579745" cy="952"/>
                        </a:xfrm>
                        <a:prstGeom prst="line">
                          <a:avLst/>
                        </a:prstGeom>
                        <a:noFill/>
                        <a:ln w="9525" cap="flat" cmpd="sng">
                          <a:solidFill>
                            <a:srgbClr val="000000"/>
                          </a:solidFill>
                          <a:prstDash val="solid"/>
                          <a:round/>
                        </a:ln>
                      </wps:spPr>
                      <wps:bodyPr/>
                    </wps:wsp>
                  </a:graphicData>
                </a:graphic>
              </wp:anchor>
            </w:drawing>
          </mc:Choice>
          <mc:Fallback>
            <w:pict>
              <v:line id="直接连接符 1" o:spid="_x0000_s1026" o:spt="20" style="position:absolute;left:0pt;margin-left:0pt;margin-top:3.8pt;height:0.05pt;width:439.35pt;z-index:251660288;mso-width-relative:page;mso-height-relative:page;" filled="f" stroked="t" coordsize="21600,21600" o:gfxdata="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i/ZQNMAAAAEAQAADwAAAAAAAAABACAAAAA4AAAAZHJzL2Rvd25yZXYueG1sUEsBAhQAFAAA&#10;AAgAh07iQE1nv0HeAQAApAMAAA4AAAAAAAAAAQAgAAAAOAEAAGRycy9lMm9Eb2MueG1sUEsFBgAA&#10;AAAGAAYAWQEAAIgFAAAAAA==&#10;">
                <v:fill on="f" focussize="0,0"/>
                <v:stroke color="#000000" joinstyle="round"/>
                <v:imagedata o:title=""/>
                <o:lock v:ext="edit" aspectratio="f"/>
              </v:line>
            </w:pict>
          </mc:Fallback>
        </mc:AlternateContent>
      </w:r>
      <w:r>
        <w:rPr>
          <w:rFonts w:hint="eastAsia" w:ascii="仿宋" w:eastAsia="仿宋" w:cs="仿宋"/>
          <w:szCs w:val="32"/>
        </w:rPr>
        <w:t>黑水县科学技术协会办公室        2024年7月30日印 　</w:t>
      </w:r>
      <w:r>
        <w:rPr>
          <w:rFonts w:hint="eastAsia" w:ascii="方正仿宋_GBK" w:eastAsia="方正仿宋_GBK"/>
          <w:szCs w:val="32"/>
        </w:rPr>
        <w:t>　</w:t>
      </w:r>
    </w:p>
    <w:p>
      <w:pPr>
        <w:snapToGrid w:val="0"/>
        <w:spacing w:line="578" w:lineRule="exact"/>
        <w:rPr>
          <w:color w:val="FF0000"/>
          <w:kern w:val="0"/>
          <w:shd w:val="clear" w:color="auto" w:fill="FFFFFF"/>
          <w:lang w:val="zh-CN"/>
        </w:rPr>
      </w:pPr>
      <w:r>
        <w:rPr>
          <w:rFonts w:ascii="Calibri" w:hAnsi="Calibri" w:eastAsia="微软雅黑"/>
          <w:sz w:val="28"/>
          <w:szCs w:val="28"/>
        </w:rPr>
        <mc:AlternateContent>
          <mc:Choice Requires="wps">
            <w:drawing>
              <wp:anchor distT="0" distB="0" distL="113665" distR="113665" simplePos="0" relativeHeight="251661312" behindDoc="0" locked="0" layoutInCell="1" allowOverlap="1">
                <wp:simplePos x="0" y="0"/>
                <wp:positionH relativeFrom="column">
                  <wp:posOffset>0</wp:posOffset>
                </wp:positionH>
                <wp:positionV relativeFrom="paragraph">
                  <wp:posOffset>25400</wp:posOffset>
                </wp:positionV>
                <wp:extent cx="5579745" cy="635"/>
                <wp:effectExtent l="0" t="0" r="0" b="0"/>
                <wp:wrapNone/>
                <wp:docPr id="6" name="直接连接符 2"/>
                <wp:cNvGraphicFramePr/>
                <a:graphic xmlns:a="http://schemas.openxmlformats.org/drawingml/2006/main">
                  <a:graphicData uri="http://schemas.microsoft.com/office/word/2010/wordprocessingShape">
                    <wps:wsp>
                      <wps:cNvCnPr/>
                      <wps:spPr>
                        <a:xfrm>
                          <a:off x="0" y="0"/>
                          <a:ext cx="5579745" cy="952"/>
                        </a:xfrm>
                        <a:prstGeom prst="line">
                          <a:avLst/>
                        </a:prstGeom>
                        <a:noFill/>
                        <a:ln w="9525"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2pt;height:0.05pt;width:439.35pt;z-index:251661312;mso-width-relative:page;mso-height-relative:page;" filled="f" stroked="t" coordsize="21600,21600" o:gfxdata="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Jom9rT&#10;AAAABAEAAA8AAAAAAAAAAQAgAAAAOAAAAGRycy9kb3ducmV2LnhtbFBLAQIUABQAAAAIAIdO4kCq&#10;o1D11gEAAJsDAAAOAAAAAAAAAAEAIAAAADgBAABkcnMvZTJvRG9jLnhtbFBLBQYAAAAABgAGAFkB&#10;AACABQAAAAA=&#10;">
                <v:fill on="f" focussize="0,0"/>
                <v:stroke color="#000000" joinstyle="round"/>
                <v:imagedata o:title=""/>
                <o:lock v:ext="edit" aspectratio="f"/>
              </v:line>
            </w:pict>
          </mc:Fallback>
        </mc:AlternateContent>
      </w:r>
    </w:p>
    <w:p>
      <w:pPr>
        <w:spacing w:line="578" w:lineRule="exact"/>
        <w:ind w:firstLine="640" w:firstLineChars="200"/>
      </w:pPr>
      <w:r>
        <w:rPr>
          <w:rFonts w:hint="eastAsia" w:ascii="黑体" w:hAnsi="黑体" w:eastAsia="黑体" w:cs="黑体"/>
        </w:rPr>
        <w:t>附表</w:t>
      </w:r>
    </w:p>
    <w:tbl>
      <w:tblPr>
        <w:tblStyle w:val="13"/>
        <w:tblW w:w="10560" w:type="dxa"/>
        <w:jc w:val="center"/>
        <w:tblLayout w:type="fixed"/>
        <w:tblCellMar>
          <w:top w:w="15" w:type="dxa"/>
          <w:left w:w="15" w:type="dxa"/>
          <w:bottom w:w="15" w:type="dxa"/>
          <w:right w:w="15" w:type="dxa"/>
        </w:tblCellMar>
      </w:tblPr>
      <w:tblGrid>
        <w:gridCol w:w="1308"/>
        <w:gridCol w:w="1347"/>
        <w:gridCol w:w="1598"/>
        <w:gridCol w:w="1276"/>
        <w:gridCol w:w="644"/>
        <w:gridCol w:w="1289"/>
        <w:gridCol w:w="1058"/>
        <w:gridCol w:w="926"/>
        <w:gridCol w:w="1114"/>
      </w:tblGrid>
      <w:tr>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（2023年度）</w:t>
            </w:r>
          </w:p>
        </w:tc>
      </w:tr>
      <w:tr>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tblPrEx>
          <w:tblCellMar>
            <w:top w:w="15" w:type="dxa"/>
            <w:left w:w="15" w:type="dxa"/>
            <w:bottom w:w="15" w:type="dxa"/>
            <w:right w:w="15" w:type="dxa"/>
          </w:tblCellMar>
        </w:tblPrEx>
        <w:trPr>
          <w:trHeight w:val="23" w:hRule="atLeast"/>
          <w:jc w:val="center"/>
        </w:trPr>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hint="eastAsia" w:eastAsia="宋体"/>
                <w:color w:val="000000"/>
                <w:kern w:val="0"/>
                <w:sz w:val="24"/>
                <w:lang w:bidi="ar"/>
              </w:rPr>
              <w:t>黑水县科学技术协会</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年度部门整体支出预算</w:t>
            </w: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资金总额</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其他资金</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hint="eastAsia" w:eastAsia="宋体"/>
                <w:color w:val="000000"/>
                <w:kern w:val="0"/>
                <w:sz w:val="24"/>
                <w:lang w:bidi="ar"/>
              </w:rPr>
              <w:t>166.25</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hint="eastAsia" w:eastAsia="宋体"/>
                <w:color w:val="000000"/>
                <w:kern w:val="0"/>
                <w:sz w:val="24"/>
                <w:lang w:bidi="ar"/>
              </w:rPr>
              <w:t>166.25</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hint="eastAsia" w:eastAsia="宋体"/>
                <w:color w:val="000000"/>
                <w:kern w:val="0"/>
                <w:sz w:val="24"/>
                <w:lang w:bidi="ar"/>
              </w:rPr>
              <w:t>0</w:t>
            </w:r>
          </w:p>
        </w:tc>
      </w:tr>
      <w:tr>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年度总体</w:t>
            </w:r>
          </w:p>
          <w:p>
            <w:pPr>
              <w:widowControl/>
              <w:spacing w:line="300" w:lineRule="exact"/>
              <w:jc w:val="center"/>
              <w:textAlignment w:val="center"/>
              <w:rPr>
                <w:rFonts w:eastAsia="宋体"/>
                <w:color w:val="000000"/>
                <w:sz w:val="24"/>
              </w:rPr>
            </w:pPr>
            <w:r>
              <w:rPr>
                <w:rFonts w:eastAsia="宋体"/>
                <w:color w:val="000000"/>
                <w:kern w:val="0"/>
                <w:sz w:val="24"/>
                <w:lang w:bidi="ar"/>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hint="eastAsia" w:eastAsia="宋体"/>
                <w:color w:val="000000"/>
                <w:kern w:val="0"/>
                <w:sz w:val="24"/>
                <w:lang w:bidi="ar"/>
              </w:rPr>
              <w:t>保障科协在职人员工资按时发放，办公经费合理支出。开展学术交流，开展科技咨询服务，促进科技成果转化；会同有关部门开展青少年科技教育、培训；宣传表彰优秀科技工作者。</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年度主要</w:t>
            </w:r>
          </w:p>
          <w:p>
            <w:pPr>
              <w:widowControl/>
              <w:spacing w:line="300" w:lineRule="exact"/>
              <w:jc w:val="center"/>
              <w:textAlignment w:val="center"/>
              <w:rPr>
                <w:rFonts w:eastAsia="宋体"/>
                <w:color w:val="000000"/>
                <w:sz w:val="24"/>
              </w:rPr>
            </w:pPr>
            <w:r>
              <w:rPr>
                <w:rFonts w:eastAsia="宋体"/>
                <w:color w:val="000000"/>
                <w:kern w:val="0"/>
                <w:sz w:val="24"/>
                <w:lang w:bidi="ar"/>
              </w:rPr>
              <w:t>任务</w:t>
            </w: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任务名称</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主要内容</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kern w:val="0"/>
                <w:sz w:val="24"/>
                <w:lang w:bidi="ar"/>
              </w:rPr>
              <w:t>确保基本支出</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kern w:val="0"/>
                <w:sz w:val="24"/>
                <w:lang w:bidi="ar"/>
              </w:rPr>
              <w:t>人员工资发放，办公工作正常运转</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开展科普宣传活动、建立院士（专家）工作站</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促进科技成果</w:t>
            </w:r>
            <w:bookmarkStart w:id="0" w:name="_GoBack"/>
            <w:bookmarkEnd w:id="0"/>
            <w:r>
              <w:rPr>
                <w:rFonts w:hint="eastAsia" w:eastAsia="宋体"/>
                <w:color w:val="000000"/>
                <w:sz w:val="24"/>
              </w:rPr>
              <w:t>转化、开展信息应用咨询</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宣传“天府科技云”平台</w:t>
            </w:r>
          </w:p>
        </w:tc>
        <w:tc>
          <w:tcPr>
            <w:tcW w:w="6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引导群众、企业注册，根据自身所能所需发布信息等服务</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年度绩效</w:t>
            </w:r>
          </w:p>
          <w:p>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三级指标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绩效指标</w:t>
            </w:r>
          </w:p>
          <w:p>
            <w:pPr>
              <w:widowControl/>
              <w:spacing w:line="300" w:lineRule="exact"/>
              <w:jc w:val="center"/>
              <w:textAlignment w:val="center"/>
              <w:rPr>
                <w:rFonts w:eastAsia="宋体"/>
                <w:color w:val="000000"/>
                <w:sz w:val="24"/>
              </w:rPr>
            </w:pPr>
            <w:r>
              <w:rPr>
                <w:rFonts w:eastAsia="宋体"/>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实际完成</w:t>
            </w:r>
          </w:p>
          <w:p>
            <w:pPr>
              <w:widowControl/>
              <w:spacing w:line="300" w:lineRule="exact"/>
              <w:jc w:val="center"/>
              <w:textAlignment w:val="center"/>
              <w:rPr>
                <w:rFonts w:eastAsia="宋体"/>
                <w:color w:val="000000"/>
                <w:sz w:val="24"/>
              </w:rPr>
            </w:pPr>
            <w:r>
              <w:rPr>
                <w:rFonts w:eastAsia="宋体"/>
                <w:color w:val="000000"/>
                <w:kern w:val="0"/>
                <w:sz w:val="24"/>
                <w:lang w:bidi="ar"/>
              </w:rPr>
              <w:t>指标值</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产出指标</w:t>
            </w:r>
          </w:p>
        </w:tc>
        <w:tc>
          <w:tcPr>
            <w:tcW w:w="15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ascii="宋体" w:hAnsi="宋体" w:eastAsia="宋体" w:cs="宋体"/>
                <w:color w:val="000000"/>
                <w:sz w:val="24"/>
              </w:rPr>
              <w:t>开展科普宣传活动</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ascii="宋体" w:hAnsi="宋体" w:eastAsia="宋体" w:cs="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ascii="宋体" w:hAnsi="宋体" w:eastAsia="宋体" w:cs="宋体"/>
                <w:color w:val="000000"/>
                <w:sz w:val="24"/>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ascii="宋体" w:hAnsi="宋体" w:eastAsia="宋体" w:cs="宋体"/>
                <w:color w:val="000000"/>
                <w:sz w:val="24"/>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sz w:val="24"/>
              </w:rPr>
              <w:t>10</w:t>
            </w:r>
          </w:p>
        </w:tc>
        <w:tc>
          <w:tcPr>
            <w:tcW w:w="1114" w:type="dxa"/>
            <w:tcBorders>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ascii="宋体" w:hAnsi="宋体" w:eastAsia="宋体" w:cs="宋体"/>
                <w:color w:val="000000"/>
                <w:sz w:val="24"/>
              </w:rPr>
              <w:t>6</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59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更换科普宣传栏内容</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3</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5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eastAsia="宋体"/>
                <w:color w:val="000000"/>
                <w:sz w:val="24"/>
              </w:rPr>
              <w:t>建立院士（专家）工作站</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5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rPr>
            </w:pPr>
            <w:r>
              <w:rPr>
                <w:rFonts w:hint="eastAsia" w:ascii="宋体" w:hAnsi="宋体" w:eastAsia="宋体" w:cs="宋体"/>
                <w:color w:val="000000"/>
                <w:sz w:val="24"/>
              </w:rPr>
              <w:t>完成科普宣传、培训工作</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优</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优</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5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宋体" w:hAnsi="宋体" w:eastAsia="宋体" w:cs="宋体"/>
                <w:color w:val="000000"/>
                <w:sz w:val="24"/>
              </w:rPr>
            </w:pPr>
            <w:r>
              <w:rPr>
                <w:rFonts w:hint="eastAsia" w:ascii="宋体" w:hAnsi="宋体" w:eastAsia="宋体" w:cs="宋体"/>
                <w:color w:val="000000"/>
                <w:sz w:val="24"/>
              </w:rPr>
              <w:t>完成天府科技云各项工作</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优</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eastAsia="宋体" w:cs="宋体"/>
                <w:color w:val="000000"/>
                <w:sz w:val="24"/>
              </w:rPr>
            </w:pPr>
            <w:r>
              <w:rPr>
                <w:rFonts w:hint="eastAsia" w:ascii="宋体" w:hAnsi="宋体" w:eastAsia="宋体" w:cs="宋体"/>
                <w:color w:val="000000"/>
                <w:sz w:val="24"/>
              </w:rPr>
              <w:t>优</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时效指标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项目完成时间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月</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12</w:t>
            </w:r>
          </w:p>
        </w:tc>
      </w:tr>
      <w:tr>
        <w:tblPrEx>
          <w:tblCellMar>
            <w:top w:w="15" w:type="dxa"/>
            <w:left w:w="15" w:type="dxa"/>
            <w:bottom w:w="15" w:type="dxa"/>
            <w:right w:w="15" w:type="dxa"/>
          </w:tblCellMar>
        </w:tblPrEx>
        <w:trPr>
          <w:trHeight w:val="2100"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效益指标</w:t>
            </w:r>
          </w:p>
        </w:tc>
        <w:tc>
          <w:tcPr>
            <w:tcW w:w="1598" w:type="dxa"/>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社会效益</w:t>
            </w:r>
          </w:p>
          <w:p>
            <w:pPr>
              <w:widowControl/>
              <w:spacing w:line="300" w:lineRule="exact"/>
              <w:jc w:val="center"/>
              <w:textAlignment w:val="center"/>
              <w:rPr>
                <w:rFonts w:eastAsia="宋体"/>
                <w:color w:val="000000"/>
                <w:sz w:val="24"/>
              </w:rPr>
            </w:pPr>
            <w:r>
              <w:rPr>
                <w:rFonts w:eastAsia="宋体"/>
                <w:color w:val="000000"/>
                <w:sz w:val="24"/>
              </w:rPr>
              <w:t>指标</w:t>
            </w:r>
          </w:p>
        </w:tc>
        <w:tc>
          <w:tcPr>
            <w:tcW w:w="1276" w:type="dxa"/>
            <w:tcBorders>
              <w:top w:val="single" w:color="000000" w:sz="4" w:space="0"/>
              <w:left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ascii="宋体" w:hAnsi="宋体" w:eastAsia="宋体" w:cs="宋体"/>
                <w:color w:val="000000"/>
                <w:sz w:val="24"/>
              </w:rPr>
              <w:t>全县各族群众科学素质有效提升、促进科技成果转化有效提升</w:t>
            </w:r>
          </w:p>
        </w:tc>
        <w:tc>
          <w:tcPr>
            <w:tcW w:w="644" w:type="dxa"/>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eastAsia="宋体"/>
                <w:color w:val="000000"/>
                <w:sz w:val="24"/>
              </w:rPr>
            </w:pPr>
            <w:r>
              <w:rPr>
                <w:rFonts w:hint="eastAsia" w:ascii="宋体" w:hAnsi="宋体" w:eastAsia="宋体" w:cs="宋体"/>
                <w:color w:val="000000"/>
                <w:sz w:val="24"/>
              </w:rPr>
              <w:t>定性</w:t>
            </w:r>
          </w:p>
        </w:tc>
        <w:tc>
          <w:tcPr>
            <w:tcW w:w="1289" w:type="dxa"/>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eastAsia="宋体"/>
                <w:color w:val="000000"/>
                <w:sz w:val="24"/>
              </w:rPr>
            </w:pPr>
            <w:r>
              <w:rPr>
                <w:rFonts w:hint="eastAsia" w:ascii="宋体" w:hAnsi="宋体" w:eastAsia="宋体" w:cs="宋体"/>
                <w:color w:val="000000"/>
                <w:sz w:val="24"/>
              </w:rPr>
              <w:t>优</w:t>
            </w:r>
          </w:p>
        </w:tc>
        <w:tc>
          <w:tcPr>
            <w:tcW w:w="1058" w:type="dxa"/>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eastAsia="宋体"/>
                <w:color w:val="000000"/>
                <w:sz w:val="24"/>
              </w:rPr>
            </w:pPr>
            <w:r>
              <w:rPr>
                <w:rFonts w:hint="eastAsia" w:ascii="宋体" w:hAnsi="宋体" w:eastAsia="宋体" w:cs="宋体"/>
                <w:color w:val="000000"/>
                <w:sz w:val="24"/>
              </w:rPr>
              <w:t>/</w:t>
            </w:r>
          </w:p>
        </w:tc>
        <w:tc>
          <w:tcPr>
            <w:tcW w:w="926" w:type="dxa"/>
            <w:tcBorders>
              <w:top w:val="single" w:color="000000" w:sz="4" w:space="0"/>
              <w:left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eastAsia="宋体"/>
                <w:color w:val="000000"/>
                <w:sz w:val="24"/>
              </w:rPr>
            </w:pPr>
            <w:r>
              <w:rPr>
                <w:rFonts w:hint="eastAsia" w:ascii="宋体" w:hAnsi="宋体" w:eastAsia="宋体" w:cs="宋体"/>
                <w:color w:val="000000"/>
                <w:sz w:val="24"/>
              </w:rPr>
              <w:t>优</w:t>
            </w:r>
          </w:p>
        </w:tc>
      </w:tr>
      <w:tr>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满意度指标</w:t>
            </w:r>
          </w:p>
        </w:tc>
        <w:tc>
          <w:tcPr>
            <w:tcW w:w="15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sz w:val="24"/>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群众对科普宣传活动满意度</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90</w:t>
            </w:r>
          </w:p>
        </w:tc>
      </w:tr>
      <w:tr>
        <w:tblPrEx>
          <w:tblCellMar>
            <w:top w:w="15" w:type="dxa"/>
            <w:left w:w="15" w:type="dxa"/>
            <w:bottom w:w="15" w:type="dxa"/>
            <w:right w:w="15" w:type="dxa"/>
          </w:tblCellMar>
        </w:tblPrEx>
        <w:trPr>
          <w:trHeight w:val="1225"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p>
        </w:tc>
        <w:tc>
          <w:tcPr>
            <w:tcW w:w="15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聘用人员满意度</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90</w:t>
            </w:r>
          </w:p>
        </w:tc>
      </w:tr>
    </w:tbl>
    <w:p>
      <w:pPr>
        <w:pStyle w:val="12"/>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小标宋简体">
    <w:altName w:val="方正小标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74"/>
    <w:rsid w:val="00006E4D"/>
    <w:rsid w:val="00013CE3"/>
    <w:rsid w:val="00021652"/>
    <w:rsid w:val="00030311"/>
    <w:rsid w:val="00030782"/>
    <w:rsid w:val="00030B66"/>
    <w:rsid w:val="00044EC3"/>
    <w:rsid w:val="0006102A"/>
    <w:rsid w:val="00065B0F"/>
    <w:rsid w:val="00065E7E"/>
    <w:rsid w:val="00076029"/>
    <w:rsid w:val="000820BB"/>
    <w:rsid w:val="0008241B"/>
    <w:rsid w:val="00092280"/>
    <w:rsid w:val="00097FAE"/>
    <w:rsid w:val="000A00E8"/>
    <w:rsid w:val="000A3233"/>
    <w:rsid w:val="000A7CE3"/>
    <w:rsid w:val="000B04D6"/>
    <w:rsid w:val="000B15CE"/>
    <w:rsid w:val="000B5E6F"/>
    <w:rsid w:val="000C1D31"/>
    <w:rsid w:val="000C40C6"/>
    <w:rsid w:val="000C79C1"/>
    <w:rsid w:val="000D208A"/>
    <w:rsid w:val="000E037E"/>
    <w:rsid w:val="000F3EE3"/>
    <w:rsid w:val="000F659A"/>
    <w:rsid w:val="000F77B0"/>
    <w:rsid w:val="001020DA"/>
    <w:rsid w:val="0010235D"/>
    <w:rsid w:val="00103A47"/>
    <w:rsid w:val="00106D4D"/>
    <w:rsid w:val="001119A2"/>
    <w:rsid w:val="001221D6"/>
    <w:rsid w:val="0012510A"/>
    <w:rsid w:val="00125F67"/>
    <w:rsid w:val="001261AE"/>
    <w:rsid w:val="001348A4"/>
    <w:rsid w:val="0014117C"/>
    <w:rsid w:val="001461FC"/>
    <w:rsid w:val="00146FE8"/>
    <w:rsid w:val="0014767B"/>
    <w:rsid w:val="00147AED"/>
    <w:rsid w:val="00152250"/>
    <w:rsid w:val="001624BD"/>
    <w:rsid w:val="00170CBA"/>
    <w:rsid w:val="00177AAF"/>
    <w:rsid w:val="00183850"/>
    <w:rsid w:val="00184D9F"/>
    <w:rsid w:val="001A4749"/>
    <w:rsid w:val="001A4842"/>
    <w:rsid w:val="001A5833"/>
    <w:rsid w:val="001B5C3A"/>
    <w:rsid w:val="001C2158"/>
    <w:rsid w:val="001C51F2"/>
    <w:rsid w:val="001C73AB"/>
    <w:rsid w:val="001D221C"/>
    <w:rsid w:val="001D2EA4"/>
    <w:rsid w:val="001D528B"/>
    <w:rsid w:val="001E5369"/>
    <w:rsid w:val="001F47CE"/>
    <w:rsid w:val="001F5776"/>
    <w:rsid w:val="0020620D"/>
    <w:rsid w:val="002069BC"/>
    <w:rsid w:val="002069EB"/>
    <w:rsid w:val="0021778F"/>
    <w:rsid w:val="002201B0"/>
    <w:rsid w:val="00220900"/>
    <w:rsid w:val="0022307E"/>
    <w:rsid w:val="00224D05"/>
    <w:rsid w:val="00225FA6"/>
    <w:rsid w:val="00230268"/>
    <w:rsid w:val="002323A3"/>
    <w:rsid w:val="00236EF7"/>
    <w:rsid w:val="0024058A"/>
    <w:rsid w:val="002410C0"/>
    <w:rsid w:val="00252894"/>
    <w:rsid w:val="00253FA6"/>
    <w:rsid w:val="00254728"/>
    <w:rsid w:val="002550E7"/>
    <w:rsid w:val="002558D4"/>
    <w:rsid w:val="002560E2"/>
    <w:rsid w:val="00264CFA"/>
    <w:rsid w:val="00270DD7"/>
    <w:rsid w:val="00271585"/>
    <w:rsid w:val="00276F4A"/>
    <w:rsid w:val="00280BFB"/>
    <w:rsid w:val="00280C88"/>
    <w:rsid w:val="002867B6"/>
    <w:rsid w:val="002973A4"/>
    <w:rsid w:val="002A0195"/>
    <w:rsid w:val="002A7034"/>
    <w:rsid w:val="002B5B34"/>
    <w:rsid w:val="002B6906"/>
    <w:rsid w:val="002B7215"/>
    <w:rsid w:val="002C0AFD"/>
    <w:rsid w:val="002C59D0"/>
    <w:rsid w:val="002D1A18"/>
    <w:rsid w:val="002D6C79"/>
    <w:rsid w:val="002E1104"/>
    <w:rsid w:val="002E3FDD"/>
    <w:rsid w:val="002F29C7"/>
    <w:rsid w:val="002F426D"/>
    <w:rsid w:val="00300EF4"/>
    <w:rsid w:val="00301353"/>
    <w:rsid w:val="00305FF6"/>
    <w:rsid w:val="00307568"/>
    <w:rsid w:val="00311506"/>
    <w:rsid w:val="00316ADB"/>
    <w:rsid w:val="00317623"/>
    <w:rsid w:val="00335EE2"/>
    <w:rsid w:val="00335F67"/>
    <w:rsid w:val="003361E9"/>
    <w:rsid w:val="00341DC2"/>
    <w:rsid w:val="00350A65"/>
    <w:rsid w:val="00357DF0"/>
    <w:rsid w:val="00361C85"/>
    <w:rsid w:val="00371352"/>
    <w:rsid w:val="00376753"/>
    <w:rsid w:val="003836C8"/>
    <w:rsid w:val="0038541D"/>
    <w:rsid w:val="00387818"/>
    <w:rsid w:val="00391A13"/>
    <w:rsid w:val="00391FD0"/>
    <w:rsid w:val="003A44FC"/>
    <w:rsid w:val="003B3299"/>
    <w:rsid w:val="003B484D"/>
    <w:rsid w:val="003B6523"/>
    <w:rsid w:val="003B69A2"/>
    <w:rsid w:val="003C3B25"/>
    <w:rsid w:val="003C5EAC"/>
    <w:rsid w:val="003D10A2"/>
    <w:rsid w:val="003D330C"/>
    <w:rsid w:val="003D33B8"/>
    <w:rsid w:val="003D624D"/>
    <w:rsid w:val="003D719A"/>
    <w:rsid w:val="003F4279"/>
    <w:rsid w:val="003F5849"/>
    <w:rsid w:val="003F5EB7"/>
    <w:rsid w:val="003F7FE2"/>
    <w:rsid w:val="004004E7"/>
    <w:rsid w:val="0040646F"/>
    <w:rsid w:val="00416E1A"/>
    <w:rsid w:val="00426A3F"/>
    <w:rsid w:val="004277D4"/>
    <w:rsid w:val="00441C29"/>
    <w:rsid w:val="00461638"/>
    <w:rsid w:val="00463C86"/>
    <w:rsid w:val="004706FA"/>
    <w:rsid w:val="00474D8D"/>
    <w:rsid w:val="00475CCD"/>
    <w:rsid w:val="00477266"/>
    <w:rsid w:val="004811BC"/>
    <w:rsid w:val="004838F2"/>
    <w:rsid w:val="00486492"/>
    <w:rsid w:val="00492CF6"/>
    <w:rsid w:val="004A4C9D"/>
    <w:rsid w:val="004B11E0"/>
    <w:rsid w:val="004C2078"/>
    <w:rsid w:val="004C228F"/>
    <w:rsid w:val="004C39FB"/>
    <w:rsid w:val="004D0D89"/>
    <w:rsid w:val="004D1B7B"/>
    <w:rsid w:val="004E47D0"/>
    <w:rsid w:val="004E752F"/>
    <w:rsid w:val="004F1E37"/>
    <w:rsid w:val="004F286D"/>
    <w:rsid w:val="00515198"/>
    <w:rsid w:val="00521195"/>
    <w:rsid w:val="00521C44"/>
    <w:rsid w:val="00523AD6"/>
    <w:rsid w:val="005274E1"/>
    <w:rsid w:val="00531DDF"/>
    <w:rsid w:val="00535FA6"/>
    <w:rsid w:val="00542AB7"/>
    <w:rsid w:val="00553058"/>
    <w:rsid w:val="0055358D"/>
    <w:rsid w:val="005540C8"/>
    <w:rsid w:val="0055431E"/>
    <w:rsid w:val="00555809"/>
    <w:rsid w:val="005565AF"/>
    <w:rsid w:val="00562165"/>
    <w:rsid w:val="00564681"/>
    <w:rsid w:val="00566004"/>
    <w:rsid w:val="005756AF"/>
    <w:rsid w:val="00575A4A"/>
    <w:rsid w:val="00591B6F"/>
    <w:rsid w:val="005A139B"/>
    <w:rsid w:val="005A1DAF"/>
    <w:rsid w:val="005C17C8"/>
    <w:rsid w:val="005C2098"/>
    <w:rsid w:val="005C2E6C"/>
    <w:rsid w:val="005D0CCF"/>
    <w:rsid w:val="005D1C01"/>
    <w:rsid w:val="005E040A"/>
    <w:rsid w:val="005E297D"/>
    <w:rsid w:val="005E2F71"/>
    <w:rsid w:val="005E3F12"/>
    <w:rsid w:val="005F627E"/>
    <w:rsid w:val="0061652E"/>
    <w:rsid w:val="006205E9"/>
    <w:rsid w:val="006229AD"/>
    <w:rsid w:val="00622D0B"/>
    <w:rsid w:val="00624EBE"/>
    <w:rsid w:val="006270DA"/>
    <w:rsid w:val="00630B75"/>
    <w:rsid w:val="00634DFF"/>
    <w:rsid w:val="00635337"/>
    <w:rsid w:val="006371AD"/>
    <w:rsid w:val="0064265B"/>
    <w:rsid w:val="0064519C"/>
    <w:rsid w:val="0065082E"/>
    <w:rsid w:val="006512D0"/>
    <w:rsid w:val="00654F26"/>
    <w:rsid w:val="006560A3"/>
    <w:rsid w:val="00656301"/>
    <w:rsid w:val="006600C9"/>
    <w:rsid w:val="0066140F"/>
    <w:rsid w:val="006701CC"/>
    <w:rsid w:val="00671F58"/>
    <w:rsid w:val="006762A4"/>
    <w:rsid w:val="00682D3D"/>
    <w:rsid w:val="006846C1"/>
    <w:rsid w:val="006900E7"/>
    <w:rsid w:val="00692E8C"/>
    <w:rsid w:val="006A0011"/>
    <w:rsid w:val="006A00A8"/>
    <w:rsid w:val="006A3C67"/>
    <w:rsid w:val="006A482D"/>
    <w:rsid w:val="006B1172"/>
    <w:rsid w:val="006B11E0"/>
    <w:rsid w:val="006B386A"/>
    <w:rsid w:val="006B7CB4"/>
    <w:rsid w:val="006C24D3"/>
    <w:rsid w:val="006C7917"/>
    <w:rsid w:val="006E3B3A"/>
    <w:rsid w:val="006E51AE"/>
    <w:rsid w:val="006E6960"/>
    <w:rsid w:val="006F0DBE"/>
    <w:rsid w:val="006F24F7"/>
    <w:rsid w:val="006F443C"/>
    <w:rsid w:val="0070081F"/>
    <w:rsid w:val="007018F5"/>
    <w:rsid w:val="00710897"/>
    <w:rsid w:val="00712F45"/>
    <w:rsid w:val="00734305"/>
    <w:rsid w:val="0073504C"/>
    <w:rsid w:val="007370E1"/>
    <w:rsid w:val="007559B9"/>
    <w:rsid w:val="00767CD2"/>
    <w:rsid w:val="007732A1"/>
    <w:rsid w:val="00774C4A"/>
    <w:rsid w:val="00782BBB"/>
    <w:rsid w:val="007A0690"/>
    <w:rsid w:val="007A078F"/>
    <w:rsid w:val="007A1CE7"/>
    <w:rsid w:val="007B34D4"/>
    <w:rsid w:val="007B3D0D"/>
    <w:rsid w:val="007C0567"/>
    <w:rsid w:val="007C0633"/>
    <w:rsid w:val="007D086C"/>
    <w:rsid w:val="007F0292"/>
    <w:rsid w:val="007F1BE1"/>
    <w:rsid w:val="007F707F"/>
    <w:rsid w:val="007F794C"/>
    <w:rsid w:val="007F7AC9"/>
    <w:rsid w:val="00803B42"/>
    <w:rsid w:val="008073EF"/>
    <w:rsid w:val="0081095C"/>
    <w:rsid w:val="00810C41"/>
    <w:rsid w:val="008212FF"/>
    <w:rsid w:val="0082593B"/>
    <w:rsid w:val="00827537"/>
    <w:rsid w:val="008468EA"/>
    <w:rsid w:val="00867140"/>
    <w:rsid w:val="00874135"/>
    <w:rsid w:val="00881134"/>
    <w:rsid w:val="008904F0"/>
    <w:rsid w:val="00893F6E"/>
    <w:rsid w:val="0089605E"/>
    <w:rsid w:val="008B14A3"/>
    <w:rsid w:val="008B2F27"/>
    <w:rsid w:val="008B4A72"/>
    <w:rsid w:val="008B585E"/>
    <w:rsid w:val="008E6C0C"/>
    <w:rsid w:val="008F1E63"/>
    <w:rsid w:val="008F3052"/>
    <w:rsid w:val="00901BFD"/>
    <w:rsid w:val="00901E19"/>
    <w:rsid w:val="009214F7"/>
    <w:rsid w:val="00921CD7"/>
    <w:rsid w:val="00940EB6"/>
    <w:rsid w:val="00944771"/>
    <w:rsid w:val="00944FA9"/>
    <w:rsid w:val="009601FC"/>
    <w:rsid w:val="00965426"/>
    <w:rsid w:val="0096654A"/>
    <w:rsid w:val="0096667F"/>
    <w:rsid w:val="009711E4"/>
    <w:rsid w:val="00971572"/>
    <w:rsid w:val="00971AB4"/>
    <w:rsid w:val="00981E55"/>
    <w:rsid w:val="00983657"/>
    <w:rsid w:val="00986CEF"/>
    <w:rsid w:val="00987212"/>
    <w:rsid w:val="00994F17"/>
    <w:rsid w:val="009A0E5F"/>
    <w:rsid w:val="009A15AF"/>
    <w:rsid w:val="009B6D93"/>
    <w:rsid w:val="009D5243"/>
    <w:rsid w:val="009F1AF3"/>
    <w:rsid w:val="009F233E"/>
    <w:rsid w:val="00A024AB"/>
    <w:rsid w:val="00A050A5"/>
    <w:rsid w:val="00A05B8B"/>
    <w:rsid w:val="00A1372F"/>
    <w:rsid w:val="00A170EC"/>
    <w:rsid w:val="00A217B3"/>
    <w:rsid w:val="00A23D04"/>
    <w:rsid w:val="00A277D9"/>
    <w:rsid w:val="00A30CEB"/>
    <w:rsid w:val="00A31318"/>
    <w:rsid w:val="00A35951"/>
    <w:rsid w:val="00A5432A"/>
    <w:rsid w:val="00A55F8A"/>
    <w:rsid w:val="00A70FB2"/>
    <w:rsid w:val="00A74968"/>
    <w:rsid w:val="00A9670E"/>
    <w:rsid w:val="00AA1423"/>
    <w:rsid w:val="00AA5C23"/>
    <w:rsid w:val="00AA7FA2"/>
    <w:rsid w:val="00AB7996"/>
    <w:rsid w:val="00AC43C3"/>
    <w:rsid w:val="00AC6EFA"/>
    <w:rsid w:val="00AD1DFD"/>
    <w:rsid w:val="00AD520A"/>
    <w:rsid w:val="00AE2EAD"/>
    <w:rsid w:val="00AF392E"/>
    <w:rsid w:val="00AF4CB4"/>
    <w:rsid w:val="00AF77BE"/>
    <w:rsid w:val="00B11CEE"/>
    <w:rsid w:val="00B222B5"/>
    <w:rsid w:val="00B2245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2699"/>
    <w:rsid w:val="00BC3879"/>
    <w:rsid w:val="00BD0E0D"/>
    <w:rsid w:val="00BD41BC"/>
    <w:rsid w:val="00BD55AD"/>
    <w:rsid w:val="00BE0305"/>
    <w:rsid w:val="00BF15F0"/>
    <w:rsid w:val="00BF4AA3"/>
    <w:rsid w:val="00BF7DF9"/>
    <w:rsid w:val="00C03559"/>
    <w:rsid w:val="00C05395"/>
    <w:rsid w:val="00C13796"/>
    <w:rsid w:val="00C1643D"/>
    <w:rsid w:val="00C22AD7"/>
    <w:rsid w:val="00C2485E"/>
    <w:rsid w:val="00C272C1"/>
    <w:rsid w:val="00C32A68"/>
    <w:rsid w:val="00C34282"/>
    <w:rsid w:val="00C35350"/>
    <w:rsid w:val="00C3564B"/>
    <w:rsid w:val="00C36786"/>
    <w:rsid w:val="00C46EAA"/>
    <w:rsid w:val="00C53721"/>
    <w:rsid w:val="00C64D2E"/>
    <w:rsid w:val="00C677AF"/>
    <w:rsid w:val="00C70F97"/>
    <w:rsid w:val="00C7497C"/>
    <w:rsid w:val="00C757A2"/>
    <w:rsid w:val="00C75966"/>
    <w:rsid w:val="00C75DDE"/>
    <w:rsid w:val="00C76577"/>
    <w:rsid w:val="00C80225"/>
    <w:rsid w:val="00C81349"/>
    <w:rsid w:val="00C93139"/>
    <w:rsid w:val="00C93863"/>
    <w:rsid w:val="00CA08A0"/>
    <w:rsid w:val="00CA32D2"/>
    <w:rsid w:val="00CA4E07"/>
    <w:rsid w:val="00CA737D"/>
    <w:rsid w:val="00CB04A2"/>
    <w:rsid w:val="00CB1EF5"/>
    <w:rsid w:val="00CB3291"/>
    <w:rsid w:val="00CB5D2A"/>
    <w:rsid w:val="00CC05D4"/>
    <w:rsid w:val="00CC3A30"/>
    <w:rsid w:val="00CC7166"/>
    <w:rsid w:val="00CE7D0D"/>
    <w:rsid w:val="00CF22CD"/>
    <w:rsid w:val="00CF41C1"/>
    <w:rsid w:val="00CF5275"/>
    <w:rsid w:val="00CF6136"/>
    <w:rsid w:val="00D0023D"/>
    <w:rsid w:val="00D006C6"/>
    <w:rsid w:val="00D07365"/>
    <w:rsid w:val="00D14A65"/>
    <w:rsid w:val="00D15057"/>
    <w:rsid w:val="00D162B9"/>
    <w:rsid w:val="00D251E2"/>
    <w:rsid w:val="00D254F4"/>
    <w:rsid w:val="00D263A7"/>
    <w:rsid w:val="00D26B5D"/>
    <w:rsid w:val="00D33159"/>
    <w:rsid w:val="00D33A19"/>
    <w:rsid w:val="00D355B5"/>
    <w:rsid w:val="00D406E1"/>
    <w:rsid w:val="00D43DC3"/>
    <w:rsid w:val="00D44A98"/>
    <w:rsid w:val="00D44BEC"/>
    <w:rsid w:val="00D51791"/>
    <w:rsid w:val="00D5281E"/>
    <w:rsid w:val="00D64BC5"/>
    <w:rsid w:val="00D6531B"/>
    <w:rsid w:val="00D6612D"/>
    <w:rsid w:val="00D71AD9"/>
    <w:rsid w:val="00D73C02"/>
    <w:rsid w:val="00D8502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40AC"/>
    <w:rsid w:val="00E16B51"/>
    <w:rsid w:val="00E20CE5"/>
    <w:rsid w:val="00E23282"/>
    <w:rsid w:val="00E23329"/>
    <w:rsid w:val="00E24D6D"/>
    <w:rsid w:val="00E32FD5"/>
    <w:rsid w:val="00E341B2"/>
    <w:rsid w:val="00E42633"/>
    <w:rsid w:val="00E42C91"/>
    <w:rsid w:val="00E5699E"/>
    <w:rsid w:val="00E570E1"/>
    <w:rsid w:val="00E72773"/>
    <w:rsid w:val="00E76739"/>
    <w:rsid w:val="00E81946"/>
    <w:rsid w:val="00E82BB7"/>
    <w:rsid w:val="00E86D13"/>
    <w:rsid w:val="00E936C2"/>
    <w:rsid w:val="00E95346"/>
    <w:rsid w:val="00E95531"/>
    <w:rsid w:val="00EA0CEF"/>
    <w:rsid w:val="00EA2E2A"/>
    <w:rsid w:val="00EB1111"/>
    <w:rsid w:val="00EB79D2"/>
    <w:rsid w:val="00EC0174"/>
    <w:rsid w:val="00ED3EEB"/>
    <w:rsid w:val="00ED5749"/>
    <w:rsid w:val="00ED5FA3"/>
    <w:rsid w:val="00ED68C4"/>
    <w:rsid w:val="00ED6A4E"/>
    <w:rsid w:val="00ED72EA"/>
    <w:rsid w:val="00EE3A4F"/>
    <w:rsid w:val="00EF10C3"/>
    <w:rsid w:val="00EF28CE"/>
    <w:rsid w:val="00EF3BD2"/>
    <w:rsid w:val="00F1367D"/>
    <w:rsid w:val="00F16BCE"/>
    <w:rsid w:val="00F45DA1"/>
    <w:rsid w:val="00F5267B"/>
    <w:rsid w:val="00F52ED8"/>
    <w:rsid w:val="00F53E8B"/>
    <w:rsid w:val="00F663FD"/>
    <w:rsid w:val="00F73D0A"/>
    <w:rsid w:val="00F743B0"/>
    <w:rsid w:val="00F82409"/>
    <w:rsid w:val="00F8264F"/>
    <w:rsid w:val="00F833E9"/>
    <w:rsid w:val="00F84580"/>
    <w:rsid w:val="00F873DA"/>
    <w:rsid w:val="00F95982"/>
    <w:rsid w:val="00FA006C"/>
    <w:rsid w:val="00FA190E"/>
    <w:rsid w:val="00FA288B"/>
    <w:rsid w:val="00FA2997"/>
    <w:rsid w:val="00FA2C71"/>
    <w:rsid w:val="00FB127B"/>
    <w:rsid w:val="00FB3345"/>
    <w:rsid w:val="00FB3380"/>
    <w:rsid w:val="00FD0228"/>
    <w:rsid w:val="00FD3BB7"/>
    <w:rsid w:val="00FD7B81"/>
    <w:rsid w:val="00FE0D93"/>
    <w:rsid w:val="00FE50DC"/>
    <w:rsid w:val="00FF2572"/>
    <w:rsid w:val="00FF32AD"/>
    <w:rsid w:val="00FF51B0"/>
    <w:rsid w:val="0DC31556"/>
    <w:rsid w:val="1A3D6143"/>
    <w:rsid w:val="1C013801"/>
    <w:rsid w:val="1DFD8D3B"/>
    <w:rsid w:val="1FB79DC9"/>
    <w:rsid w:val="1FBFC3F2"/>
    <w:rsid w:val="1FFFE033"/>
    <w:rsid w:val="27F352A6"/>
    <w:rsid w:val="2D527252"/>
    <w:rsid w:val="2DDC1740"/>
    <w:rsid w:val="2EAE55F2"/>
    <w:rsid w:val="2EDF4302"/>
    <w:rsid w:val="2EFE1A04"/>
    <w:rsid w:val="35BBF80F"/>
    <w:rsid w:val="3B736F08"/>
    <w:rsid w:val="3BE3D531"/>
    <w:rsid w:val="3D431A40"/>
    <w:rsid w:val="3EFF42CA"/>
    <w:rsid w:val="3F6FCA38"/>
    <w:rsid w:val="3FD5AF3D"/>
    <w:rsid w:val="3FFED8BE"/>
    <w:rsid w:val="3FFF43BB"/>
    <w:rsid w:val="433DCF8E"/>
    <w:rsid w:val="45FF973D"/>
    <w:rsid w:val="47550EBA"/>
    <w:rsid w:val="4BF7E09D"/>
    <w:rsid w:val="4FFFFC3E"/>
    <w:rsid w:val="53BB74FC"/>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3DBAF21"/>
    <w:rsid w:val="6636451A"/>
    <w:rsid w:val="67DE80AA"/>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FB87D9"/>
    <w:rsid w:val="75EF0FBA"/>
    <w:rsid w:val="7607C293"/>
    <w:rsid w:val="76DFA4E8"/>
    <w:rsid w:val="778720BD"/>
    <w:rsid w:val="77A7D615"/>
    <w:rsid w:val="77FF366A"/>
    <w:rsid w:val="77FF8C96"/>
    <w:rsid w:val="77FFA8F9"/>
    <w:rsid w:val="7976604B"/>
    <w:rsid w:val="79F3BC78"/>
    <w:rsid w:val="7A5B6CAA"/>
    <w:rsid w:val="7A9314AC"/>
    <w:rsid w:val="7B4F6850"/>
    <w:rsid w:val="7BABD5C4"/>
    <w:rsid w:val="7BB12055"/>
    <w:rsid w:val="7BBFADBA"/>
    <w:rsid w:val="7BFF492D"/>
    <w:rsid w:val="7C631402"/>
    <w:rsid w:val="7C978C63"/>
    <w:rsid w:val="7CA35AD0"/>
    <w:rsid w:val="7CDF8BC3"/>
    <w:rsid w:val="7CEB72A5"/>
    <w:rsid w:val="7D18750B"/>
    <w:rsid w:val="7DDFDC3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7F976"/>
    <w:rsid w:val="7FFD6A57"/>
    <w:rsid w:val="7FFDA7EC"/>
    <w:rsid w:val="7FFDEA1E"/>
    <w:rsid w:val="7FFEC1F6"/>
    <w:rsid w:val="7FFF2F52"/>
    <w:rsid w:val="8F7B4EC8"/>
    <w:rsid w:val="8FBD4480"/>
    <w:rsid w:val="8FF7AE96"/>
    <w:rsid w:val="955F5184"/>
    <w:rsid w:val="9F6311D7"/>
    <w:rsid w:val="9FDB1F98"/>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72386"/>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200"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table of figures"/>
    <w:basedOn w:val="1"/>
    <w:next w:val="1"/>
    <w:unhideWhenUsed/>
    <w:qFormat/>
    <w:uiPriority w:val="99"/>
    <w:pPr>
      <w:ind w:left="200" w:leftChars="200" w:hanging="200" w:hangingChars="200"/>
    </w:p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5"/>
    <w:link w:val="18"/>
    <w:qFormat/>
    <w:uiPriority w:val="0"/>
    <w:rPr>
      <w:rFonts w:ascii="??" w:hAnsi="??" w:eastAsia="宋体" w:cs="宋体"/>
      <w:color w:val="000000"/>
      <w:sz w:val="28"/>
      <w:szCs w:val="21"/>
      <w:lang w:val="en-US" w:eastAsia="zh-CN" w:bidi="ar-SA"/>
    </w:rPr>
  </w:style>
  <w:style w:type="character" w:customStyle="1" w:styleId="20">
    <w:name w:val="文档结构图 字符"/>
    <w:basedOn w:val="15"/>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字符"/>
    <w:basedOn w:val="15"/>
    <w:link w:val="8"/>
    <w:qFormat/>
    <w:uiPriority w:val="99"/>
    <w:rPr>
      <w:kern w:val="2"/>
      <w:sz w:val="18"/>
      <w:szCs w:val="18"/>
    </w:rPr>
  </w:style>
  <w:style w:type="character" w:customStyle="1" w:styleId="23">
    <w:name w:val="font31"/>
    <w:basedOn w:val="15"/>
    <w:qFormat/>
    <w:uiPriority w:val="0"/>
    <w:rPr>
      <w:rFonts w:hint="eastAsia" w:ascii="宋体" w:hAnsi="宋体" w:eastAsia="宋体" w:cs="宋体"/>
      <w:color w:val="000000"/>
      <w:sz w:val="24"/>
      <w:szCs w:val="24"/>
      <w:u w:val="none"/>
    </w:rPr>
  </w:style>
  <w:style w:type="character" w:customStyle="1" w:styleId="24">
    <w:name w:val="font51"/>
    <w:basedOn w:val="15"/>
    <w:qFormat/>
    <w:uiPriority w:val="0"/>
    <w:rPr>
      <w:rFonts w:hint="default" w:ascii="Wingdings 2" w:hAnsi="Wingdings 2" w:eastAsia="Wingdings 2" w:cs="Wingdings 2"/>
      <w:color w:val="000000"/>
      <w:sz w:val="18"/>
      <w:szCs w:val="18"/>
      <w:u w:val="none"/>
    </w:rPr>
  </w:style>
  <w:style w:type="character" w:customStyle="1" w:styleId="25">
    <w:name w:val="font01"/>
    <w:basedOn w:val="15"/>
    <w:qFormat/>
    <w:uiPriority w:val="0"/>
    <w:rPr>
      <w:rFonts w:ascii="宋体" w:hAnsi="宋体" w:eastAsia="宋体" w:cs="宋体"/>
      <w:color w:val="000000"/>
      <w:sz w:val="18"/>
      <w:szCs w:val="18"/>
      <w:u w:val="none"/>
    </w:rPr>
  </w:style>
  <w:style w:type="character" w:customStyle="1" w:styleId="26">
    <w:name w:val="font41"/>
    <w:basedOn w:val="15"/>
    <w:qFormat/>
    <w:uiPriority w:val="0"/>
    <w:rPr>
      <w:rFonts w:ascii="宋体" w:hAnsi="宋体" w:eastAsia="宋体" w:cs="宋体"/>
      <w:color w:val="000000"/>
      <w:sz w:val="18"/>
      <w:szCs w:val="18"/>
      <w:u w:val="none"/>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11</Pages>
  <Words>747</Words>
  <Characters>4264</Characters>
  <Lines>35</Lines>
  <Paragraphs>10</Paragraphs>
  <TotalTime>3</TotalTime>
  <ScaleCrop>false</ScaleCrop>
  <LinksUpToDate>false</LinksUpToDate>
  <CharactersWithSpaces>5001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2024-07-31T10:20:00Z</dcterms:created>
  <dc:creator>陈萍</dc:creator>
  <cp:lastModifiedBy>user</cp:lastModifiedBy>
  <cp:lastPrinted>2016-02-15T16:25:00Z</cp:lastPrinted>
  <dcterms:modified xsi:type="dcterms:W3CDTF">2024-11-11T17:11:44Z</dcterms:modified>
  <dc:title>区域性就业培训基地建设项目</dc:title>
  <cp:revision>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A51A36801428E9B041879466C62AECE8</vt:lpwstr>
  </property>
</Properties>
</file>