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方正小标宋简体" w:hAnsi="黑体" w:eastAsia="方正小标宋简体" w:cs="方正小标宋简体"/>
          <w:b/>
          <w:sz w:val="44"/>
          <w:szCs w:val="44"/>
        </w:rPr>
      </w:pPr>
      <w:r>
        <w:rPr>
          <w:rFonts w:hint="eastAsia" w:ascii="方正小标宋简体" w:hAnsi="黑体" w:eastAsia="方正小标宋简体" w:cs="方正小标宋简体"/>
          <w:b/>
          <w:sz w:val="44"/>
          <w:szCs w:val="44"/>
        </w:rPr>
        <w:t>2024年省级科普专项资金项目</w:t>
      </w:r>
    </w:p>
    <w:p>
      <w:pPr>
        <w:spacing w:line="580" w:lineRule="exact"/>
        <w:jc w:val="center"/>
        <w:rPr>
          <w:rFonts w:hint="eastAsia" w:ascii="方正小标宋简体" w:hAnsi="黑体" w:eastAsia="方正小标宋简体" w:cs="方正小标宋简体"/>
          <w:b/>
          <w:sz w:val="44"/>
          <w:szCs w:val="44"/>
        </w:rPr>
      </w:pPr>
      <w:r>
        <w:rPr>
          <w:rFonts w:hint="eastAsia" w:ascii="方正小标宋简体" w:hAnsi="黑体" w:eastAsia="方正小标宋简体" w:cs="方正小标宋简体"/>
          <w:b/>
          <w:sz w:val="44"/>
          <w:szCs w:val="44"/>
        </w:rPr>
        <w:t>支出绩效评价报告</w:t>
      </w:r>
    </w:p>
    <w:p>
      <w:pPr>
        <w:spacing w:line="580" w:lineRule="exact"/>
        <w:ind w:firstLine="640" w:firstLineChars="200"/>
        <w:rPr>
          <w:rFonts w:hint="eastAsia" w:ascii="仿宋_GB2312" w:hAnsi="仿宋_GB2312" w:eastAsia="仿宋_GB2312" w:cs="仿宋_GB2312"/>
          <w:sz w:val="32"/>
          <w:szCs w:val="32"/>
        </w:rPr>
      </w:pPr>
    </w:p>
    <w:p>
      <w:pPr>
        <w:spacing w:line="58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一、评价工作开展及项目情况</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（一）评价选点</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科普专项资金项目主要开展工作地点为黑水县，项目不涉及其他点位。</w:t>
      </w:r>
    </w:p>
    <w:p>
      <w:pPr>
        <w:spacing w:line="580" w:lineRule="exact"/>
        <w:ind w:firstLine="640" w:firstLineChars="200"/>
        <w:rPr>
          <w:rFonts w:ascii="楷体" w:hAnsi="楷体" w:eastAsia="楷体" w:cs="仿宋_GB2312"/>
          <w:sz w:val="32"/>
          <w:szCs w:val="32"/>
        </w:rPr>
      </w:pPr>
      <w:r>
        <w:rPr>
          <w:rFonts w:hint="eastAsia" w:ascii="楷体" w:hAnsi="楷体" w:eastAsia="楷体" w:cs="仿宋_GB2312"/>
          <w:sz w:val="32"/>
          <w:szCs w:val="32"/>
        </w:rPr>
        <w:t>（二）评价指标</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黑水县天府科技云运维费用：黑水县天府科技云服务中心是“天府科技云服务”平台专属服务场所，是指挥、运行、服务及保障的中枢，设有运维服务功能区、洽谈接待功能区，能满足“天府科技云服务”线下服务功能和科技工作者、企事业单位和人民群众来访洽谈接待等功能需求。科技工作者或企事业单位只要注册了</w:t>
      </w:r>
      <w:r>
        <w:rPr>
          <w:rFonts w:hint="eastAsia" w:ascii="仿宋_GB2312" w:hAnsi="仿宋" w:eastAsia="仿宋_GB2312" w:cs="仿宋_GB2312"/>
          <w:sz w:val="32"/>
          <w:szCs w:val="32"/>
          <w:lang w:eastAsia="zh-CN"/>
        </w:rPr>
        <w:t>账号</w:t>
      </w:r>
      <w:r>
        <w:rPr>
          <w:rFonts w:hint="eastAsia" w:ascii="仿宋_GB2312" w:hAnsi="仿宋" w:eastAsia="仿宋_GB2312" w:cs="仿宋_GB2312"/>
          <w:sz w:val="32"/>
          <w:szCs w:val="32"/>
        </w:rPr>
        <w:t>，县科协就会指定专职保姆开展全过程服务，为科技工作者创造财富、为企事业单位创造效益。</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黑水县天府科技云“专职保姆”费用：“专职保姆”主要职责为宣传、管理、使用好天府科技云平台，并深入全县各乡镇服务对象，专程、全程地为用户提供从宣传推介、引导注册、发布信息、促成交易等全流程服务，并做好科创项目的申报工作。通过聘请“专职保姆”的方式充实科协力量，从根本解决工作的落地落实问题，促进我县天府科技云工作上新台阶。</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3.黑水县科普宣传工作专项资金：县科协牵头全民科学素质纲要行动计划成员单位、广大科技工作者，切实承担起科学技术教育、</w:t>
      </w:r>
      <w:r>
        <w:rPr>
          <w:rFonts w:hint="eastAsia" w:ascii="仿宋_GB2312" w:hAnsi="仿宋" w:eastAsia="仿宋_GB2312" w:cs="仿宋_GB2312"/>
          <w:sz w:val="32"/>
          <w:szCs w:val="32"/>
          <w:lang w:eastAsia="zh-CN"/>
        </w:rPr>
        <w:t>传播和普及</w:t>
      </w:r>
      <w:bookmarkStart w:id="0" w:name="_GoBack"/>
      <w:bookmarkEnd w:id="0"/>
      <w:r>
        <w:rPr>
          <w:rFonts w:hint="eastAsia" w:ascii="仿宋_GB2312" w:hAnsi="仿宋" w:eastAsia="仿宋_GB2312" w:cs="仿宋_GB2312"/>
          <w:sz w:val="32"/>
          <w:szCs w:val="32"/>
        </w:rPr>
        <w:t>的重任，在送科技下乡、防震减灾日、全国科普日等活动中深入乡村、深入生产生活一线，弘扬科学思想，提高全民科学素养，特别是要利用好现有的“天府科技云”服务平台，实现科学技术、科技成果精准转化，科普知识精准直达，在全县营造讲科学、爱科学、学科学、用科学的良好氛围。</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（三）评价方法</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采用先进的绩效评价方法和科学的数据分析是取得正确客观评价结论的重要保障，评价组从以下方法中择优组织，对项目实施评价，通过定量和定性分析得出评价结论。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1.比较分析法。通过对绩效目标与实施效果、历史与当期情况、不同部门和地区同类支出的比较，综合分析绩效目标实现程度。</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2.因素分析法。通过综合分析影响绩效目标实现、实施效果的内外因素，评价绩效目标实现程度。</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3.双重交叉分析法。通过对项目前后的比较，根据成效等方面去寻找和分析政策产生的影响。</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5.随机访谈法。针对部分项目负责人及服务对象进行询问和访谈，如项目实施情况的必要性、可行性和满意度等进行随机访谈。</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（四）基础数据表</w:t>
      </w:r>
    </w:p>
    <w:p>
      <w:pPr>
        <w:spacing w:line="58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二、评价结论及绩效分析</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我单位严格按照绩效自评工作要求，秉承客观公正、实事求是的原则开展了科普专项资金项目支出绩效自评工作，经对各类指标进行评分和汇总分析，2024年科普专项资金项目支出绩效评价综合得分98分。</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（二）通用指标绩效分析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（1）决策程序</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项目设立、调整延续等方面符合资金管理基本规范和决策程序要求，该项指标得分6分。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（2）规划论证</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但部门绩效存在设置不规范的情况，扣2分，该项指标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（3）资金投向</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项目属于政府支持范围，且符合财政事权支出责任划分规定，资金投向与项目总体规划、相关行业事业发展相匹配，聚焦重大任务、重点领域、重点环节和重点项目，体现“</w:t>
      </w:r>
      <w:r>
        <w:rPr>
          <w:rFonts w:hint="eastAsia" w:ascii="仿宋_GB2312" w:hAnsi="仿宋" w:eastAsia="仿宋_GB2312" w:cs="仿宋_GB2312"/>
          <w:sz w:val="32"/>
          <w:szCs w:val="32"/>
          <w:lang w:eastAsia="zh-CN"/>
        </w:rPr>
        <w:t>集中力量办大事</w:t>
      </w:r>
      <w:r>
        <w:rPr>
          <w:rFonts w:hint="eastAsia" w:ascii="仿宋_GB2312" w:hAnsi="仿宋" w:eastAsia="仿宋_GB2312" w:cs="仿宋_GB2312"/>
          <w:sz w:val="32"/>
          <w:szCs w:val="32"/>
        </w:rPr>
        <w:t>”原则，避免“撒胡椒面”，未与其他同类项目或部门内部相关项目交叉重复，该项指标得分6分。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2.项目管理。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（1）制度办法</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资金管理办法等管理制度体系健全完善，不存在管理制度缺失、管理办法过期情况，该项指标得分2分。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（2）分配管理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（3）绩效监管</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按照省要求全面完成绩效目标、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3.项目实施。</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（1）预算执行</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财政资金已按照要求拨付完毕，拨付率100%，该项指标得分=财政资金拨付率×100%×6=6分。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（2）资金使用</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4.项目结果。</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（1）目标完成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项目完成预期目标，实施结果与绩效目标相匹配，该项指标得分6分。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（2）完成时效</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项目实际完成时间与计划完成时间相符，该项指标得分3分。</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（三）专用指标绩效分析。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资金分配科学合理、均衡公平，资金实际支持对象符合管理要求，符合支持对象范围，资金实际补贴标准符合资金管理办法规定的补助标准，及时按标准兑现，市民满意度较高，该项指标得分30分。</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（四）个性指标绩效分析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项目已如期完成，资金已按期拨付，项目实施后已达到预期效果，该项指标得分16分。</w:t>
      </w:r>
    </w:p>
    <w:p>
      <w:pPr>
        <w:spacing w:line="580" w:lineRule="exact"/>
        <w:ind w:firstLine="640" w:firstLineChars="200"/>
        <w:rPr>
          <w:rFonts w:ascii="黑体" w:hAnsi="黑体" w:eastAsia="黑体" w:cs="仿宋_GB2312"/>
          <w:sz w:val="32"/>
          <w:szCs w:val="32"/>
        </w:rPr>
      </w:pPr>
      <w:r>
        <w:rPr>
          <w:rFonts w:hint="eastAsia" w:ascii="黑体" w:hAnsi="黑体" w:eastAsia="黑体" w:cs="仿宋_GB2312"/>
          <w:sz w:val="32"/>
          <w:szCs w:val="32"/>
        </w:rPr>
        <w:t>三、存在主要问题</w:t>
      </w:r>
    </w:p>
    <w:p>
      <w:pPr>
        <w:spacing w:line="58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预算管理制度、财务数据分析方法、机制等创新力度有待提高。</w:t>
      </w:r>
    </w:p>
    <w:p>
      <w:pPr>
        <w:spacing w:line="58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四、相关措施建议</w:t>
      </w:r>
    </w:p>
    <w:p>
      <w:pPr>
        <w:ind w:firstLine="640" w:firstLineChars="200"/>
        <w:rPr>
          <w:rFonts w:ascii="仿宋" w:hAnsi="仿宋" w:eastAsia="仿宋"/>
          <w:sz w:val="32"/>
          <w:szCs w:val="32"/>
        </w:rPr>
      </w:pPr>
      <w:r>
        <w:rPr>
          <w:rFonts w:hint="eastAsia" w:ascii="仿宋" w:hAnsi="仿宋" w:eastAsia="仿宋"/>
          <w:sz w:val="32"/>
          <w:szCs w:val="32"/>
        </w:rPr>
        <w:t>我们将进一步重视预算的编制工作，提高预算编制的精确度，提高财政资金使用效率，尽量减少预算执行调整、结转和结余注销的情形。</w:t>
      </w:r>
    </w:p>
    <w:p>
      <w:pPr>
        <w:widowControl/>
        <w:adjustRightInd w:val="0"/>
        <w:snapToGrid w:val="0"/>
        <w:spacing w:line="578" w:lineRule="exact"/>
        <w:contextualSpacing/>
        <w:jc w:val="left"/>
        <w:rPr>
          <w:rFonts w:hint="eastAsia" w:ascii="黑体" w:hAnsi="黑体" w:eastAsia="黑体" w:cs="黑体"/>
          <w:kern w:val="0"/>
          <w:shd w:val="clear" w:color="auto" w:fill="FFFFFF"/>
          <w:lang w:val="zh-CN"/>
        </w:rPr>
      </w:pPr>
      <w:r>
        <w:br w:type="page"/>
      </w:r>
      <w:r>
        <w:rPr>
          <w:rFonts w:hint="eastAsia" w:ascii="黑体" w:hAnsi="黑体" w:eastAsia="黑体" w:cs="黑体"/>
          <w:kern w:val="0"/>
          <w:shd w:val="clear" w:color="auto" w:fill="FFFFFF"/>
          <w:lang w:val="zh-CN"/>
        </w:rPr>
        <w:t>附表</w:t>
      </w:r>
      <w:r>
        <w:rPr>
          <w:rFonts w:hint="eastAsia" w:ascii="黑体" w:hAnsi="黑体" w:eastAsia="黑体" w:cs="黑体"/>
          <w:kern w:val="0"/>
          <w:shd w:val="clear" w:color="auto" w:fill="FFFFFF"/>
        </w:rPr>
        <w:t>1</w:t>
      </w:r>
    </w:p>
    <w:p>
      <w:pPr>
        <w:spacing w:line="578" w:lineRule="exact"/>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项目资金分配涉及所有点位自评得分情况表</w:t>
      </w:r>
    </w:p>
    <w:tbl>
      <w:tblPr>
        <w:tblStyle w:val="6"/>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hint="eastAsia" w:ascii="黑体" w:hAnsi="黑体" w:eastAsia="黑体" w:cs="黑体"/>
                <w:sz w:val="24"/>
              </w:rPr>
            </w:pPr>
            <w:r>
              <w:rPr>
                <w:rFonts w:hint="eastAsia" w:ascii="黑体" w:hAnsi="黑体" w:eastAsia="黑体" w:cs="黑体"/>
                <w:sz w:val="24"/>
              </w:rPr>
              <w:t>序号</w:t>
            </w:r>
          </w:p>
        </w:tc>
        <w:tc>
          <w:tcPr>
            <w:tcW w:w="3843" w:type="dxa"/>
          </w:tcPr>
          <w:p>
            <w:pPr>
              <w:spacing w:line="300" w:lineRule="exact"/>
              <w:jc w:val="center"/>
              <w:rPr>
                <w:rFonts w:hint="eastAsia" w:ascii="黑体" w:hAnsi="黑体" w:eastAsia="黑体" w:cs="黑体"/>
                <w:sz w:val="24"/>
                <w:lang w:val="en"/>
              </w:rPr>
            </w:pPr>
            <w:r>
              <w:rPr>
                <w:rFonts w:hint="eastAsia" w:ascii="黑体" w:hAnsi="黑体" w:eastAsia="黑体" w:cs="黑体"/>
                <w:sz w:val="24"/>
              </w:rPr>
              <w:t>项目资金末端分配点位</w:t>
            </w:r>
          </w:p>
        </w:tc>
        <w:tc>
          <w:tcPr>
            <w:tcW w:w="2861" w:type="dxa"/>
          </w:tcPr>
          <w:p>
            <w:pPr>
              <w:spacing w:line="300" w:lineRule="exact"/>
              <w:jc w:val="center"/>
              <w:rPr>
                <w:rFonts w:hint="eastAsia" w:ascii="黑体" w:hAnsi="黑体" w:eastAsia="黑体" w:cs="黑体"/>
                <w:sz w:val="24"/>
              </w:rPr>
            </w:pPr>
            <w:r>
              <w:rPr>
                <w:rFonts w:hint="eastAsia" w:ascii="黑体" w:hAnsi="黑体" w:eastAsia="黑体" w:cs="黑体"/>
                <w:sz w:val="24"/>
                <w:lang w:val="en"/>
              </w:rPr>
              <w:t>自评得分（百分制）</w:t>
            </w:r>
          </w:p>
        </w:tc>
        <w:tc>
          <w:tcPr>
            <w:tcW w:w="993" w:type="dxa"/>
          </w:tcPr>
          <w:p>
            <w:pPr>
              <w:spacing w:line="300" w:lineRule="exact"/>
              <w:jc w:val="center"/>
              <w:rPr>
                <w:rFonts w:hint="eastAsia" w:ascii="黑体" w:hAnsi="黑体" w:eastAsia="黑体" w:cs="黑体"/>
                <w:sz w:val="24"/>
              </w:rPr>
            </w:pPr>
            <w:r>
              <w:rPr>
                <w:rFonts w:hint="eastAsia" w:ascii="黑体" w:hAnsi="黑体" w:eastAsia="黑体" w:cs="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hint="eastAsia" w:ascii="宋体" w:hAnsi="宋体" w:cs="宋体"/>
                <w:sz w:val="24"/>
              </w:rPr>
            </w:pPr>
            <w:r>
              <w:rPr>
                <w:rFonts w:hint="eastAsia" w:ascii="宋体" w:hAnsi="宋体" w:cs="宋体"/>
                <w:sz w:val="24"/>
              </w:rPr>
              <w:t>1</w:t>
            </w:r>
          </w:p>
        </w:tc>
        <w:tc>
          <w:tcPr>
            <w:tcW w:w="3843" w:type="dxa"/>
          </w:tcPr>
          <w:p>
            <w:pPr>
              <w:spacing w:line="300" w:lineRule="exact"/>
              <w:rPr>
                <w:rFonts w:hint="eastAsia" w:ascii="宋体" w:hAnsi="宋体" w:cs="宋体"/>
                <w:sz w:val="24"/>
                <w:lang w:val="en"/>
              </w:rPr>
            </w:pPr>
            <w:r>
              <w:rPr>
                <w:rFonts w:hint="eastAsia" w:ascii="宋体" w:hAnsi="宋体" w:cs="宋体"/>
                <w:sz w:val="24"/>
                <w:lang w:val="en"/>
              </w:rPr>
              <w:t>黑水县科学技术协会</w:t>
            </w:r>
          </w:p>
        </w:tc>
        <w:tc>
          <w:tcPr>
            <w:tcW w:w="2861" w:type="dxa"/>
          </w:tcPr>
          <w:p>
            <w:pPr>
              <w:spacing w:line="300" w:lineRule="exact"/>
              <w:rPr>
                <w:rFonts w:hint="eastAsia" w:ascii="宋体" w:hAnsi="宋体" w:cs="宋体"/>
                <w:sz w:val="24"/>
                <w:lang w:val="en"/>
              </w:rPr>
            </w:pPr>
            <w:r>
              <w:rPr>
                <w:rFonts w:hint="eastAsia" w:ascii="宋体" w:hAnsi="宋体" w:cs="宋体"/>
                <w:sz w:val="24"/>
                <w:lang w:val="en"/>
              </w:rPr>
              <w:t>98</w:t>
            </w:r>
          </w:p>
        </w:tc>
        <w:tc>
          <w:tcPr>
            <w:tcW w:w="993" w:type="dxa"/>
          </w:tcPr>
          <w:p>
            <w:pPr>
              <w:spacing w:line="300" w:lineRule="exact"/>
              <w:rPr>
                <w:rFonts w:hint="eastAsia" w:ascii="宋体" w:hAnsi="宋体" w:cs="宋体"/>
                <w:sz w:val="24"/>
              </w:rPr>
            </w:pPr>
          </w:p>
        </w:tc>
      </w:tr>
    </w:tbl>
    <w:p>
      <w:pPr>
        <w:spacing w:line="400" w:lineRule="exact"/>
        <w:jc w:val="left"/>
        <w:rPr>
          <w:rFonts w:hint="eastAsia" w:ascii="宋体" w:hAnsi="宋体" w:cs="宋体"/>
          <w:szCs w:val="21"/>
        </w:rPr>
      </w:pPr>
      <w:r>
        <w:rPr>
          <w:rFonts w:hint="eastAsia" w:ascii="宋体" w:hAnsi="宋体" w:cs="宋体"/>
          <w:szCs w:val="21"/>
        </w:rPr>
        <w:t>备注：1.项目资金末端分配点位包括州本级、县（市）、州级部门下属单位及一次性单位等。</w:t>
      </w:r>
    </w:p>
    <w:p>
      <w:pPr>
        <w:spacing w:line="400" w:lineRule="exact"/>
        <w:ind w:firstLine="630" w:firstLineChars="300"/>
        <w:jc w:val="left"/>
        <w:rPr>
          <w:rFonts w:hint="eastAsia" w:ascii="宋体" w:hAnsi="宋体" w:cs="宋体"/>
          <w:szCs w:val="21"/>
        </w:rPr>
      </w:pPr>
      <w:r>
        <w:rPr>
          <w:rFonts w:hint="eastAsia" w:ascii="宋体" w:hAnsi="宋体" w:cs="宋体"/>
          <w:szCs w:val="21"/>
        </w:rPr>
        <w:t>2.自评得分（百分制）从高到低划分为优、良、中、差四个档次，各个档次数量占比分别为20%、20%、55%、5%，且不同档次间得分分值应体现差异化，同档次得分分值相同的比例不超过该档次总数量的10%。</w:t>
      </w:r>
    </w:p>
    <w:p/>
    <w:tbl>
      <w:tblPr>
        <w:tblStyle w:val="5"/>
        <w:tblW w:w="10642" w:type="dxa"/>
        <w:jc w:val="center"/>
        <w:tblLayout w:type="fixed"/>
        <w:tblCellMar>
          <w:top w:w="15" w:type="dxa"/>
          <w:left w:w="15" w:type="dxa"/>
          <w:bottom w:w="15" w:type="dxa"/>
          <w:right w:w="15" w:type="dxa"/>
        </w:tblCellMar>
      </w:tblPr>
      <w:tblGrid>
        <w:gridCol w:w="652"/>
        <w:gridCol w:w="1081"/>
        <w:gridCol w:w="1250"/>
        <w:gridCol w:w="1553"/>
        <w:gridCol w:w="1134"/>
        <w:gridCol w:w="882"/>
        <w:gridCol w:w="1134"/>
        <w:gridCol w:w="850"/>
        <w:gridCol w:w="2106"/>
      </w:tblGrid>
      <w:tr>
        <w:trPr>
          <w:trHeight w:val="576" w:hRule="atLeast"/>
          <w:jc w:val="center"/>
        </w:trPr>
        <w:tc>
          <w:tcPr>
            <w:tcW w:w="10642" w:type="dxa"/>
            <w:gridSpan w:val="9"/>
            <w:vAlign w:val="center"/>
          </w:tcPr>
          <w:p>
            <w:pPr>
              <w:pageBreakBefore/>
              <w:widowControl/>
              <w:spacing w:line="600" w:lineRule="exact"/>
              <w:jc w:val="left"/>
              <w:textAlignment w:val="center"/>
              <w:rPr>
                <w:rFonts w:ascii="黑体" w:hAnsi="黑体" w:eastAsia="黑体" w:cs="黑体"/>
                <w:kern w:val="0"/>
                <w:shd w:val="clear" w:color="auto" w:fill="FFFFFF"/>
              </w:rPr>
            </w:pPr>
            <w:r>
              <w:rPr>
                <w:rFonts w:hint="eastAsia" w:ascii="黑体" w:hAnsi="黑体" w:eastAsia="黑体" w:cs="黑体"/>
                <w:kern w:val="0"/>
                <w:shd w:val="clear" w:color="auto" w:fill="FFFFFF"/>
                <w:lang w:val="zh-CN"/>
              </w:rPr>
              <w:t>附表</w:t>
            </w:r>
            <w:r>
              <w:rPr>
                <w:rFonts w:hint="eastAsia" w:ascii="黑体" w:hAnsi="黑体" w:eastAsia="黑体" w:cs="黑体"/>
                <w:kern w:val="0"/>
                <w:shd w:val="clear" w:color="auto" w:fill="FFFFFF"/>
              </w:rPr>
              <w:t>2</w:t>
            </w:r>
          </w:p>
          <w:p>
            <w:pPr>
              <w:pageBreakBefore/>
              <w:widowControl/>
              <w:spacing w:line="600" w:lineRule="exact"/>
              <w:jc w:val="center"/>
              <w:textAlignment w:val="center"/>
              <w:rPr>
                <w:rFonts w:hint="eastAsia"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lang w:bidi="ar"/>
              </w:rPr>
              <w:t>专项预算项目绩效目标完成情况自评表</w:t>
            </w:r>
          </w:p>
        </w:tc>
      </w:tr>
      <w:tr>
        <w:trPr>
          <w:trHeight w:val="23" w:hRule="atLeast"/>
          <w:jc w:val="center"/>
        </w:trPr>
        <w:tc>
          <w:tcPr>
            <w:tcW w:w="4536"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项目名称</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四川省科普专项资金</w:t>
            </w:r>
          </w:p>
        </w:tc>
      </w:tr>
      <w:tr>
        <w:trPr>
          <w:trHeight w:val="23" w:hRule="atLeast"/>
          <w:jc w:val="center"/>
        </w:trPr>
        <w:tc>
          <w:tcPr>
            <w:tcW w:w="4536"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预算单位</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黑水县科学技术协会</w:t>
            </w:r>
          </w:p>
        </w:tc>
      </w:tr>
      <w:tr>
        <w:trPr>
          <w:trHeight w:val="23" w:hRule="atLeast"/>
          <w:jc w:val="center"/>
        </w:trPr>
        <w:tc>
          <w:tcPr>
            <w:tcW w:w="4536"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项目类型</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cs="宋体"/>
                <w:color w:val="000000"/>
                <w:sz w:val="24"/>
              </w:rPr>
            </w:pPr>
            <w:r>
              <w:rPr>
                <w:rFonts w:hint="eastAsia" w:ascii="宋体" w:hAnsi="宋体" w:cs="宋体"/>
                <w:color w:val="000000"/>
                <w:sz w:val="24"/>
              </w:rPr>
              <w:t>基层科普类项目</w:t>
            </w:r>
          </w:p>
        </w:tc>
      </w:tr>
      <w:tr>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项目 概况</w:t>
            </w:r>
          </w:p>
        </w:tc>
        <w:tc>
          <w:tcPr>
            <w:tcW w:w="388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kern w:val="0"/>
                <w:sz w:val="24"/>
                <w:lang w:bidi="ar"/>
              </w:rPr>
            </w:pPr>
            <w:r>
              <w:rPr>
                <w:rFonts w:ascii="宋体" w:hAnsi="宋体" w:cs="宋体"/>
                <w:color w:val="000000"/>
                <w:kern w:val="0"/>
                <w:sz w:val="24"/>
                <w:lang w:bidi="ar"/>
              </w:rPr>
              <w:t>中长期规划（名称、文号，仅指</w:t>
            </w:r>
          </w:p>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常年项目）</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cs="宋体"/>
                <w:color w:val="000000"/>
                <w:sz w:val="24"/>
              </w:rPr>
            </w:pPr>
            <w:r>
              <w:rPr>
                <w:rFonts w:hint="eastAsia" w:ascii="宋体" w:hAnsi="宋体" w:cs="宋体"/>
                <w:color w:val="000000"/>
                <w:sz w:val="24"/>
                <w:lang w:bidi="ar"/>
              </w:rPr>
              <w:t>2023年四川省科普专项资金（川财教〔2023〕147号）</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388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资金管理办法（名称、文号）</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cs="宋体"/>
                <w:color w:val="000000"/>
                <w:sz w:val="24"/>
              </w:rPr>
            </w:pPr>
            <w:r>
              <w:rPr>
                <w:rFonts w:hint="eastAsia" w:ascii="宋体" w:hAnsi="宋体" w:cs="宋体"/>
                <w:color w:val="000000"/>
                <w:sz w:val="24"/>
                <w:lang w:bidi="ar"/>
              </w:rPr>
              <w:t>《四川省科普专项资金管理办法》（川财教〔2020〕83号）</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388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绩效分配方式</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lang w:bidi="ar"/>
              </w:rPr>
              <w:t>£</w:t>
            </w:r>
            <w:r>
              <w:rPr>
                <w:rFonts w:ascii="宋体" w:hAnsi="宋体" w:cs="宋体"/>
                <w:color w:val="000000"/>
                <w:kern w:val="0"/>
                <w:sz w:val="24"/>
                <w:lang w:bidi="ar"/>
              </w:rPr>
              <w:t>因素法</w:t>
            </w:r>
          </w:p>
        </w:tc>
        <w:tc>
          <w:tcPr>
            <w:tcW w:w="201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lang w:bidi="ar"/>
              </w:rPr>
              <w:t>£项目法</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lang w:bidi="ar"/>
              </w:rPr>
              <w:t>£</w:t>
            </w:r>
            <w:r>
              <w:rPr>
                <w:rFonts w:ascii="宋体" w:hAnsi="宋体" w:cs="宋体"/>
                <w:color w:val="000000"/>
                <w:kern w:val="0"/>
                <w:sz w:val="24"/>
                <w:lang w:bidi="ar"/>
              </w:rPr>
              <w:t>据实据效</w:t>
            </w:r>
          </w:p>
        </w:tc>
        <w:tc>
          <w:tcPr>
            <w:tcW w:w="210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FF0000"/>
                <w:kern w:val="0"/>
                <w:sz w:val="24"/>
                <w:lang w:bidi="ar"/>
              </w:rPr>
              <w:t>£</w:t>
            </w:r>
            <w:r>
              <w:rPr>
                <w:rFonts w:ascii="宋体" w:hAnsi="宋体" w:cs="宋体"/>
                <w:color w:val="000000"/>
                <w:kern w:val="0"/>
                <w:sz w:val="24"/>
                <w:lang w:bidi="ar"/>
              </w:rPr>
              <w:t>因素法与项目法相结合</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388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立项依据</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lang w:val="zh-CN"/>
              </w:rPr>
            </w:pPr>
            <w:r>
              <w:rPr>
                <w:rFonts w:hint="eastAsia" w:ascii="宋体" w:hAnsi="宋体" w:cs="宋体"/>
                <w:color w:val="000000"/>
                <w:sz w:val="24"/>
              </w:rPr>
              <w:t>聘请“专职保姆”宣传、使用好天府科技云平台，为全县科技工作者、企事业单位提供注册、挖掘所能所需、发布信息、促成交易等全流程服务</w:t>
            </w:r>
            <w:r>
              <w:rPr>
                <w:rFonts w:hint="eastAsia" w:ascii="宋体" w:hAnsi="宋体" w:cs="宋体"/>
                <w:color w:val="000000"/>
                <w:sz w:val="24"/>
                <w:lang w:val="zh-CN"/>
              </w:rPr>
              <w:t>。</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388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使用范围</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cs="宋体"/>
                <w:color w:val="000000"/>
                <w:sz w:val="24"/>
              </w:rPr>
            </w:pPr>
            <w:r>
              <w:rPr>
                <w:rFonts w:hint="eastAsia" w:ascii="宋体" w:hAnsi="宋体" w:cs="宋体"/>
                <w:color w:val="000000"/>
                <w:sz w:val="24"/>
              </w:rPr>
              <w:t>科技教育与培训、科普交流与宣传活动、专职保姆服务。</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388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申报（补助）条件</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cs="宋体"/>
                <w:color w:val="000000"/>
                <w:sz w:val="24"/>
              </w:rPr>
            </w:pPr>
            <w:r>
              <w:rPr>
                <w:rFonts w:hint="eastAsia" w:ascii="宋体" w:hAnsi="宋体" w:cs="宋体"/>
                <w:color w:val="000000"/>
                <w:sz w:val="24"/>
              </w:rPr>
              <w:t>无</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388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项目起止年限</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2024年1月至2024年12月</w:t>
            </w:r>
          </w:p>
        </w:tc>
      </w:tr>
      <w:tr>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kern w:val="0"/>
                <w:sz w:val="24"/>
                <w:lang w:bidi="ar"/>
              </w:rPr>
            </w:pPr>
            <w:r>
              <w:rPr>
                <w:rFonts w:ascii="宋体" w:hAnsi="宋体" w:cs="宋体"/>
                <w:color w:val="000000"/>
                <w:kern w:val="0"/>
                <w:sz w:val="24"/>
                <w:lang w:bidi="ar"/>
              </w:rPr>
              <w:t>项目资金</w:t>
            </w:r>
          </w:p>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（万元）</w:t>
            </w:r>
          </w:p>
        </w:tc>
        <w:tc>
          <w:tcPr>
            <w:tcW w:w="2803"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 xml:space="preserve">  年度资金总额：</w:t>
            </w:r>
            <w:r>
              <w:rPr>
                <w:rFonts w:hint="eastAsia" w:ascii="宋体" w:hAnsi="宋体" w:cs="宋体"/>
                <w:color w:val="000000"/>
                <w:kern w:val="0"/>
                <w:sz w:val="24"/>
                <w:lang w:bidi="ar"/>
              </w:rPr>
              <w:t xml:space="preserve">              </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cs="宋体"/>
                <w:color w:val="000000"/>
                <w:sz w:val="24"/>
                <w:highlight w:val="yellow"/>
              </w:rPr>
            </w:pPr>
            <w:r>
              <w:rPr>
                <w:rFonts w:hint="eastAsia" w:ascii="宋体" w:hAnsi="宋体" w:cs="宋体"/>
                <w:color w:val="000000"/>
                <w:sz w:val="24"/>
              </w:rPr>
              <w:t>17</w:t>
            </w:r>
          </w:p>
        </w:tc>
      </w:tr>
      <w:tr>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2803"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 xml:space="preserve">     </w:t>
            </w:r>
            <w:r>
              <w:rPr>
                <w:rFonts w:hint="eastAsia" w:ascii="宋体" w:hAnsi="宋体" w:cs="宋体"/>
                <w:color w:val="000000"/>
                <w:kern w:val="0"/>
                <w:sz w:val="24"/>
                <w:lang w:bidi="ar"/>
              </w:rPr>
              <w:t xml:space="preserve"> </w:t>
            </w:r>
            <w:r>
              <w:rPr>
                <w:rFonts w:ascii="宋体" w:hAnsi="宋体" w:cs="宋体"/>
                <w:color w:val="000000"/>
                <w:kern w:val="0"/>
                <w:sz w:val="24"/>
                <w:lang w:bidi="ar"/>
              </w:rPr>
              <w:t>其中：财政拨款</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cs="宋体"/>
                <w:color w:val="000000"/>
                <w:sz w:val="24"/>
                <w:highlight w:val="yellow"/>
              </w:rPr>
            </w:pPr>
            <w:r>
              <w:rPr>
                <w:rFonts w:hint="eastAsia" w:ascii="宋体" w:hAnsi="宋体" w:cs="宋体"/>
                <w:color w:val="000000"/>
                <w:sz w:val="24"/>
              </w:rPr>
              <w:t>17</w:t>
            </w:r>
          </w:p>
        </w:tc>
      </w:tr>
      <w:tr>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2803"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cs="宋体"/>
                <w:color w:val="000000"/>
                <w:sz w:val="24"/>
              </w:rPr>
            </w:pPr>
            <w:r>
              <w:rPr>
                <w:rFonts w:ascii="宋体" w:hAnsi="宋体" w:cs="宋体"/>
                <w:color w:val="000000"/>
                <w:kern w:val="0"/>
                <w:sz w:val="24"/>
                <w:lang w:bidi="ar"/>
              </w:rPr>
              <w:t xml:space="preserve">            其他资金</w:t>
            </w:r>
          </w:p>
        </w:tc>
        <w:tc>
          <w:tcPr>
            <w:tcW w:w="6106"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right"/>
              <w:rPr>
                <w:rFonts w:hint="eastAsia" w:ascii="宋体" w:hAnsi="宋体" w:cs="宋体"/>
                <w:color w:val="000000"/>
                <w:sz w:val="24"/>
              </w:rPr>
            </w:pPr>
          </w:p>
        </w:tc>
      </w:tr>
      <w:tr>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总体 目标</w:t>
            </w:r>
          </w:p>
        </w:tc>
        <w:tc>
          <w:tcPr>
            <w:tcW w:w="9990" w:type="dxa"/>
            <w:gridSpan w:val="8"/>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年度目标</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p>
        </w:tc>
        <w:tc>
          <w:tcPr>
            <w:tcW w:w="9990" w:type="dxa"/>
            <w:gridSpan w:val="8"/>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聘请3名“专职保姆”宣传、管理、使用好天府科技云平台，深入全县各乡镇服务对象，“一单一策”提供宣传推介、引导注册、发布信息、促成交易等全流程服务，并做好科创项目的申报工作。通过聘请“专职保姆”的方式充实科协工作力量，促进智慧科普传播工作的落地落实。</w:t>
            </w:r>
          </w:p>
        </w:tc>
      </w:tr>
      <w:tr>
        <w:trPr>
          <w:trHeight w:val="23" w:hRule="atLeast"/>
          <w:jc w:val="center"/>
        </w:trPr>
        <w:tc>
          <w:tcPr>
            <w:tcW w:w="652" w:type="dxa"/>
            <w:vMerge w:val="restart"/>
            <w:tcBorders>
              <w:top w:val="single" w:color="000000" w:sz="4" w:space="0"/>
              <w:left w:val="single" w:color="000000" w:sz="4" w:space="0"/>
              <w:bottom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二级指标</w:t>
            </w:r>
          </w:p>
        </w:tc>
        <w:tc>
          <w:tcPr>
            <w:tcW w:w="1553"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三级指标</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指标性质</w:t>
            </w:r>
          </w:p>
        </w:tc>
        <w:tc>
          <w:tcPr>
            <w:tcW w:w="88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指标值</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度量单位</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权重</w:t>
            </w:r>
          </w:p>
        </w:tc>
        <w:tc>
          <w:tcPr>
            <w:tcW w:w="2106"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实际完成指标值</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hint="eastAsia" w:ascii="宋体" w:hAnsi="宋体" w:cs="宋体"/>
                <w:color w:val="000000"/>
                <w:sz w:val="24"/>
              </w:rPr>
            </w:pPr>
          </w:p>
        </w:tc>
        <w:tc>
          <w:tcPr>
            <w:tcW w:w="108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产出指标</w:t>
            </w:r>
          </w:p>
        </w:tc>
        <w:tc>
          <w:tcPr>
            <w:tcW w:w="1250" w:type="dxa"/>
            <w:vMerge w:val="restart"/>
            <w:tcBorders>
              <w:top w:val="single" w:color="000000" w:sz="4" w:space="0"/>
              <w:left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数量指标</w:t>
            </w:r>
          </w:p>
        </w:tc>
        <w:tc>
          <w:tcPr>
            <w:tcW w:w="1553"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聘请“专职保姆”</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w:t>
            </w:r>
          </w:p>
        </w:tc>
        <w:tc>
          <w:tcPr>
            <w:tcW w:w="88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 xml:space="preserve">3 </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个</w:t>
            </w:r>
          </w:p>
        </w:tc>
        <w:tc>
          <w:tcPr>
            <w:tcW w:w="85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10</w:t>
            </w:r>
          </w:p>
        </w:tc>
        <w:tc>
          <w:tcPr>
            <w:tcW w:w="2106"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3</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hint="eastAsia" w:ascii="宋体" w:hAnsi="宋体" w:cs="宋体"/>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p>
        </w:tc>
        <w:tc>
          <w:tcPr>
            <w:tcW w:w="1250" w:type="dxa"/>
            <w:vMerge w:val="continue"/>
            <w:tcBorders>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p>
        </w:tc>
        <w:tc>
          <w:tcPr>
            <w:tcW w:w="1553"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挖掘所能所需</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w:t>
            </w:r>
          </w:p>
        </w:tc>
        <w:tc>
          <w:tcPr>
            <w:tcW w:w="88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3/100</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人/条</w:t>
            </w:r>
          </w:p>
        </w:tc>
        <w:tc>
          <w:tcPr>
            <w:tcW w:w="85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10</w:t>
            </w:r>
          </w:p>
        </w:tc>
        <w:tc>
          <w:tcPr>
            <w:tcW w:w="2106"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3/100</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hint="eastAsia" w:ascii="宋体" w:hAnsi="宋体" w:cs="宋体"/>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p>
        </w:tc>
        <w:tc>
          <w:tcPr>
            <w:tcW w:w="125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质量指标</w:t>
            </w:r>
          </w:p>
        </w:tc>
        <w:tc>
          <w:tcPr>
            <w:tcW w:w="1553"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完成科普宣传、培训工作</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定性</w:t>
            </w:r>
          </w:p>
        </w:tc>
        <w:tc>
          <w:tcPr>
            <w:tcW w:w="88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优</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15</w:t>
            </w:r>
          </w:p>
        </w:tc>
        <w:tc>
          <w:tcPr>
            <w:tcW w:w="2106"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优</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hint="eastAsia" w:ascii="宋体" w:hAnsi="宋体" w:cs="宋体"/>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p>
        </w:tc>
        <w:tc>
          <w:tcPr>
            <w:tcW w:w="1250"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p>
        </w:tc>
        <w:tc>
          <w:tcPr>
            <w:tcW w:w="1553"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完成天府科技云各项工作</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定性</w:t>
            </w:r>
          </w:p>
        </w:tc>
        <w:tc>
          <w:tcPr>
            <w:tcW w:w="88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优</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15</w:t>
            </w:r>
          </w:p>
        </w:tc>
        <w:tc>
          <w:tcPr>
            <w:tcW w:w="2106"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优</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hint="eastAsia" w:ascii="宋体" w:hAnsi="宋体" w:cs="宋体"/>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p>
        </w:tc>
        <w:tc>
          <w:tcPr>
            <w:tcW w:w="12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时效指标</w:t>
            </w:r>
          </w:p>
        </w:tc>
        <w:tc>
          <w:tcPr>
            <w:tcW w:w="1553"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项目完成时间</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w:t>
            </w:r>
          </w:p>
        </w:tc>
        <w:tc>
          <w:tcPr>
            <w:tcW w:w="88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 xml:space="preserve">12 </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月</w:t>
            </w:r>
          </w:p>
        </w:tc>
        <w:tc>
          <w:tcPr>
            <w:tcW w:w="85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10</w:t>
            </w:r>
          </w:p>
        </w:tc>
        <w:tc>
          <w:tcPr>
            <w:tcW w:w="2106"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12</w:t>
            </w:r>
          </w:p>
        </w:tc>
      </w:tr>
      <w:tr>
        <w:trPr>
          <w:trHeight w:val="441"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hint="eastAsia" w:ascii="宋体" w:hAnsi="宋体" w:cs="宋体"/>
                <w:color w:val="000000"/>
                <w:sz w:val="24"/>
              </w:rPr>
            </w:pPr>
          </w:p>
        </w:tc>
        <w:tc>
          <w:tcPr>
            <w:tcW w:w="108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效益指标</w:t>
            </w:r>
          </w:p>
        </w:tc>
        <w:tc>
          <w:tcPr>
            <w:tcW w:w="12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cs="宋体"/>
                <w:color w:val="000000"/>
                <w:kern w:val="0"/>
                <w:sz w:val="24"/>
                <w:lang w:bidi="ar"/>
              </w:rPr>
            </w:pPr>
            <w:r>
              <w:rPr>
                <w:rFonts w:ascii="宋体" w:hAnsi="宋体" w:cs="宋体"/>
                <w:color w:val="000000"/>
                <w:kern w:val="0"/>
                <w:sz w:val="24"/>
                <w:lang w:bidi="ar"/>
              </w:rPr>
              <w:t>经济效益</w:t>
            </w:r>
          </w:p>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指标</w:t>
            </w:r>
          </w:p>
        </w:tc>
        <w:tc>
          <w:tcPr>
            <w:tcW w:w="1553" w:type="dxa"/>
            <w:tcBorders>
              <w:top w:val="single" w:color="000000" w:sz="4" w:space="0"/>
              <w:left w:val="single" w:color="000000"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lang w:bidi="ar"/>
              </w:rPr>
              <w:t>聘用人员成本</w:t>
            </w:r>
          </w:p>
        </w:tc>
        <w:tc>
          <w:tcPr>
            <w:tcW w:w="1134" w:type="dxa"/>
            <w:tcBorders>
              <w:top w:val="single" w:color="000000" w:sz="4" w:space="0"/>
              <w:left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lang w:bidi="ar"/>
              </w:rPr>
              <w:t>≦</w:t>
            </w:r>
          </w:p>
        </w:tc>
        <w:tc>
          <w:tcPr>
            <w:tcW w:w="882" w:type="dxa"/>
            <w:tcBorders>
              <w:top w:val="single" w:color="000000" w:sz="4" w:space="0"/>
              <w:left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lang w:bidi="ar"/>
              </w:rPr>
              <w:t>5/1</w:t>
            </w:r>
          </w:p>
        </w:tc>
        <w:tc>
          <w:tcPr>
            <w:tcW w:w="1134" w:type="dxa"/>
            <w:tcBorders>
              <w:top w:val="single" w:color="000000" w:sz="4" w:space="0"/>
              <w:left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lang w:bidi="ar"/>
              </w:rPr>
              <w:t>万/人/年</w:t>
            </w:r>
          </w:p>
        </w:tc>
        <w:tc>
          <w:tcPr>
            <w:tcW w:w="850" w:type="dxa"/>
            <w:tcBorders>
              <w:top w:val="single" w:color="000000" w:sz="4" w:space="0"/>
              <w:left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20</w:t>
            </w:r>
          </w:p>
        </w:tc>
        <w:tc>
          <w:tcPr>
            <w:tcW w:w="2106" w:type="dxa"/>
            <w:tcBorders>
              <w:top w:val="single" w:color="000000" w:sz="4" w:space="0"/>
              <w:left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4.8</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hint="eastAsia" w:ascii="宋体" w:hAnsi="宋体" w:cs="宋体"/>
                <w:color w:val="000000"/>
                <w:sz w:val="24"/>
              </w:rPr>
            </w:pPr>
          </w:p>
        </w:tc>
        <w:tc>
          <w:tcPr>
            <w:tcW w:w="1081" w:type="dxa"/>
            <w:vMerge w:val="continue"/>
            <w:tcBorders>
              <w:top w:val="single" w:color="000000" w:sz="4" w:space="0"/>
              <w:left w:val="single" w:color="000000" w:sz="4" w:space="0"/>
              <w:bottom w:val="single" w:color="auto" w:sz="4" w:space="0"/>
              <w:right w:val="single" w:color="000000" w:sz="4" w:space="0"/>
            </w:tcBorders>
            <w:vAlign w:val="center"/>
          </w:tcPr>
          <w:p>
            <w:pPr>
              <w:spacing w:line="300" w:lineRule="exact"/>
              <w:jc w:val="center"/>
              <w:rPr>
                <w:rFonts w:hint="eastAsia" w:ascii="宋体" w:hAnsi="宋体" w:cs="宋体"/>
                <w:color w:val="000000"/>
                <w:sz w:val="24"/>
              </w:rPr>
            </w:pPr>
          </w:p>
        </w:tc>
        <w:tc>
          <w:tcPr>
            <w:tcW w:w="1250" w:type="dxa"/>
            <w:tcBorders>
              <w:top w:val="single" w:color="000000" w:sz="4" w:space="0"/>
              <w:left w:val="single" w:color="000000" w:sz="4" w:space="0"/>
              <w:bottom w:val="single" w:color="auto" w:sz="4" w:space="0"/>
              <w:right w:val="single" w:color="000000" w:sz="4" w:space="0"/>
            </w:tcBorders>
            <w:vAlign w:val="center"/>
          </w:tcPr>
          <w:p>
            <w:pPr>
              <w:widowControl/>
              <w:spacing w:line="300" w:lineRule="exact"/>
              <w:jc w:val="center"/>
              <w:textAlignment w:val="center"/>
              <w:rPr>
                <w:rFonts w:hint="eastAsia" w:ascii="宋体" w:hAnsi="宋体" w:cs="宋体"/>
                <w:color w:val="000000"/>
                <w:kern w:val="0"/>
                <w:sz w:val="24"/>
                <w:lang w:bidi="ar"/>
              </w:rPr>
            </w:pPr>
            <w:r>
              <w:rPr>
                <w:rFonts w:ascii="宋体" w:hAnsi="宋体" w:cs="宋体"/>
                <w:color w:val="000000"/>
                <w:kern w:val="0"/>
                <w:sz w:val="24"/>
                <w:lang w:bidi="ar"/>
              </w:rPr>
              <w:t>社会效益</w:t>
            </w:r>
          </w:p>
          <w:p>
            <w:pPr>
              <w:widowControl/>
              <w:spacing w:line="300" w:lineRule="exact"/>
              <w:jc w:val="center"/>
              <w:textAlignment w:val="center"/>
              <w:rPr>
                <w:rFonts w:hint="eastAsia" w:ascii="宋体" w:hAnsi="宋体" w:cs="宋体"/>
                <w:color w:val="000000"/>
                <w:kern w:val="0"/>
                <w:sz w:val="24"/>
                <w:lang w:bidi="ar"/>
              </w:rPr>
            </w:pPr>
            <w:r>
              <w:rPr>
                <w:rFonts w:ascii="宋体" w:hAnsi="宋体" w:cs="宋体"/>
                <w:color w:val="000000"/>
                <w:kern w:val="0"/>
                <w:sz w:val="24"/>
                <w:lang w:bidi="ar"/>
              </w:rPr>
              <w:t>指标</w:t>
            </w:r>
          </w:p>
        </w:tc>
        <w:tc>
          <w:tcPr>
            <w:tcW w:w="1553" w:type="dxa"/>
            <w:tcBorders>
              <w:top w:val="single" w:color="000000" w:sz="4" w:space="0"/>
              <w:left w:val="single" w:color="000000" w:sz="4" w:space="0"/>
              <w:bottom w:val="single" w:color="auto" w:sz="4" w:space="0"/>
              <w:right w:val="single" w:color="000000"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全县各族群众科学素质有效提升、促进科技成果转化有效提升</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定性</w:t>
            </w:r>
          </w:p>
        </w:tc>
        <w:tc>
          <w:tcPr>
            <w:tcW w:w="88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优</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10</w:t>
            </w:r>
          </w:p>
        </w:tc>
        <w:tc>
          <w:tcPr>
            <w:tcW w:w="2106"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优</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vAlign w:val="center"/>
          </w:tcPr>
          <w:p>
            <w:pPr>
              <w:spacing w:line="300" w:lineRule="exact"/>
              <w:jc w:val="center"/>
              <w:rPr>
                <w:rFonts w:hint="eastAsia" w:ascii="宋体" w:hAnsi="宋体" w:cs="宋体"/>
                <w:color w:val="000000"/>
                <w:sz w:val="24"/>
              </w:rPr>
            </w:pPr>
          </w:p>
        </w:tc>
        <w:tc>
          <w:tcPr>
            <w:tcW w:w="108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hint="eastAsia" w:ascii="宋体" w:hAnsi="宋体" w:cs="宋体"/>
                <w:color w:val="000000"/>
                <w:kern w:val="0"/>
                <w:sz w:val="24"/>
                <w:lang w:bidi="ar"/>
              </w:rPr>
            </w:pPr>
            <w:r>
              <w:rPr>
                <w:rFonts w:ascii="宋体" w:hAnsi="宋体" w:cs="宋体"/>
                <w:color w:val="000000"/>
                <w:kern w:val="0"/>
                <w:sz w:val="24"/>
                <w:lang w:bidi="ar"/>
              </w:rPr>
              <w:t>满意度</w:t>
            </w:r>
          </w:p>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指标</w:t>
            </w:r>
          </w:p>
        </w:tc>
        <w:tc>
          <w:tcPr>
            <w:tcW w:w="12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hint="eastAsia" w:ascii="宋体" w:hAnsi="宋体" w:cs="宋体"/>
                <w:color w:val="000000"/>
                <w:kern w:val="0"/>
                <w:sz w:val="24"/>
                <w:lang w:bidi="ar"/>
              </w:rPr>
            </w:pPr>
            <w:r>
              <w:rPr>
                <w:rFonts w:ascii="宋体" w:hAnsi="宋体" w:cs="宋体"/>
                <w:color w:val="000000"/>
                <w:kern w:val="0"/>
                <w:sz w:val="24"/>
                <w:lang w:bidi="ar"/>
              </w:rPr>
              <w:t>服务对象</w:t>
            </w:r>
          </w:p>
          <w:p>
            <w:pPr>
              <w:widowControl/>
              <w:spacing w:line="300" w:lineRule="exact"/>
              <w:jc w:val="center"/>
              <w:textAlignment w:val="center"/>
              <w:rPr>
                <w:rFonts w:hint="eastAsia" w:ascii="宋体" w:hAnsi="宋体" w:cs="宋体"/>
                <w:color w:val="000000"/>
                <w:sz w:val="24"/>
              </w:rPr>
            </w:pPr>
            <w:r>
              <w:rPr>
                <w:rFonts w:ascii="宋体" w:hAnsi="宋体" w:cs="宋体"/>
                <w:color w:val="000000"/>
                <w:kern w:val="0"/>
                <w:sz w:val="24"/>
                <w:lang w:bidi="ar"/>
              </w:rPr>
              <w:t>满意度指标</w:t>
            </w:r>
          </w:p>
        </w:tc>
        <w:tc>
          <w:tcPr>
            <w:tcW w:w="1553"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宋体" w:hAnsi="宋体" w:cs="宋体"/>
                <w:color w:val="000000"/>
                <w:sz w:val="24"/>
              </w:rPr>
            </w:pPr>
            <w:r>
              <w:rPr>
                <w:rFonts w:hint="eastAsia" w:ascii="宋体" w:hAnsi="宋体" w:cs="宋体"/>
                <w:color w:val="000000"/>
                <w:sz w:val="24"/>
              </w:rPr>
              <w:t>群众对科普宣传栏满意度</w:t>
            </w:r>
          </w:p>
        </w:tc>
        <w:tc>
          <w:tcPr>
            <w:tcW w:w="1134" w:type="dxa"/>
            <w:tcBorders>
              <w:top w:val="single" w:color="000000" w:sz="4" w:space="0"/>
              <w:left w:val="single" w:color="auto"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w:t>
            </w:r>
          </w:p>
        </w:tc>
        <w:tc>
          <w:tcPr>
            <w:tcW w:w="882"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90</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10</w:t>
            </w:r>
          </w:p>
        </w:tc>
        <w:tc>
          <w:tcPr>
            <w:tcW w:w="2106"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hint="eastAsia" w:ascii="宋体" w:hAnsi="宋体" w:cs="宋体"/>
                <w:color w:val="000000"/>
                <w:sz w:val="24"/>
              </w:rPr>
            </w:pPr>
            <w:r>
              <w:rPr>
                <w:rFonts w:hint="eastAsia" w:ascii="宋体" w:hAnsi="宋体" w:cs="宋体"/>
                <w:color w:val="000000"/>
                <w:sz w:val="24"/>
              </w:rPr>
              <w:t>90</w:t>
            </w:r>
          </w:p>
        </w:tc>
      </w:tr>
    </w:tbl>
    <w:p>
      <w:pPr>
        <w:ind w:firstLine="640" w:firstLineChars="200"/>
        <w:rPr>
          <w:rFonts w:hint="eastAsia"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zNmEyOTFjMjZjODc0OGIyZjk3N2Q1Zjc3YWU5MjEifQ=="/>
  </w:docVars>
  <w:rsids>
    <w:rsidRoot w:val="004C22EC"/>
    <w:rsid w:val="00082F66"/>
    <w:rsid w:val="00094A5D"/>
    <w:rsid w:val="000B20DF"/>
    <w:rsid w:val="00171446"/>
    <w:rsid w:val="0024655E"/>
    <w:rsid w:val="004C22EC"/>
    <w:rsid w:val="00655A2C"/>
    <w:rsid w:val="007B38C6"/>
    <w:rsid w:val="00A1743E"/>
    <w:rsid w:val="00A361D4"/>
    <w:rsid w:val="00AB7402"/>
    <w:rsid w:val="00B67981"/>
    <w:rsid w:val="00F67DCD"/>
    <w:rsid w:val="00F73D72"/>
    <w:rsid w:val="00F75CF1"/>
    <w:rsid w:val="100566B3"/>
    <w:rsid w:val="1B4A3EC4"/>
    <w:rsid w:val="2439349C"/>
    <w:rsid w:val="244E01D1"/>
    <w:rsid w:val="33DA011B"/>
    <w:rsid w:val="358B1B11"/>
    <w:rsid w:val="423607D0"/>
    <w:rsid w:val="4A0B0DD8"/>
    <w:rsid w:val="55704B34"/>
    <w:rsid w:val="57B166CC"/>
    <w:rsid w:val="5DBC40E7"/>
    <w:rsid w:val="77991202"/>
    <w:rsid w:val="ABB9D24A"/>
    <w:rsid w:val="CEBF9BC1"/>
    <w:rsid w:val="FD77F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9"/>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uiPriority w:val="99"/>
    <w:rPr>
      <w:sz w:val="18"/>
      <w:szCs w:val="18"/>
    </w:rPr>
  </w:style>
  <w:style w:type="character" w:customStyle="1" w:styleId="9">
    <w:name w:val="页脚 字符"/>
    <w:basedOn w:val="7"/>
    <w:link w:val="3"/>
    <w:uiPriority w:val="99"/>
    <w:rPr>
      <w:sz w:val="18"/>
      <w:szCs w:val="18"/>
    </w:rPr>
  </w:style>
  <w:style w:type="character" w:customStyle="1" w:styleId="10">
    <w:name w:val="标题 1 字符"/>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8</Pages>
  <Words>508</Words>
  <Characters>2901</Characters>
  <Lines>24</Lines>
  <Paragraphs>6</Paragraphs>
  <TotalTime>66</TotalTime>
  <ScaleCrop>false</ScaleCrop>
  <LinksUpToDate>false</LinksUpToDate>
  <CharactersWithSpaces>3403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2025-08-26T16:17:00Z</dcterms:created>
  <dc:creator>Sky123.Org</dc:creator>
  <cp:lastModifiedBy>user</cp:lastModifiedBy>
  <dcterms:modified xsi:type="dcterms:W3CDTF">2025-09-29T10:11:56Z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ies>
</file>