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eastAsia" w:ascii="仿宋_GB2312" w:hAnsi="黑体" w:eastAsia="仿宋_GB2312" w:cs="方正小标宋简体"/>
          <w:b/>
          <w:sz w:val="32"/>
          <w:szCs w:val="32"/>
        </w:rPr>
      </w:pPr>
      <w:bookmarkStart w:id="0" w:name="_Toc15396616"/>
      <w:r>
        <w:rPr>
          <w:rFonts w:hint="eastAsia" w:ascii="仿宋_GB2312" w:hAnsi="黑体" w:eastAsia="仿宋_GB2312" w:cs="方正小标宋简体"/>
          <w:b/>
          <w:sz w:val="32"/>
          <w:szCs w:val="32"/>
          <w:lang w:eastAsia="zh-CN"/>
        </w:rPr>
        <w:t>黑水县科学技术协会</w:t>
      </w: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25</w:t>
      </w:r>
      <w:r>
        <w:rPr>
          <w:rFonts w:hint="eastAsia" w:ascii="仿宋_GB2312" w:hAnsi="黑体" w:eastAsia="仿宋_GB2312" w:cs="方正小标宋简体"/>
          <w:b/>
          <w:sz w:val="32"/>
          <w:szCs w:val="32"/>
        </w:rPr>
        <w:t>年部门</w:t>
      </w:r>
    </w:p>
    <w:p>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整体支出绩效评价报告</w:t>
      </w:r>
      <w:bookmarkEnd w:id="0"/>
    </w:p>
    <w:p>
      <w:pPr>
        <w:spacing w:line="580" w:lineRule="exact"/>
        <w:ind w:firstLine="642" w:firstLineChars="200"/>
        <w:rPr>
          <w:rFonts w:ascii="仿宋_GB2312" w:hAnsi="黑体" w:eastAsia="仿宋_GB2312" w:cs="黑体"/>
          <w:b/>
          <w:sz w:val="32"/>
          <w:szCs w:val="32"/>
        </w:rPr>
      </w:pP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（一）机构组成。属于党领导下的人民团体，没有下属二级预算单位。</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机构职能。黑水县科学技术协会主要负责开展学术交流，活跃学术思想，弘扬科学精神，普及科学知识，科学思想和科学方法，捍卫科学尊严，推广先进技术，代办、领办和举办经济实体；编辑学术刊物和科普读物，举办为科技工作者服务的事业。开展青少年科学技术教育活动，提高全民族科学文化素质。开展全民科学素质纲要的贯彻落实工作。反映科技工作者的意见和要求，维护科技工作者的合法权益。组织科技工作者参与科技政策、法规制定，表彰奖励有突出贡献的优秀科技团体和科技工作者，举荐人才。开展科学论证、咨询服务，提出政策建议，促进科技成果的转化。开展民间科技交流与合作，发展同省内外，州内外、县内外的科技团体和人员的友好往来，促进对外交往。对所属县级学会、协会进行管理，对基层科协、农村专业协会进行业务指导。承担县委、县政府交办的其他事项。</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（三）人员概况。截至2025年末，单位总编制7名，其中综合管理类人员4名，参照公务员法管理人员2名，工勤1名。实有在职人员7人，退休人员3人，人员结构保持稳定。</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二、部门财政资金收支情况</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财政资金收入情况。2025年度收入全年预算数为192.86万元，决算数为192.86万元，其中一般公共预算财政拨款收入192.86万元，占比100%。较2024年增加34.89万元，主要因一方面单位新增两名参公人员，人员经费随之增加；另一方面科普工作与科技服务经费适度增加。</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部门财政资金支出情况。2025年度支出全年预算数为192.86万元，支出决算数为192.86万元。其中：科学技术支出为148.21万元，占比76.85%；社会保障和就业支出为23.81万元，占比12.35%；卫生健康支出为8.87万元，占比4.60%；住房保障支出11.97万元，占比6.20%。</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三、部门整体预算绩效管理情况（根据适用指标体系进行调整）</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val="en-US" w:eastAsia="zh-CN"/>
        </w:rPr>
        <w:t>1.</w:t>
      </w:r>
      <w:r>
        <w:rPr>
          <w:rFonts w:hint="eastAsia" w:ascii="仿宋_GB2312" w:hAnsi="仿宋" w:eastAsia="仿宋_GB2312" w:cs="仿宋_GB2312"/>
          <w:sz w:val="32"/>
          <w:szCs w:val="32"/>
        </w:rPr>
        <w:t>部门预算总体绩效分析。</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1</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履职效能</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大力开展天府科技云工作。</w:t>
      </w:r>
      <w:r>
        <w:rPr>
          <w:rFonts w:hint="eastAsia" w:ascii="仿宋_GB2312" w:hAnsi="仿宋" w:eastAsia="仿宋_GB2312" w:cs="仿宋_GB2312"/>
          <w:sz w:val="32"/>
          <w:szCs w:val="32"/>
        </w:rPr>
        <w:t>将天府科技云工作纳入年终目标考核，通过第三方购买外包服务开展天府科技云工作，明确工作任务、工作内容。打造天府科技云典型案例，开展“一单一策”全过程保姆服务，持续动员全县广大干部群众充分运用天府科技云APP，通过平台学习科普知识、获取问题答案。截至目前，全县天府科技云APP用户3465人。完成了全年度天府科技云职能绩效目标。</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此项自评得分5分。</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聚焦科普主业，提升服务水平。</w:t>
      </w:r>
      <w:r>
        <w:rPr>
          <w:rFonts w:hint="eastAsia" w:ascii="仿宋_GB2312" w:hAnsi="仿宋" w:eastAsia="仿宋_GB2312" w:cs="仿宋_GB2312"/>
          <w:sz w:val="32"/>
          <w:szCs w:val="32"/>
        </w:rPr>
        <w:t>县科协主动担当作为，联合县农水科局、县卫健局、县妇联、县司法局等部门，开展“五进六送”“三八国际妇女节”、“科普活动月”“全国科技工作者日”“全国科普月”等科普宣传及科技咨询活动，共计10场次。向广大群众普及中药材种植、科学养殖、科学减重、妇女儿童保护等各类科普知识，累计发放宣传资料3000余份，播放宣传视频8个，惠及群众8600余人次，发放科普毛巾350个、广告伞200个、榨汁机100个、数据线100个、杯子100个、围裙200个。持续动员全县广大干部群众充分运用天府科技云APP，通过平台学习科普知识、获取问题答案。通过科协微信公众号发布科普动态和转发科普文章33期，按季度更新科普宣传栏写真内容。</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精心策划组织第九个“全国科技工作者日”相关活动，联合县农水科局在县中藏医院门口开展黑水县2025年全国科技活动周科技志愿服务活动，向群众普及低碳生活、食品安全、科学种养知识。县科协主席带队前往县林草局、县财政局、县融媒体中心、卡龙镇等单位，走访慰问9名优秀基层科技工作者、3名优秀离退休科技工作者代表以及3名优秀智慧科普传播员，向他们致以节日问候和崇高敬意，并送上慰问品。向科技工作者传递党和政府的关怀与温暖，进一步增强科技工作者的归属感、认同感和荣誉感，在全县营造了尊重知识、尊重人才、尊重创造的良好社会氛围。</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主动加强与彭州市科协的沟通协作，积极对接争取资源，成功促成教学无人机捐赠项目落地。彭州市科协带领四川乐逗芯科技有限公司向黑水县中学捐赠教学用无人机10台、黑水县芦花完全小学捐赠教学用无人机8台。活动有效弥补了我县中小学在航空航天科普教育硬件设施方面的不足，为激发青少年探索科学兴趣、培养创新实践能力提供了新的平台，是对口帮扶协作助力基层科普教育发展的生动实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联合县教育局主办，县芦花完全小学承办黑水县首届青少年科技创新大赛。大赛以“科技筑梦·强国有我”为主题，吸引800余名学生积极参与，共征集到科技创新项目、科技小发明、科学幻想画等各类作品73件。组织9个优秀作品到若尔盖参加全州青少年科技创新大赛大赛，获得三等奖3个。</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联合西尔镇人民政府、县全民科学素质纲要联席成员单位在西尔镇沙卡村举行了2025年全国科普月启动仪式。县司法局讲解了《中华人民共和国土地管理法》《中华人民共和国城乡规划法》，县红十字会紧扣心肺复苏开展了急救知识现场实操培训，提高了群众法律意识、维权能力和应对突发状况的自救互救能力。县全民科学素质纲要联席成员单位科普志愿者们向群众宣传了国防教育、安全生产、医疗保健、节能减排、生态环境等科普知识，提升公众对科学理念、科学方式和科技创新成果的认知度，进一步弘扬科学精神，激发全社会创新热情和创造活力。活动还通过有奖问答的方式，激发村民参与热情，在寓教于乐中营造了学科学、爱科学、用科学的良好氛围。活动共发放科普资料500余份，解答群众咨询100余人次。全县15个乡镇、学协会、农村专业技术协会、科普基地结合自身实际开展全国科普月活动，将全国科普月活动向纵深推进，参与群众达到7000余人次。</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此项自评得分5分。</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深化基层服务，助力乡村发展。</w:t>
      </w:r>
      <w:r>
        <w:rPr>
          <w:rFonts w:hint="eastAsia" w:ascii="仿宋_GB2312" w:hAnsi="仿宋" w:eastAsia="仿宋_GB2312" w:cs="仿宋_GB2312"/>
          <w:sz w:val="32"/>
          <w:szCs w:val="32"/>
        </w:rPr>
        <w:t>大力培育科普带头人和农村专业技术协会，为嘉绒雪峰人参果种植专业技术协会、瓦布贝母种植专业技术协会、木苏青红脆李种植专业技术协会各提供2万元的科普宣传工作经费，充分发挥农村专业技术协会在基层一线的科普带动作用，服务于产业结构调整、实用技术培训，带领群众致富增收。推荐阿妈煮茶餐饮管理有限公司参加第七届四川省乡村振兴乡土人才创新创业大赛，为企业提供发展平台。</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以中药材产业为重点，积极对接成都市农村专业技术协会，邀请省草原科学院、成都中医药大学等专家，针对瓦布贝母、羌活、红毛五加等本地特色药材，到县开展中药材种植技术培训和现场讲解，解决种植户技术困惑，推动中药材种植向标准化、规模化迈进。</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县科协主要领导带领干部职工扎实推进泽盖村联系户的“双联双进”工作，积极宣传基层治理、民族团结进步示范创建等方针政策，宣传黑水经济和社会发展的重要成果，引导群众铭记党恩、奋勇前行，永远跟党走。结合时令节气，开展春耕生产、森林草原防灭火、科学减重、防电信诈骗、安全生产等知识宣传，增强群众的防灾减灾意识，并认真做好了“联心同行”和“爱心爸妈”帮扶工作。</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此项自评得分5分。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综上我单位履职效能指标综合自评得分15分。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预算管理</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预算编制质量。</w:t>
      </w:r>
      <w:r>
        <w:rPr>
          <w:rFonts w:hint="eastAsia" w:ascii="仿宋_GB2312" w:hAnsi="仿宋" w:eastAsia="仿宋_GB2312" w:cs="仿宋_GB2312"/>
          <w:sz w:val="32"/>
          <w:szCs w:val="32"/>
        </w:rPr>
        <w:t>我单位严格按要求编制年初部门预算，部门预算编制目标制定清晰，部门整体绩效目标完整、合理的反映了部门年度职责履行情况，项目绩效目标整体编制科学精准，偏离度低，并通过了预算草案审查，但由于本年度新招录2名参照公务员法管理人员，人员和公用经费有所增加，导致财政拨款预算偏离度较高。2025年度，我单位财政拨款预算偏离度36.25%，资产配置预算偏离度0，政府采购预算偏离度0，根据公式计算，此项自评得分6.55分。</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单位收入统筹。</w:t>
      </w:r>
      <w:r>
        <w:rPr>
          <w:rFonts w:hint="eastAsia" w:ascii="仿宋_GB2312" w:hAnsi="仿宋" w:eastAsia="仿宋_GB2312" w:cs="仿宋_GB2312"/>
          <w:sz w:val="32"/>
          <w:szCs w:val="32"/>
        </w:rPr>
        <w:t>我单位为全额拨款预算单位，全年单位收入均属财政拨款收入，均纳入预算管理，结息收入按规定上缴财政，无自有收入。此项自评得分4分。</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支出执行进度。</w:t>
      </w:r>
      <w:r>
        <w:rPr>
          <w:rFonts w:hint="eastAsia" w:ascii="仿宋_GB2312" w:hAnsi="仿宋" w:eastAsia="仿宋_GB2312" w:cs="仿宋_GB2312"/>
          <w:sz w:val="32"/>
          <w:szCs w:val="32"/>
        </w:rPr>
        <w:t>我单位按时支付资金，全年支付执行进度基本达标。1-6无支出预警金额，1-10月支出预警金额13.27万元，主要是因为省级科普专项资金将在年底用于当地种植协会年度科普经费共计6万元报销，以及部门其它年度科普宣传经费支出。此项自评得分5.93分。</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预算年终结余。</w:t>
      </w:r>
      <w:r>
        <w:rPr>
          <w:rFonts w:hint="eastAsia" w:ascii="仿宋_GB2312" w:hAnsi="仿宋" w:eastAsia="仿宋_GB2312" w:cs="仿宋_GB2312"/>
          <w:sz w:val="32"/>
          <w:szCs w:val="32"/>
        </w:rPr>
        <w:t>我单位全年收支平衡，年末结转资金0万元。此项自评2分。</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严控一般性支出。</w:t>
      </w:r>
      <w:r>
        <w:rPr>
          <w:rFonts w:hint="eastAsia" w:ascii="仿宋_GB2312" w:hAnsi="仿宋" w:eastAsia="仿宋_GB2312" w:cs="仿宋_GB2312"/>
          <w:sz w:val="32"/>
          <w:szCs w:val="32"/>
        </w:rPr>
        <w:t>我单位对各项支出严格管控，“三公”经费、会议、培训、差旅、办节办展、办公设备购置、信息网络及软件购置更新、课题经费等8项一般性支出均无超预算或无预算安排支出，无虚列支出或套取预算资金、转嫁支出等问题，无超标准超范围发放津贴补贴的问题。其中，“三公”经费全年预算1.67万元，决算时1.67万元，实现零增长。此项自评得分5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综上我单位预算管理指标综合自评得分23.48分。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3</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财务管理</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财务管理制度。</w:t>
      </w:r>
      <w:r>
        <w:rPr>
          <w:rFonts w:hint="eastAsia" w:ascii="仿宋_GB2312" w:hAnsi="仿宋" w:eastAsia="仿宋_GB2312" w:cs="仿宋_GB2312"/>
          <w:sz w:val="32"/>
          <w:szCs w:val="32"/>
        </w:rPr>
        <w:t>2025年度我单位严格执行财务管理制度，重新修订单位内控制度，全年财务处理及时，会计核算规范，严格按照财务管理制度执行各项资金支付。此项自评得分4分。</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财务岗位设置。</w:t>
      </w:r>
      <w:r>
        <w:rPr>
          <w:rFonts w:hint="eastAsia" w:ascii="仿宋_GB2312" w:hAnsi="仿宋" w:eastAsia="仿宋_GB2312" w:cs="仿宋_GB2312"/>
          <w:sz w:val="32"/>
          <w:szCs w:val="32"/>
        </w:rPr>
        <w:t>我单位财务岗位设置规范，不相容岗位分离，职责明确。会计职责：做好会计核算和监督，保证会计</w:t>
      </w:r>
      <w:r>
        <w:rPr>
          <w:rFonts w:hint="eastAsia" w:ascii="仿宋_GB2312" w:hAnsi="仿宋" w:eastAsia="仿宋_GB2312" w:cs="仿宋_GB2312"/>
          <w:sz w:val="32"/>
          <w:szCs w:val="32"/>
          <w:lang w:eastAsia="zh-CN"/>
        </w:rPr>
        <w:t>账</w:t>
      </w:r>
      <w:r>
        <w:rPr>
          <w:rFonts w:hint="eastAsia" w:ascii="仿宋_GB2312" w:hAnsi="仿宋" w:eastAsia="仿宋_GB2312" w:cs="仿宋_GB2312"/>
          <w:sz w:val="32"/>
          <w:szCs w:val="32"/>
        </w:rPr>
        <w:t>务处理及时，会计科目运用准确，会计核算信息真实完整。及时录入 ( 编制 ) 记</w:t>
      </w:r>
      <w:r>
        <w:rPr>
          <w:rFonts w:hint="eastAsia" w:ascii="仿宋_GB2312" w:hAnsi="仿宋" w:eastAsia="仿宋_GB2312" w:cs="仿宋_GB2312"/>
          <w:sz w:val="32"/>
          <w:szCs w:val="32"/>
          <w:lang w:eastAsia="zh-CN"/>
        </w:rPr>
        <w:t>账</w:t>
      </w:r>
      <w:r>
        <w:rPr>
          <w:rFonts w:hint="eastAsia" w:ascii="仿宋_GB2312" w:hAnsi="仿宋" w:eastAsia="仿宋_GB2312" w:cs="仿宋_GB2312"/>
          <w:sz w:val="32"/>
          <w:szCs w:val="32"/>
        </w:rPr>
        <w:t>凭证，负责会计凭证汇总、</w:t>
      </w:r>
      <w:r>
        <w:rPr>
          <w:rFonts w:hint="eastAsia" w:ascii="仿宋_GB2312" w:hAnsi="仿宋" w:eastAsia="仿宋_GB2312" w:cs="仿宋_GB2312"/>
          <w:sz w:val="32"/>
          <w:szCs w:val="32"/>
          <w:lang w:eastAsia="zh-CN"/>
        </w:rPr>
        <w:t>账</w:t>
      </w:r>
      <w:r>
        <w:rPr>
          <w:rFonts w:hint="eastAsia" w:ascii="仿宋_GB2312" w:hAnsi="仿宋" w:eastAsia="仿宋_GB2312" w:cs="仿宋_GB2312"/>
          <w:sz w:val="32"/>
          <w:szCs w:val="32"/>
        </w:rPr>
        <w:t>簿登记，打印输出记</w:t>
      </w:r>
      <w:r>
        <w:rPr>
          <w:rFonts w:hint="eastAsia" w:ascii="仿宋_GB2312" w:hAnsi="仿宋" w:eastAsia="仿宋_GB2312" w:cs="仿宋_GB2312"/>
          <w:sz w:val="32"/>
          <w:szCs w:val="32"/>
          <w:lang w:eastAsia="zh-CN"/>
        </w:rPr>
        <w:t>账</w:t>
      </w:r>
      <w:r>
        <w:rPr>
          <w:rFonts w:hint="eastAsia" w:ascii="仿宋_GB2312" w:hAnsi="仿宋" w:eastAsia="仿宋_GB2312" w:cs="仿宋_GB2312"/>
          <w:sz w:val="32"/>
          <w:szCs w:val="32"/>
        </w:rPr>
        <w:t>凭证和</w:t>
      </w:r>
      <w:r>
        <w:rPr>
          <w:rFonts w:hint="eastAsia" w:ascii="仿宋_GB2312" w:hAnsi="仿宋" w:eastAsia="仿宋_GB2312" w:cs="仿宋_GB2312"/>
          <w:sz w:val="32"/>
          <w:szCs w:val="32"/>
          <w:lang w:eastAsia="zh-CN"/>
        </w:rPr>
        <w:t>账</w:t>
      </w:r>
      <w:r>
        <w:rPr>
          <w:rFonts w:hint="eastAsia" w:ascii="仿宋_GB2312" w:hAnsi="仿宋" w:eastAsia="仿宋_GB2312" w:cs="仿宋_GB2312"/>
          <w:sz w:val="32"/>
          <w:szCs w:val="32"/>
        </w:rPr>
        <w:t>簿。出纳职责：负责单位日常的费用报销，负责日常现金、支票的收与支出，信用卡的核对，及时登记现金及银行存款日记账，认真审核各种原始凭证，负责登记银行存款日记</w:t>
      </w:r>
      <w:r>
        <w:rPr>
          <w:rFonts w:hint="eastAsia" w:ascii="仿宋_GB2312" w:hAnsi="仿宋" w:eastAsia="仿宋_GB2312" w:cs="仿宋_GB2312"/>
          <w:sz w:val="32"/>
          <w:szCs w:val="32"/>
          <w:lang w:eastAsia="zh-CN"/>
        </w:rPr>
        <w:t>账</w:t>
      </w:r>
      <w:r>
        <w:rPr>
          <w:rFonts w:hint="eastAsia" w:ascii="仿宋_GB2312" w:hAnsi="仿宋" w:eastAsia="仿宋_GB2312" w:cs="仿宋_GB2312"/>
          <w:sz w:val="32"/>
          <w:szCs w:val="32"/>
        </w:rPr>
        <w:t>和现金日记</w:t>
      </w:r>
      <w:r>
        <w:rPr>
          <w:rFonts w:hint="eastAsia" w:ascii="仿宋_GB2312" w:hAnsi="仿宋" w:eastAsia="仿宋_GB2312" w:cs="仿宋_GB2312"/>
          <w:sz w:val="32"/>
          <w:szCs w:val="32"/>
          <w:lang w:eastAsia="zh-CN"/>
        </w:rPr>
        <w:t>账</w:t>
      </w:r>
      <w:r>
        <w:rPr>
          <w:rFonts w:hint="eastAsia" w:ascii="仿宋_GB2312" w:hAnsi="仿宋" w:eastAsia="仿宋_GB2312" w:cs="仿宋_GB2312"/>
          <w:sz w:val="32"/>
          <w:szCs w:val="32"/>
        </w:rPr>
        <w:t>，做到逐笔登记，日清月结，确保账账、账证、账实相符。此项自评得分2分。</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资金使用规范。</w:t>
      </w:r>
      <w:r>
        <w:rPr>
          <w:rFonts w:hint="eastAsia" w:ascii="仿宋_GB2312" w:hAnsi="仿宋" w:eastAsia="仿宋_GB2312" w:cs="仿宋_GB2312"/>
          <w:sz w:val="32"/>
          <w:szCs w:val="32"/>
        </w:rPr>
        <w:t>财政资金使用合规，资金支付审核流程严格，无违规问题。此项自评得分4分。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综上我单位财务管理指标综合自评得分10分。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资产管理</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人均资产变化率。</w:t>
      </w:r>
      <w:r>
        <w:rPr>
          <w:rFonts w:hint="eastAsia" w:ascii="仿宋_GB2312" w:hAnsi="仿宋" w:eastAsia="仿宋_GB2312" w:cs="仿宋_GB2312"/>
          <w:sz w:val="32"/>
          <w:szCs w:val="32"/>
        </w:rPr>
        <w:t>严格按照资产管理制度执行，购买物资达到规定金额做入账登记，人均资产变化率低，小于省直行政事业单位人均资产变化率。此项自评得分3分。</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资产利用率。</w:t>
      </w:r>
      <w:r>
        <w:rPr>
          <w:rFonts w:hint="eastAsia" w:ascii="仿宋_GB2312" w:hAnsi="仿宋" w:eastAsia="仿宋_GB2312" w:cs="仿宋_GB2312"/>
          <w:sz w:val="32"/>
          <w:szCs w:val="32"/>
        </w:rPr>
        <w:t>部门办公家具超最低使用年限资产利用率、部门办公设备超最低使用年限资产利用率均大于省直行政事业单位平均值。此项自评得分3分。</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资产盘活率。</w:t>
      </w:r>
      <w:r>
        <w:rPr>
          <w:rFonts w:hint="eastAsia" w:ascii="仿宋_GB2312" w:hAnsi="仿宋" w:eastAsia="仿宋_GB2312" w:cs="仿宋_GB2312"/>
          <w:sz w:val="32"/>
          <w:szCs w:val="32"/>
        </w:rPr>
        <w:t>大部分资产处于在用状态，一些设备由于老化等原因，出现闲置现象，部门闲置资产占比变化率在60%以下。此项自评得分2.4分。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综上我单位资产管理指标综合自评得分8.4分。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5</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采购管理</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支持中小企业发展。</w:t>
      </w:r>
      <w:r>
        <w:rPr>
          <w:rFonts w:hint="eastAsia" w:ascii="仿宋_GB2312" w:hAnsi="仿宋" w:eastAsia="仿宋_GB2312" w:cs="仿宋_GB2312"/>
          <w:sz w:val="32"/>
          <w:szCs w:val="32"/>
        </w:rPr>
        <w:t>我单位2025年政府采购的标准项目均按照采购内控制度执行，均在中小企业采购，年度采购授予中小企业合同金额0.46万元。此项自评得分3分。</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采购执行率。</w:t>
      </w:r>
      <w:r>
        <w:rPr>
          <w:rFonts w:hint="eastAsia" w:ascii="仿宋_GB2312" w:hAnsi="仿宋" w:eastAsia="仿宋_GB2312" w:cs="仿宋_GB2312"/>
          <w:sz w:val="32"/>
          <w:szCs w:val="32"/>
        </w:rPr>
        <w:t>当年政府采购实际支付总金额0.46万元，当年政府采购总预算数0.46万元，当年已完成采购项目节约金额0元，采购执行率100%。此项自评得分3分。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综上我单位采购管理指标综合自评得分6分。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rPr>
        <w:t>部门预算项目绩效分析。</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常年项目绩效分析。该类项目总数1个，涉及预算总金额24万元，1—12月预算执行总体进度为100%，其中：预算结余率大于10%的项目共计0个。</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阶段（含一次性）项目绩效分析。该类项目总数0个，涉及预算总金额0万元，其中：预算结余率大于10%的项目共计0个。</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1</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项目决策</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决策程序。</w:t>
      </w:r>
      <w:r>
        <w:rPr>
          <w:rFonts w:hint="eastAsia" w:ascii="仿宋_GB2312" w:hAnsi="仿宋" w:eastAsia="仿宋_GB2312" w:cs="仿宋_GB2312"/>
          <w:sz w:val="32"/>
          <w:szCs w:val="32"/>
        </w:rPr>
        <w:t>项目设立、调整延续等方面符合资金管理基本规范和决策程序要求。部门未履行事前评估程序的部门预算阶段项目0个。此项自评得分4分。</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目标设置。</w:t>
      </w:r>
      <w:r>
        <w:rPr>
          <w:rFonts w:hint="eastAsia" w:ascii="仿宋_GB2312" w:hAnsi="仿宋" w:eastAsia="仿宋_GB2312" w:cs="仿宋_GB2312"/>
          <w:sz w:val="32"/>
          <w:szCs w:val="32"/>
        </w:rPr>
        <w:t>一是天府科技云平台技术服务费用15万元，主要用于购买外包服务3人，持续开展“天府科技云”平台宣传推广、引导群众注册、发布信息等服务。年度通过各大其它线上平台及天府科技云平台发布信息数达到37条，天府科技云注册用户数达到2842人，天府科技云平台运维时间超过3年，发生系统故障数小于2次，天府科技云使用群众满意度95%。二是科普讲座、科普宣传、学协会交流学习专项资金6万元，主要采取发放科普宣传资料、更换科普宣传栏内容、悬挂科普宣传横幅等多种形式，提升全县各族群众科学素养，服务群众满意度大于等于95%。三是科普活动专项资金13万元，主要用于科普宣传、开展青少年科技创新活动、为科技工作者服务等工作，服务群众满意度大于等于95%。2025年度本单位绩效目标与计划期内的任务量、预算安排不相匹配的部门预算阶段项目数量1个，部门预算阶段项目总数1个，按照部门预算绩效评价指标体系计算，此项自评0分。</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项目入库。</w:t>
      </w:r>
      <w:r>
        <w:rPr>
          <w:rFonts w:hint="eastAsia" w:ascii="仿宋_GB2312" w:hAnsi="仿宋" w:eastAsia="仿宋_GB2312" w:cs="仿宋_GB2312"/>
          <w:sz w:val="32"/>
          <w:szCs w:val="32"/>
        </w:rPr>
        <w:t>各项目按照预期目标完整、经济活动真实入库管理。在规定时间内完成项目入库。此项自评得分4分。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综上我单位项目决策指标综合自评得分8分。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项目执行</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资金执行同向。</w:t>
      </w:r>
      <w:r>
        <w:rPr>
          <w:rFonts w:hint="eastAsia" w:ascii="仿宋_GB2312" w:hAnsi="仿宋" w:eastAsia="仿宋_GB2312" w:cs="仿宋_GB2312"/>
          <w:sz w:val="32"/>
          <w:szCs w:val="32"/>
        </w:rPr>
        <w:t>2025年度我部门所有项目实际列支项目与绩效目标设置方向相符，此项自评得分4分。</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项目调整。</w:t>
      </w:r>
      <w:r>
        <w:rPr>
          <w:rFonts w:hint="eastAsia" w:ascii="仿宋_GB2312" w:hAnsi="仿宋" w:eastAsia="仿宋_GB2312" w:cs="仿宋_GB2312"/>
          <w:sz w:val="32"/>
          <w:szCs w:val="32"/>
        </w:rPr>
        <w:t>项目执行进度有序推进，完成绩效目标100%，无应采取未采取收回预算、调整目标等处置措施的部门预算阶段项目，年末根据资金使用进度调整结余资金为其他项目报财政审核后执行。此项自评得分4分。</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执行结果。</w:t>
      </w:r>
      <w:r>
        <w:rPr>
          <w:rFonts w:hint="eastAsia" w:ascii="仿宋_GB2312" w:hAnsi="仿宋" w:eastAsia="仿宋_GB2312" w:cs="仿宋_GB2312"/>
          <w:sz w:val="32"/>
          <w:szCs w:val="32"/>
        </w:rPr>
        <w:t>预算执行完成各项目标，资金支付进度正常有序，预算结余率均小于10%。此项自评得分4分。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综上我单位项目执行指标综合自评得分12分。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3.目标实现</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目标完成。</w:t>
      </w:r>
      <w:r>
        <w:rPr>
          <w:rFonts w:hint="eastAsia" w:ascii="仿宋_GB2312" w:hAnsi="仿宋" w:eastAsia="仿宋_GB2312" w:cs="仿宋_GB2312"/>
          <w:sz w:val="32"/>
          <w:szCs w:val="32"/>
        </w:rPr>
        <w:t>目标设立合理有效，年度部门预算阶段项目均已完成绩效目标。此项自评得分4分。</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目标偏离。</w:t>
      </w:r>
      <w:r>
        <w:rPr>
          <w:rFonts w:hint="eastAsia" w:ascii="仿宋_GB2312" w:hAnsi="仿宋" w:eastAsia="仿宋_GB2312" w:cs="仿宋_GB2312"/>
          <w:sz w:val="32"/>
          <w:szCs w:val="32"/>
        </w:rPr>
        <w:t>常年项目共设立9个预期指标值，已完成预期指标值的数量指标中偏离度在30%内的指标个数共计7个，主要原因是因为年度天府科技云外包服务购买人数设置不合理，天府科技云平台使用运维年限指标值设置重复。此项自评得分3.1分。</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实现效果。</w:t>
      </w:r>
      <w:r>
        <w:rPr>
          <w:rFonts w:hint="eastAsia" w:ascii="仿宋_GB2312" w:hAnsi="仿宋" w:eastAsia="仿宋_GB2312" w:cs="仿宋_GB2312"/>
          <w:sz w:val="32"/>
          <w:szCs w:val="32"/>
        </w:rPr>
        <w:t>项目实现效果好、好评率高、目标完成率高，但由于绩效目标设置不合理，完成效益指标的部门预算阶段项目0个。此项自评得分0分。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综上我单位目标实现指标综合自评得分7.1分。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rPr>
        <w:t>绩效结果应用情况。围绕内部应用情况、信息公开情况、整改反馈情况进行分析。</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val="en-US" w:eastAsia="zh-CN"/>
        </w:rPr>
        <w:t>综上所述，</w:t>
      </w:r>
      <w:r>
        <w:rPr>
          <w:rFonts w:hint="eastAsia" w:ascii="仿宋_GB2312" w:hAnsi="仿宋" w:eastAsia="仿宋_GB2312" w:cs="仿宋_GB2312"/>
          <w:sz w:val="32"/>
          <w:szCs w:val="32"/>
        </w:rPr>
        <w:t>部门整体绩效自评得分89.98分。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w:t>
      </w:r>
      <w:r>
        <w:rPr>
          <w:rFonts w:hint="eastAsia" w:ascii="仿宋_GB2312" w:hAnsi="仿宋" w:eastAsia="仿宋_GB2312" w:cs="仿宋_GB2312"/>
          <w:sz w:val="32"/>
          <w:szCs w:val="32"/>
          <w:lang w:val="en-US" w:eastAsia="zh-CN"/>
        </w:rPr>
        <w:t>二</w:t>
      </w:r>
      <w:r>
        <w:rPr>
          <w:rFonts w:hint="eastAsia" w:ascii="仿宋_GB2312" w:hAnsi="仿宋" w:eastAsia="仿宋_GB2312" w:cs="仿宋_GB2312"/>
          <w:sz w:val="32"/>
          <w:szCs w:val="32"/>
        </w:rPr>
        <w:t>）专项预算管理。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val="en-US" w:eastAsia="zh-CN"/>
        </w:rPr>
        <w:t>1.</w:t>
      </w:r>
      <w:r>
        <w:rPr>
          <w:rFonts w:hint="eastAsia" w:ascii="仿宋_GB2312" w:hAnsi="仿宋" w:eastAsia="仿宋_GB2312" w:cs="仿宋_GB2312"/>
          <w:sz w:val="32"/>
          <w:szCs w:val="32"/>
        </w:rPr>
        <w:t>通用指标绩效分析</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1</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项目决策</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决策程序</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rPr>
        <w:t>项目设立符合资金管理基本规范和决策程序要求。但项目调整延续方面未达到动态调整要求，年初设立绩效目标与全年实际完成目标不符扣3分，该项指标得分3分。</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规划论证</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rPr>
        <w:t>项目规划符合中央、省委省政府有关决策部署要求，项目充分评估论证了立项必要性、前瞻性、合理性和可行性。项目共设立9个预期指标值，其中单项指标偏离度大于30%的共计2个，主要原因是因为年度天府科技云外包服务购买人数设置不合理，天府科技云平台使用运维年限指标值设置重复，项目总体绩效目标设置合理性的偏离度≤30%，绩效目标规范完整、量化细化、匹配预算，但存在部分指标设计不合理的情况，扣2分，该项指标得分4分。</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资金投向</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rPr>
        <w:t>项目属于政府支持范围，且符合财政事权支出责任划分规定，资金投向与项目总体规划、相关行业事业发展相匹配，聚焦重大任务、重点领域、重点环节和重点项目，体现“集中财力办大事”原则，避免资金分散；项目未与其他同类项目或部门内部相关项目存在内容或资金安排上的交叉重复，该项指标得分6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项目管理</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制度办法</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rPr>
        <w:t>资金管理办法等管理制度体系基本健全完善、要素完备，但动态调整制度缺失，导致年初绩效目标设置不合理的情况未在年中动态调整，扣2分，该项指标得分0分。</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分配管理</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rPr>
        <w:t>资金分配综合考虑了相关行业事业发展的现状和需求，在因素选取与权重设置上突出项目重点，兼顾资金区域分布平衡，分配结果公平合理。同时，建立健全项目储备库并实施动态管理，推行资金竞争性分配机制，规范项目申报与审核程序。资金分配严格遵循管理办法，决策程序合规高效，依据充分，该项指标得分为10分。</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绩效监管</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rPr>
        <w:t>项目按照省级要求全面完成绩效目标、绩效评价、问题整改等预算绩效管理工作；州级部门对市县主管部门预算绩效管理要求到位，不存在对市县资金分配和项目管理指导力度不够的情况，对市县开展了评价、监督、指导等工作，该项指标得分6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3</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项目实施</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预算执行</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rPr>
        <w:t>财政资金已按照要求拨付完毕，当年财政资金拨付24万元，使用23.82万元，该项指标得分5.96分。</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资金使用</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项目结果</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目标完成</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rPr>
        <w:t>项目基本完成预期目标，但由于年初设定的绩效目标与全年实际需要完成的绩效目标有出入，目标实现程度有待提高。全年共设立9个预期指标值，实际完成预期指标值7个，主要原因是因为年度天府科技云外包服务购买人数设置不合理，天府科技云平台使用运维年限指标值设置重复。此项自评得分4.67分。</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完成时效</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rPr>
        <w:t>项目实际完成时间与计划完成时间相符，该项指标得分3分。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rPr>
        <w:t>专用指标绩效分析。资金分配科学合理、均衡公平，资金实际支持对象符合管理要求，符合支持对象范围，资金实际补贴标准符合资金管理办法规定的补助标准，及时按标准兑现，市民满意度较高，该项指标得分30分。</w:t>
      </w:r>
    </w:p>
    <w:p>
      <w:pPr>
        <w:spacing w:line="580" w:lineRule="exact"/>
        <w:ind w:firstLine="640" w:firstLineChars="200"/>
        <w:rPr>
          <w:rFonts w:hint="eastAsia" w:ascii="仿宋_GB2312" w:hAnsi="仿宋" w:eastAsia="仿宋_GB2312" w:cs="仿宋_GB2312"/>
          <w:b w:val="0"/>
          <w:bCs w:val="0"/>
          <w:sz w:val="32"/>
          <w:szCs w:val="32"/>
        </w:rPr>
      </w:pPr>
      <w:r>
        <w:rPr>
          <w:rFonts w:hint="eastAsia" w:ascii="仿宋_GB2312" w:hAnsi="仿宋" w:eastAsia="仿宋_GB2312" w:cs="仿宋_GB2312"/>
          <w:b w:val="0"/>
          <w:bCs w:val="0"/>
          <w:sz w:val="32"/>
          <w:szCs w:val="32"/>
          <w:lang w:eastAsia="zh-CN"/>
        </w:rPr>
        <w:t>（</w:t>
      </w:r>
      <w:r>
        <w:rPr>
          <w:rFonts w:hint="eastAsia" w:ascii="仿宋_GB2312" w:hAnsi="仿宋" w:eastAsia="仿宋_GB2312" w:cs="仿宋_GB2312"/>
          <w:b w:val="0"/>
          <w:bCs w:val="0"/>
          <w:sz w:val="32"/>
          <w:szCs w:val="32"/>
          <w:lang w:val="en-US" w:eastAsia="zh-CN"/>
        </w:rPr>
        <w:t>1</w:t>
      </w:r>
      <w:r>
        <w:rPr>
          <w:rFonts w:hint="eastAsia" w:ascii="仿宋_GB2312" w:hAnsi="仿宋" w:eastAsia="仿宋_GB2312" w:cs="仿宋_GB2312"/>
          <w:b w:val="0"/>
          <w:bCs w:val="0"/>
          <w:sz w:val="32"/>
          <w:szCs w:val="32"/>
          <w:lang w:eastAsia="zh-CN"/>
        </w:rPr>
        <w:t>）</w:t>
      </w:r>
      <w:r>
        <w:rPr>
          <w:rFonts w:hint="eastAsia" w:ascii="仿宋_GB2312" w:hAnsi="仿宋" w:eastAsia="仿宋_GB2312" w:cs="仿宋_GB2312"/>
          <w:b w:val="0"/>
          <w:bCs w:val="0"/>
          <w:sz w:val="32"/>
          <w:szCs w:val="32"/>
        </w:rPr>
        <w:t>区域均衡性。项目资金使用紧密围绕县委、县政府中心工作，着力推进科普宣传、青少年科技创新、服务科技工作者、支持农村专业技术协会发展等重点任务。通过购买天府科技云平台技术服务，有效促进了全域科学技术普及、科技成果精准转化与科普知识高效传播。在专项资金分配上，精准覆盖石碉楼、洛多乡、木苏镇等重点区域所属的农村技术协会，体现了资金布局的均衡性与公平性，有力支持了区域科技服务能力的整体提升，该项指标得分10分。</w:t>
      </w:r>
    </w:p>
    <w:p>
      <w:pPr>
        <w:spacing w:line="580" w:lineRule="exact"/>
        <w:ind w:firstLine="640" w:firstLineChars="200"/>
        <w:rPr>
          <w:rFonts w:hint="eastAsia" w:ascii="仿宋_GB2312" w:hAnsi="仿宋" w:eastAsia="仿宋_GB2312" w:cs="仿宋_GB2312"/>
          <w:b w:val="0"/>
          <w:bCs w:val="0"/>
          <w:sz w:val="32"/>
          <w:szCs w:val="32"/>
        </w:rPr>
      </w:pPr>
      <w:r>
        <w:rPr>
          <w:rFonts w:hint="eastAsia" w:ascii="仿宋_GB2312" w:hAnsi="仿宋" w:eastAsia="仿宋_GB2312" w:cs="仿宋_GB2312"/>
          <w:b w:val="0"/>
          <w:bCs w:val="0"/>
          <w:sz w:val="32"/>
          <w:szCs w:val="32"/>
          <w:lang w:eastAsia="zh-CN"/>
        </w:rPr>
        <w:t>（</w:t>
      </w:r>
      <w:r>
        <w:rPr>
          <w:rFonts w:hint="eastAsia" w:ascii="仿宋_GB2312" w:hAnsi="仿宋" w:eastAsia="仿宋_GB2312" w:cs="仿宋_GB2312"/>
          <w:b w:val="0"/>
          <w:bCs w:val="0"/>
          <w:sz w:val="32"/>
          <w:szCs w:val="32"/>
          <w:lang w:val="en-US" w:eastAsia="zh-CN"/>
        </w:rPr>
        <w:t>2</w:t>
      </w:r>
      <w:r>
        <w:rPr>
          <w:rFonts w:hint="eastAsia" w:ascii="仿宋_GB2312" w:hAnsi="仿宋" w:eastAsia="仿宋_GB2312" w:cs="仿宋_GB2312"/>
          <w:b w:val="0"/>
          <w:bCs w:val="0"/>
          <w:sz w:val="32"/>
          <w:szCs w:val="32"/>
          <w:lang w:eastAsia="zh-CN"/>
        </w:rPr>
        <w:t>）</w:t>
      </w:r>
      <w:r>
        <w:rPr>
          <w:rFonts w:hint="eastAsia" w:ascii="仿宋_GB2312" w:hAnsi="仿宋" w:eastAsia="仿宋_GB2312" w:cs="仿宋_GB2312"/>
          <w:b w:val="0"/>
          <w:bCs w:val="0"/>
          <w:sz w:val="32"/>
          <w:szCs w:val="32"/>
        </w:rPr>
        <w:t>对象精准性。资金实际支持对象严格符合项目管理规定与既定支持范围，聚焦于基层农技协管理服务对象和科普事业关键环节，未发生偏离或扩大支持范围的情况，实现了资金投向的精准定位，该项指标得分10分。</w:t>
      </w:r>
    </w:p>
    <w:p>
      <w:pPr>
        <w:spacing w:line="580" w:lineRule="exact"/>
        <w:ind w:firstLine="640" w:firstLineChars="200"/>
        <w:rPr>
          <w:rFonts w:hint="eastAsia" w:ascii="仿宋_GB2312" w:hAnsi="仿宋" w:eastAsia="仿宋_GB2312" w:cs="仿宋_GB2312"/>
          <w:b w:val="0"/>
          <w:bCs w:val="0"/>
          <w:sz w:val="32"/>
          <w:szCs w:val="32"/>
        </w:rPr>
      </w:pPr>
      <w:r>
        <w:rPr>
          <w:rFonts w:hint="eastAsia" w:ascii="仿宋_GB2312" w:hAnsi="仿宋" w:eastAsia="仿宋_GB2312" w:cs="仿宋_GB2312"/>
          <w:b w:val="0"/>
          <w:bCs w:val="0"/>
          <w:sz w:val="32"/>
          <w:szCs w:val="32"/>
          <w:lang w:eastAsia="zh-CN"/>
        </w:rPr>
        <w:t>（</w:t>
      </w:r>
      <w:r>
        <w:rPr>
          <w:rFonts w:hint="eastAsia" w:ascii="仿宋_GB2312" w:hAnsi="仿宋" w:eastAsia="仿宋_GB2312" w:cs="仿宋_GB2312"/>
          <w:b w:val="0"/>
          <w:bCs w:val="0"/>
          <w:sz w:val="32"/>
          <w:szCs w:val="32"/>
          <w:lang w:val="en-US" w:eastAsia="zh-CN"/>
        </w:rPr>
        <w:t>3</w:t>
      </w:r>
      <w:r>
        <w:rPr>
          <w:rFonts w:hint="eastAsia" w:ascii="仿宋_GB2312" w:hAnsi="仿宋" w:eastAsia="仿宋_GB2312" w:cs="仿宋_GB2312"/>
          <w:b w:val="0"/>
          <w:bCs w:val="0"/>
          <w:sz w:val="32"/>
          <w:szCs w:val="32"/>
          <w:lang w:eastAsia="zh-CN"/>
        </w:rPr>
        <w:t>）</w:t>
      </w:r>
      <w:r>
        <w:rPr>
          <w:rFonts w:hint="eastAsia" w:ascii="仿宋_GB2312" w:hAnsi="仿宋" w:eastAsia="仿宋_GB2312" w:cs="仿宋_GB2312"/>
          <w:b w:val="0"/>
          <w:bCs w:val="0"/>
          <w:sz w:val="32"/>
          <w:szCs w:val="32"/>
        </w:rPr>
        <w:t>标准合理性。资金实际执行的补贴标准符合相关资金管理办法的规定，补助依据充分、标准明确。资金拨付及时，按规定标准足额兑现，确保了政策执行的规范性和有效性，该项指标得分5分。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b w:val="0"/>
          <w:bCs w:val="0"/>
          <w:sz w:val="32"/>
          <w:szCs w:val="32"/>
          <w:lang w:eastAsia="zh-CN"/>
        </w:rPr>
        <w:t>（</w:t>
      </w:r>
      <w:r>
        <w:rPr>
          <w:rFonts w:hint="eastAsia" w:ascii="仿宋_GB2312" w:hAnsi="仿宋" w:eastAsia="仿宋_GB2312" w:cs="仿宋_GB2312"/>
          <w:b w:val="0"/>
          <w:bCs w:val="0"/>
          <w:sz w:val="32"/>
          <w:szCs w:val="32"/>
          <w:lang w:val="en-US" w:eastAsia="zh-CN"/>
        </w:rPr>
        <w:t>4</w:t>
      </w:r>
      <w:r>
        <w:rPr>
          <w:rFonts w:hint="eastAsia" w:ascii="仿宋_GB2312" w:hAnsi="仿宋" w:eastAsia="仿宋_GB2312" w:cs="仿宋_GB2312"/>
          <w:b w:val="0"/>
          <w:bCs w:val="0"/>
          <w:sz w:val="32"/>
          <w:szCs w:val="32"/>
          <w:lang w:eastAsia="zh-CN"/>
        </w:rPr>
        <w:t>）</w:t>
      </w:r>
      <w:r>
        <w:rPr>
          <w:rFonts w:hint="eastAsia" w:ascii="仿宋_GB2312" w:hAnsi="仿宋" w:eastAsia="仿宋_GB2312" w:cs="仿宋_GB2312"/>
          <w:b w:val="0"/>
          <w:bCs w:val="0"/>
          <w:sz w:val="32"/>
          <w:szCs w:val="32"/>
        </w:rPr>
        <w:t>群众满意度，通过对资金涉及的相关受益群体及支持对象开展满意度调查与访谈，结果显示满意度达到98%。这表明专项资金的使用取得了切</w:t>
      </w:r>
      <w:r>
        <w:rPr>
          <w:rFonts w:hint="eastAsia" w:ascii="仿宋_GB2312" w:hAnsi="仿宋" w:eastAsia="仿宋_GB2312" w:cs="仿宋_GB2312"/>
          <w:sz w:val="32"/>
          <w:szCs w:val="32"/>
        </w:rPr>
        <w:t>实成效，有效回应了基层和群众需求，获得了广泛认可，该项指标得分5分。</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lang w:val="en-US" w:eastAsia="zh-CN"/>
        </w:rPr>
        <w:t>3.</w:t>
      </w:r>
      <w:r>
        <w:rPr>
          <w:rFonts w:hint="eastAsia" w:ascii="仿宋_GB2312" w:hAnsi="仿宋" w:eastAsia="仿宋_GB2312" w:cs="仿宋_GB2312"/>
          <w:b/>
          <w:bCs/>
          <w:sz w:val="32"/>
          <w:szCs w:val="32"/>
        </w:rPr>
        <w:t>个性指标绩效分析。</w:t>
      </w:r>
      <w:r>
        <w:rPr>
          <w:rFonts w:hint="eastAsia" w:ascii="仿宋_GB2312" w:hAnsi="仿宋" w:eastAsia="仿宋_GB2312" w:cs="仿宋_GB2312"/>
          <w:sz w:val="32"/>
          <w:szCs w:val="32"/>
        </w:rPr>
        <w:t>项目已如期完成，资金已按期拨付，项目实施后基本达到预期效果。但由于因为年度天府科技云外包服务购买人数设置不合理，天府科技云平台使用运维年限指标值设置重复，年度实际完成指标与预计设立指标有出入，扣3分。该项指标得分13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综上所述，</w:t>
      </w:r>
      <w:r>
        <w:rPr>
          <w:rFonts w:hint="default" w:ascii="仿宋_GB2312" w:hAnsi="仿宋_GB2312" w:eastAsia="仿宋_GB2312" w:cs="仿宋_GB2312"/>
          <w:b w:val="0"/>
          <w:bCs w:val="0"/>
          <w:kern w:val="0"/>
          <w:position w:val="0"/>
          <w:sz w:val="32"/>
          <w:szCs w:val="32"/>
          <w:highlight w:val="none"/>
          <w:lang w:val="zh-CN" w:eastAsia="zh-CN" w:bidi="ar-SA"/>
        </w:rPr>
        <w:t>2025年省级科普专项资金项目支出绩效评价综合得分</w:t>
      </w:r>
      <w:r>
        <w:rPr>
          <w:rFonts w:hint="eastAsia" w:ascii="仿宋_GB2312" w:hAnsi="仿宋_GB2312" w:eastAsia="仿宋_GB2312" w:cs="仿宋_GB2312"/>
          <w:b w:val="0"/>
          <w:bCs w:val="0"/>
          <w:kern w:val="0"/>
          <w:position w:val="0"/>
          <w:sz w:val="32"/>
          <w:szCs w:val="32"/>
          <w:highlight w:val="none"/>
          <w:lang w:val="en-US" w:eastAsia="zh-CN" w:bidi="ar-SA"/>
        </w:rPr>
        <w:t>88.63</w:t>
      </w:r>
      <w:r>
        <w:rPr>
          <w:rFonts w:hint="default" w:ascii="仿宋_GB2312" w:hAnsi="仿宋_GB2312" w:eastAsia="仿宋_GB2312" w:cs="仿宋_GB2312"/>
          <w:b w:val="0"/>
          <w:bCs w:val="0"/>
          <w:kern w:val="0"/>
          <w:position w:val="0"/>
          <w:sz w:val="32"/>
          <w:szCs w:val="32"/>
          <w:highlight w:val="none"/>
          <w:lang w:val="zh-CN" w:eastAsia="zh-CN" w:bidi="ar-SA"/>
        </w:rPr>
        <w:t>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w:t>
      </w:r>
      <w:r>
        <w:rPr>
          <w:rFonts w:hint="eastAsia" w:ascii="仿宋_GB2312" w:hAnsi="仿宋" w:eastAsia="仿宋_GB2312" w:cs="仿宋_GB2312"/>
          <w:sz w:val="32"/>
          <w:szCs w:val="32"/>
          <w:lang w:val="en-US" w:eastAsia="zh-CN"/>
        </w:rPr>
        <w:t>三</w:t>
      </w:r>
      <w:r>
        <w:rPr>
          <w:rFonts w:hint="eastAsia" w:ascii="仿宋_GB2312" w:hAnsi="仿宋" w:eastAsia="仿宋_GB2312" w:cs="仿宋_GB2312"/>
          <w:sz w:val="32"/>
          <w:szCs w:val="32"/>
        </w:rPr>
        <w:t>）结果应用情况。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b w:val="0"/>
          <w:bCs w:val="0"/>
          <w:sz w:val="32"/>
          <w:szCs w:val="32"/>
          <w:lang w:eastAsia="zh-CN"/>
        </w:rPr>
        <w:t>（</w:t>
      </w:r>
      <w:r>
        <w:rPr>
          <w:rFonts w:hint="eastAsia" w:ascii="仿宋_GB2312" w:hAnsi="仿宋" w:eastAsia="仿宋_GB2312" w:cs="仿宋_GB2312"/>
          <w:b w:val="0"/>
          <w:bCs w:val="0"/>
          <w:sz w:val="32"/>
          <w:szCs w:val="32"/>
          <w:lang w:val="en-US" w:eastAsia="zh-CN"/>
        </w:rPr>
        <w:t>1</w:t>
      </w:r>
      <w:r>
        <w:rPr>
          <w:rFonts w:hint="eastAsia" w:ascii="仿宋_GB2312" w:hAnsi="仿宋" w:eastAsia="仿宋_GB2312" w:cs="仿宋_GB2312"/>
          <w:b w:val="0"/>
          <w:bCs w:val="0"/>
          <w:sz w:val="32"/>
          <w:szCs w:val="32"/>
          <w:lang w:eastAsia="zh-CN"/>
        </w:rPr>
        <w:t>）部门自评质量</w:t>
      </w:r>
      <w:r>
        <w:rPr>
          <w:rFonts w:hint="eastAsia" w:ascii="仿宋_GB2312" w:hAnsi="仿宋" w:eastAsia="仿宋_GB2312" w:cs="仿宋_GB2312"/>
          <w:b w:val="0"/>
          <w:bCs w:val="0"/>
          <w:sz w:val="32"/>
          <w:szCs w:val="32"/>
        </w:rPr>
        <w:t>。本年</w:t>
      </w:r>
      <w:r>
        <w:rPr>
          <w:rFonts w:hint="eastAsia" w:ascii="仿宋_GB2312" w:hAnsi="仿宋" w:eastAsia="仿宋_GB2312" w:cs="仿宋_GB2312"/>
          <w:sz w:val="32"/>
          <w:szCs w:val="32"/>
        </w:rPr>
        <w:t>度，我会将绩效评价结果深度融入内部管理优化。依据考评反馈，调整了内部科室的科普职责分工，明确重点任务。同时，将绩效结果作为干部职工年度考核、评</w:t>
      </w:r>
      <w:r>
        <w:rPr>
          <w:rFonts w:hint="default" w:ascii="仿宋_GB2312" w:hAnsi="仿宋" w:eastAsia="仿宋_GB2312" w:cs="仿宋_GB2312"/>
          <w:sz w:val="32"/>
          <w:szCs w:val="32"/>
        </w:rPr>
        <w:t>先</w:t>
      </w:r>
      <w:r>
        <w:rPr>
          <w:rFonts w:hint="eastAsia" w:ascii="仿宋_GB2312" w:hAnsi="仿宋" w:eastAsia="仿宋_GB2312" w:cs="仿宋_GB2312"/>
          <w:sz w:val="32"/>
          <w:szCs w:val="32"/>
        </w:rPr>
        <w:t>评</w:t>
      </w:r>
      <w:r>
        <w:rPr>
          <w:rFonts w:hint="default" w:ascii="仿宋_GB2312" w:hAnsi="仿宋" w:eastAsia="仿宋_GB2312" w:cs="仿宋_GB2312"/>
          <w:sz w:val="32"/>
          <w:szCs w:val="32"/>
        </w:rPr>
        <w:t>优</w:t>
      </w:r>
      <w:bookmarkStart w:id="1" w:name="_GoBack"/>
      <w:bookmarkEnd w:id="1"/>
      <w:r>
        <w:rPr>
          <w:rFonts w:hint="eastAsia" w:ascii="仿宋_GB2312" w:hAnsi="仿宋" w:eastAsia="仿宋_GB2312" w:cs="仿宋_GB2312"/>
          <w:sz w:val="32"/>
          <w:szCs w:val="32"/>
        </w:rPr>
        <w:t>的重要量化依据，有效激发了队伍内生动力。</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b w:val="0"/>
          <w:bCs w:val="0"/>
          <w:sz w:val="32"/>
          <w:szCs w:val="32"/>
          <w:lang w:eastAsia="zh-CN"/>
        </w:rPr>
        <w:t>（</w:t>
      </w:r>
      <w:r>
        <w:rPr>
          <w:rFonts w:hint="eastAsia" w:ascii="仿宋_GB2312" w:hAnsi="仿宋" w:eastAsia="仿宋_GB2312" w:cs="仿宋_GB2312"/>
          <w:b w:val="0"/>
          <w:bCs w:val="0"/>
          <w:sz w:val="32"/>
          <w:szCs w:val="32"/>
          <w:lang w:val="en-US" w:eastAsia="zh-CN"/>
        </w:rPr>
        <w:t>2</w:t>
      </w:r>
      <w:r>
        <w:rPr>
          <w:rFonts w:hint="eastAsia" w:ascii="仿宋_GB2312" w:hAnsi="仿宋" w:eastAsia="仿宋_GB2312" w:cs="仿宋_GB2312"/>
          <w:b w:val="0"/>
          <w:bCs w:val="0"/>
          <w:sz w:val="32"/>
          <w:szCs w:val="32"/>
          <w:lang w:eastAsia="zh-CN"/>
        </w:rPr>
        <w:t>）绩效目标公开和自评公开</w:t>
      </w:r>
      <w:r>
        <w:rPr>
          <w:rFonts w:hint="eastAsia" w:ascii="仿宋_GB2312" w:hAnsi="仿宋" w:eastAsia="仿宋_GB2312" w:cs="仿宋_GB2312"/>
          <w:b w:val="0"/>
          <w:bCs w:val="0"/>
          <w:sz w:val="32"/>
          <w:szCs w:val="32"/>
        </w:rPr>
        <w:t>。</w:t>
      </w:r>
      <w:r>
        <w:rPr>
          <w:rFonts w:hint="eastAsia" w:ascii="仿宋_GB2312" w:hAnsi="仿宋" w:eastAsia="仿宋_GB2312" w:cs="仿宋_GB2312"/>
          <w:sz w:val="32"/>
          <w:szCs w:val="32"/>
        </w:rPr>
        <w:t>我单位严格落实信息公开制度。依托县政府门户网站及单位政务公开栏，在规定时限内主动向社会公开预算、决算、绩效评价等报告。公开内容注重通俗化解读，重点展示科普活动覆盖率、群众满意度等关键指标。增强了财政资金使用的透明度，提升了科协工作的社会公信力。</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3</w:t>
      </w:r>
      <w:r>
        <w:rPr>
          <w:rFonts w:hint="eastAsia" w:ascii="仿宋_GB2312" w:hAnsi="仿宋" w:eastAsia="仿宋_GB2312" w:cs="仿宋_GB2312"/>
          <w:sz w:val="32"/>
          <w:szCs w:val="32"/>
          <w:lang w:eastAsia="zh-CN"/>
        </w:rPr>
        <w:t>）评价结果整改和应用结果</w:t>
      </w:r>
      <w:r>
        <w:rPr>
          <w:rFonts w:hint="eastAsia" w:ascii="仿宋_GB2312" w:hAnsi="仿宋" w:eastAsia="仿宋_GB2312" w:cs="仿宋_GB2312"/>
          <w:sz w:val="32"/>
          <w:szCs w:val="32"/>
        </w:rPr>
        <w:t>反馈情况。针对上年度绩效评价中指出的“科普资源分布不均”“部分活动受众单一”等问题，我会建立了“清单式”整改台账。通过深入乡镇调研，将流动科技馆巡展资源向高半山及偏远村落倾斜；同时联合教育、农业等部门，针对青少年、农牧民等不同群体开展定制化科普活动。目前，所有反馈问题均已限期整改到位，并在季度工作会上进行“回头看”，确保整改措施落地见效，形成了“评价—反馈—整改—提升”的闭环管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本年度存在绩效指标设置不够科学的问题。具体表现为购买“专职保姆”指标最初设置为3人，而项目实际根据工作要求仅需外包服务人员1人，导致指标值与实际需求偏离较大。原因在于项目前期论证不够充分，未结合实际工作要求与专业要求科学设定指标，影响了绩效指标体系的整体合理性与考核准确性。2026年，本单位在预算绩效工作中，会对照年度预算绩效工作中的不足，严格执行系列改进措施：一是强化绩效目标事前论证，在项目申报环节深入调研实际业务需求，结合历史数据与年度任务量，科学测算各项指标，确保指标值与工作实际紧密契合。二是建立绩效指标动态调整机制，若实施过程中确需调整，按规定程序及时报备修正，避免指标与执行“两张皮”。三是加强绩效管理业务培训，提升财务与业务人员在指标设置、过程监控等方面的专业能力，从源头提高绩效目标编制质量。</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四、评价结论及建议</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简要阐述部门预算绩效自评总体结论，其中必须包含自评得分。2025年度，黑水县科学技术协会按照国家政策法规规定，结合本部门的实际情况，建立健全了财务管理制度和约束机制，依法、有效地使用财政资金，提高财政资金使用效率，合理分配人、财、物，完成了部门职能目标，实现了较高的工作效率和支出绩效。</w:t>
      </w:r>
      <w:r>
        <w:rPr>
          <w:rFonts w:hint="eastAsia" w:ascii="仿宋_GB2312" w:hAnsi="仿宋" w:eastAsia="仿宋_GB2312" w:cs="仿宋_GB2312"/>
          <w:sz w:val="32"/>
          <w:szCs w:val="32"/>
          <w:lang w:val="en-US" w:eastAsia="zh-CN"/>
        </w:rPr>
        <w:t>2025年度</w:t>
      </w:r>
      <w:r>
        <w:rPr>
          <w:rFonts w:hint="eastAsia" w:ascii="仿宋_GB2312" w:hAnsi="仿宋" w:eastAsia="仿宋_GB2312" w:cs="仿宋_GB2312"/>
          <w:sz w:val="32"/>
          <w:szCs w:val="32"/>
        </w:rPr>
        <w:t>部门整体绩效自评得分89.98分</w:t>
      </w:r>
      <w:r>
        <w:rPr>
          <w:rFonts w:hint="eastAsia" w:ascii="仿宋_GB2312" w:hAnsi="仿宋" w:eastAsia="仿宋_GB2312" w:cs="仿宋_GB2312"/>
          <w:sz w:val="32"/>
          <w:szCs w:val="32"/>
          <w:lang w:eastAsia="zh-CN"/>
        </w:rPr>
        <w:t>，</w:t>
      </w:r>
      <w:r>
        <w:rPr>
          <w:rFonts w:hint="default" w:ascii="仿宋_GB2312" w:hAnsi="仿宋_GB2312" w:eastAsia="仿宋_GB2312" w:cs="仿宋_GB2312"/>
          <w:b w:val="0"/>
          <w:bCs w:val="0"/>
          <w:kern w:val="0"/>
          <w:position w:val="0"/>
          <w:sz w:val="32"/>
          <w:szCs w:val="32"/>
          <w:highlight w:val="none"/>
          <w:lang w:val="zh-CN" w:eastAsia="zh-CN" w:bidi="ar-SA"/>
        </w:rPr>
        <w:t>省级科普专项资金项目支出绩效评价综合得分</w:t>
      </w:r>
      <w:r>
        <w:rPr>
          <w:rFonts w:hint="eastAsia" w:ascii="仿宋_GB2312" w:hAnsi="仿宋_GB2312" w:eastAsia="仿宋_GB2312" w:cs="仿宋_GB2312"/>
          <w:b w:val="0"/>
          <w:bCs w:val="0"/>
          <w:kern w:val="0"/>
          <w:position w:val="0"/>
          <w:sz w:val="32"/>
          <w:szCs w:val="32"/>
          <w:highlight w:val="none"/>
          <w:lang w:val="en-US" w:eastAsia="zh-CN" w:bidi="ar-SA"/>
        </w:rPr>
        <w:t>88.63</w:t>
      </w:r>
      <w:r>
        <w:rPr>
          <w:rFonts w:hint="default" w:ascii="仿宋_GB2312" w:hAnsi="仿宋_GB2312" w:eastAsia="仿宋_GB2312" w:cs="仿宋_GB2312"/>
          <w:b w:val="0"/>
          <w:bCs w:val="0"/>
          <w:kern w:val="0"/>
          <w:position w:val="0"/>
          <w:sz w:val="32"/>
          <w:szCs w:val="32"/>
          <w:highlight w:val="none"/>
          <w:lang w:val="zh-CN" w:eastAsia="zh-CN" w:bidi="ar-SA"/>
        </w:rPr>
        <w:t>分。</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（二）存在问题。预算绩效管理精细化水平仍有提升空间，绩效指标动态优化机制需进一步完善。</w:t>
      </w:r>
    </w:p>
    <w:p>
      <w:pPr>
        <w:spacing w:line="580" w:lineRule="exact"/>
        <w:ind w:firstLine="640" w:firstLineChars="200"/>
        <w:rPr>
          <w:rFonts w:ascii="仿宋_GB2312" w:hAnsi="仿宋_GB2312" w:eastAsia="仿宋_GB2312" w:cs="仿宋_GB2312"/>
          <w:sz w:val="32"/>
          <w:szCs w:val="32"/>
        </w:rPr>
      </w:pPr>
      <w:r>
        <w:rPr>
          <w:rFonts w:hint="eastAsia" w:ascii="仿宋_GB2312" w:hAnsi="仿宋" w:eastAsia="仿宋_GB2312" w:cs="仿宋_GB2312"/>
          <w:sz w:val="32"/>
          <w:szCs w:val="32"/>
        </w:rPr>
        <w:t>（三）改进建议。一是持续提升预算编制精准度，强化事前评估与过程监控。二是完善绩效指标体系，实现量化管理与动态调整。三是加强绩效结果应用，与预算安排、项目管理深度挂钩。</w:t>
      </w:r>
    </w:p>
    <w:p>
      <w:pPr>
        <w:widowControl/>
        <w:jc w:val="lef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方正小标宋_GBK"/>
    <w:panose1 w:val="02000000000000000000"/>
    <w:charset w:val="86"/>
    <w:family w:val="auto"/>
    <w:pitch w:val="default"/>
    <w:sig w:usb0="00000000" w:usb1="00000000"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91B22"/>
    <w:rsid w:val="00291808"/>
    <w:rsid w:val="00491B22"/>
    <w:rsid w:val="0052390C"/>
    <w:rsid w:val="2DE48208"/>
    <w:rsid w:val="34EB1F43"/>
    <w:rsid w:val="36435EC2"/>
    <w:rsid w:val="43EB7E23"/>
    <w:rsid w:val="4DD97D2F"/>
    <w:rsid w:val="57863F23"/>
    <w:rsid w:val="5F4782B3"/>
    <w:rsid w:val="60D032A5"/>
    <w:rsid w:val="7079109E"/>
    <w:rsid w:val="774EE940"/>
    <w:rsid w:val="7BFF9AD8"/>
    <w:rsid w:val="B7FF321F"/>
    <w:rsid w:val="EF6F0142"/>
    <w:rsid w:val="FFBF75D0"/>
    <w:rsid w:val="FFF382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3">
    <w:name w:val="footer"/>
    <w:basedOn w:val="1"/>
    <w:link w:val="8"/>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16</Pages>
  <Words>8292</Words>
  <Characters>8575</Characters>
  <Lines>2</Lines>
  <Paragraphs>1</Paragraphs>
  <TotalTime>2</TotalTime>
  <ScaleCrop>false</ScaleCrop>
  <LinksUpToDate>false</LinksUpToDate>
  <CharactersWithSpaces>8579</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2019-08-19T17:06:00Z</dcterms:created>
  <dc:creator>Sky123.Org</dc:creator>
  <cp:lastModifiedBy>user</cp:lastModifiedBy>
  <dcterms:modified xsi:type="dcterms:W3CDTF">2026-09-21T09:59:58Z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3115989309D741DA945EE44A488D69E1</vt:lpwstr>
  </property>
  <property fmtid="{D5CDD505-2E9C-101B-9397-08002B2CF9AE}" pid="4" name="KSOTemplateDocerSaveRecord">
    <vt:lpwstr>eyJoZGlkIjoiYmMxZWViYzY2OTBkMWNmMDZlNjI2NmUwYzQyZTk2ZTMiLCJ1c2VySWQiOiIxMTM5OTQ5NTAyIn0=</vt:lpwstr>
  </property>
</Properties>
</file>