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黑水县机关事务管理局</w:t>
      </w:r>
      <w:r>
        <w:rPr>
          <w:rFonts w:hint="eastAsia" w:ascii="仿宋_GB2312" w:hAnsi="黑体" w:eastAsia="仿宋_GB2312" w:cs="方正小标宋简体"/>
          <w:b/>
          <w:sz w:val="32"/>
          <w:szCs w:val="32"/>
        </w:rPr>
        <w:t>2018年部门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pStyle w:val="2"/>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Times New Roman"/>
          <w:b w:val="0"/>
          <w:bCs/>
          <w:color w:val="000000"/>
          <w:kern w:val="0"/>
          <w:sz w:val="32"/>
          <w:szCs w:val="32"/>
          <w:lang w:val="en-US" w:eastAsia="zh-CN" w:bidi="ar-SA"/>
        </w:rPr>
        <w:t>本单位下属二级预算单位0个，其中行政单位0个，参照公务员管理事业单位0个，其他事业单位0个。</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（二）机构职能。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Times New Roman"/>
          <w:b w:val="0"/>
          <w:bCs/>
          <w:color w:val="000000"/>
          <w:kern w:val="0"/>
          <w:sz w:val="32"/>
          <w:szCs w:val="32"/>
          <w:lang w:val="en-US" w:eastAsia="zh-CN" w:bidi="ar-SA"/>
        </w:rPr>
        <w:t>黑水县机关事务管理局为正科级公益一类事业单位，经费来源为财政全额预算，内设办公室、车辆管理股、资产和节能管理股、公务接待股四个股室，主要职能职责是：全面贯彻落实党中央、国务院各项政策方针，主动对接上级主管部门，完成机关事务管理相关工作；围绕县委县政府重大决策部署，坚持管理与服务并重，统筹做好公务接待、节能降耗、一般公务用车及公房（周转房）管理等工作，保障党政机关高效运行。</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80" w:lineRule="exact"/>
        <w:ind w:firstLine="640" w:firstLineChars="200"/>
        <w:rPr>
          <w:rFonts w:hint="eastAsia" w:ascii="仿宋_GB2312" w:hAnsi="仿宋" w:eastAsia="仿宋_GB2312" w:cs="Times New Roman"/>
          <w:b w:val="0"/>
          <w:bCs/>
          <w:color w:val="000000"/>
          <w:kern w:val="0"/>
          <w:sz w:val="32"/>
          <w:szCs w:val="32"/>
          <w:lang w:val="en-US" w:eastAsia="zh-CN" w:bidi="ar-SA"/>
        </w:rPr>
      </w:pPr>
      <w:r>
        <w:rPr>
          <w:rFonts w:hint="eastAsia" w:ascii="仿宋_GB2312" w:hAnsi="仿宋" w:eastAsia="仿宋_GB2312" w:cs="Times New Roman"/>
          <w:b w:val="0"/>
          <w:bCs/>
          <w:color w:val="000000"/>
          <w:kern w:val="0"/>
          <w:sz w:val="32"/>
          <w:szCs w:val="32"/>
          <w:lang w:val="en-US" w:eastAsia="zh-CN" w:bidi="ar-SA"/>
        </w:rPr>
        <w:t>截止2018年12月在职5人 ，无退休。</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ind w:firstLine="640" w:firstLineChars="200"/>
        <w:rPr>
          <w:rFonts w:hint="eastAsia" w:ascii="仿宋_GB2312" w:hAnsi="仿宋" w:eastAsia="仿宋_GB2312" w:cs="仿宋_GB2312"/>
          <w:sz w:val="32"/>
          <w:szCs w:val="32"/>
        </w:rPr>
      </w:pPr>
      <w:r>
        <w:rPr>
          <w:rFonts w:hint="eastAsia" w:ascii="仿宋_GB2312" w:hAnsi="黑体" w:eastAsia="仿宋_GB2312" w:cs="黑体"/>
          <w:sz w:val="32"/>
          <w:szCs w:val="32"/>
        </w:rPr>
        <w:t>2018年度</w:t>
      </w:r>
      <w:r>
        <w:rPr>
          <w:rFonts w:hint="eastAsia" w:ascii="仿宋_GB2312" w:hAnsi="黑体" w:eastAsia="仿宋_GB2312" w:cs="黑体"/>
          <w:sz w:val="32"/>
          <w:szCs w:val="32"/>
          <w:lang w:val="zh-CN"/>
        </w:rPr>
        <w:t>部门财政资金总收</w:t>
      </w:r>
      <w:bookmarkStart w:id="1" w:name="_GoBack"/>
      <w:bookmarkEnd w:id="1"/>
      <w:r>
        <w:rPr>
          <w:rFonts w:hint="eastAsia" w:ascii="仿宋_GB2312" w:hAnsi="黑体" w:eastAsia="仿宋_GB2312" w:cs="黑体"/>
          <w:sz w:val="32"/>
          <w:szCs w:val="32"/>
          <w:lang w:val="zh-CN"/>
        </w:rPr>
        <w:t>入</w:t>
      </w:r>
      <w:r>
        <w:rPr>
          <w:rFonts w:hint="eastAsia" w:ascii="仿宋_GB2312" w:hAnsi="黑体" w:eastAsia="仿宋_GB2312" w:cs="黑体"/>
          <w:sz w:val="32"/>
          <w:szCs w:val="32"/>
          <w:lang w:val="en-US" w:eastAsia="zh-CN"/>
        </w:rPr>
        <w:t>597.53</w:t>
      </w:r>
      <w:r>
        <w:rPr>
          <w:rFonts w:hint="eastAsia" w:ascii="仿宋_GB2312" w:hAnsi="黑体" w:eastAsia="仿宋_GB2312" w:cs="黑体"/>
          <w:sz w:val="32"/>
          <w:szCs w:val="32"/>
          <w:lang w:val="zh-CN"/>
        </w:rPr>
        <w:t>万元</w:t>
      </w:r>
      <w:r>
        <w:rPr>
          <w:rFonts w:hint="eastAsia" w:ascii="仿宋_GB2312" w:hAnsi="黑体" w:eastAsia="仿宋_GB2312" w:cs="黑体"/>
          <w:sz w:val="32"/>
          <w:szCs w:val="32"/>
        </w:rPr>
        <w:t>；其中当年财政拨款收入：</w:t>
      </w:r>
      <w:r>
        <w:rPr>
          <w:rFonts w:hint="eastAsia" w:ascii="仿宋_GB2312" w:hAnsi="黑体" w:eastAsia="仿宋_GB2312" w:cs="黑体"/>
          <w:sz w:val="32"/>
          <w:szCs w:val="32"/>
          <w:lang w:val="en-US" w:eastAsia="zh-CN"/>
        </w:rPr>
        <w:t>547.69</w:t>
      </w:r>
      <w:r>
        <w:rPr>
          <w:rFonts w:hint="eastAsia" w:ascii="仿宋_GB2312" w:hAnsi="黑体" w:eastAsia="仿宋_GB2312" w:cs="黑体"/>
          <w:sz w:val="32"/>
          <w:szCs w:val="32"/>
          <w:lang w:eastAsia="zh-CN"/>
        </w:rPr>
        <w:t>万元</w:t>
      </w:r>
      <w:r>
        <w:rPr>
          <w:rFonts w:hint="eastAsia" w:ascii="仿宋_GB2312" w:hAnsi="黑体" w:eastAsia="仿宋_GB2312" w:cs="黑体"/>
          <w:sz w:val="32"/>
          <w:szCs w:val="32"/>
        </w:rPr>
        <w:t>，占总收入</w:t>
      </w:r>
      <w:r>
        <w:rPr>
          <w:rFonts w:hint="eastAsia" w:ascii="仿宋_GB2312" w:hAnsi="黑体" w:eastAsia="仿宋_GB2312" w:cs="黑体"/>
          <w:sz w:val="32"/>
          <w:szCs w:val="32"/>
          <w:lang w:val="en-US" w:eastAsia="zh-CN"/>
        </w:rPr>
        <w:t>92</w:t>
      </w:r>
      <w:r>
        <w:rPr>
          <w:rFonts w:hint="eastAsia" w:ascii="仿宋_GB2312" w:hAnsi="黑体" w:eastAsia="仿宋_GB2312" w:cs="黑体"/>
          <w:sz w:val="32"/>
          <w:szCs w:val="32"/>
        </w:rPr>
        <w:t>%，上年结转</w:t>
      </w:r>
      <w:r>
        <w:rPr>
          <w:rFonts w:hint="eastAsia" w:ascii="仿宋_GB2312" w:hAnsi="黑体" w:eastAsia="仿宋_GB2312" w:cs="黑体"/>
          <w:sz w:val="32"/>
          <w:szCs w:val="32"/>
          <w:lang w:val="en-US" w:eastAsia="zh-CN"/>
        </w:rPr>
        <w:t>49.84</w:t>
      </w:r>
      <w:r>
        <w:rPr>
          <w:rFonts w:hint="eastAsia" w:ascii="仿宋_GB2312" w:hAnsi="黑体" w:eastAsia="仿宋_GB2312" w:cs="黑体"/>
          <w:sz w:val="32"/>
          <w:szCs w:val="32"/>
          <w:lang w:eastAsia="zh-CN"/>
        </w:rPr>
        <w:t>万元</w:t>
      </w:r>
      <w:r>
        <w:rPr>
          <w:rFonts w:hint="eastAsia" w:ascii="仿宋_GB2312"/>
          <w:sz w:val="30"/>
          <w:szCs w:val="30"/>
        </w:rPr>
        <w:t>；</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2018年度部门财政资金总支出</w:t>
      </w:r>
      <w:r>
        <w:rPr>
          <w:rFonts w:hint="eastAsia" w:ascii="仿宋_GB2312" w:hAnsi="仿宋" w:eastAsia="仿宋_GB2312" w:cs="仿宋_GB2312"/>
          <w:sz w:val="32"/>
          <w:szCs w:val="32"/>
          <w:lang w:val="en-US" w:eastAsia="zh-CN"/>
        </w:rPr>
        <w:t>597.53</w:t>
      </w:r>
      <w:r>
        <w:rPr>
          <w:rFonts w:hint="eastAsia" w:ascii="仿宋_GB2312" w:hAnsi="仿宋" w:eastAsia="仿宋_GB2312" w:cs="仿宋_GB2312"/>
          <w:sz w:val="32"/>
          <w:szCs w:val="32"/>
          <w:lang w:eastAsia="zh-CN"/>
        </w:rPr>
        <w:t>万元</w:t>
      </w:r>
      <w:r>
        <w:rPr>
          <w:rFonts w:hint="eastAsia" w:ascii="仿宋_GB2312" w:hAnsi="仿宋" w:eastAsia="仿宋_GB2312" w:cs="仿宋_GB2312"/>
          <w:sz w:val="32"/>
          <w:szCs w:val="32"/>
        </w:rPr>
        <w:t>（其中基本支出</w:t>
      </w:r>
      <w:r>
        <w:rPr>
          <w:rFonts w:hint="eastAsia" w:ascii="仿宋_GB2312" w:hAnsi="仿宋" w:eastAsia="仿宋_GB2312" w:cs="仿宋_GB2312"/>
          <w:sz w:val="32"/>
          <w:szCs w:val="32"/>
          <w:lang w:val="en-US" w:eastAsia="zh-CN"/>
        </w:rPr>
        <w:t>423.33</w:t>
      </w:r>
      <w:r>
        <w:rPr>
          <w:rFonts w:hint="eastAsia" w:ascii="仿宋_GB2312" w:hAnsi="仿宋" w:eastAsia="仿宋_GB2312" w:cs="仿宋_GB2312"/>
          <w:sz w:val="32"/>
          <w:szCs w:val="32"/>
          <w:lang w:eastAsia="zh-CN"/>
        </w:rPr>
        <w:t>万元</w:t>
      </w:r>
      <w:r>
        <w:rPr>
          <w:rFonts w:hint="eastAsia" w:ascii="仿宋_GB2312" w:hAnsi="仿宋" w:eastAsia="仿宋_GB2312" w:cs="仿宋_GB2312"/>
          <w:sz w:val="32"/>
          <w:szCs w:val="32"/>
        </w:rPr>
        <w:t>、项目支出174</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19</w:t>
      </w:r>
      <w:r>
        <w:rPr>
          <w:rFonts w:hint="eastAsia" w:ascii="仿宋_GB2312" w:hAnsi="仿宋" w:eastAsia="仿宋_GB2312" w:cs="仿宋_GB2312"/>
          <w:sz w:val="32"/>
          <w:szCs w:val="32"/>
          <w:lang w:eastAsia="zh-CN"/>
        </w:rPr>
        <w:t>万元</w:t>
      </w:r>
      <w:r>
        <w:rPr>
          <w:rFonts w:hint="eastAsia" w:ascii="仿宋_GB2312" w:hAnsi="仿宋" w:eastAsia="仿宋_GB2312" w:cs="仿宋_GB2312"/>
          <w:sz w:val="32"/>
          <w:szCs w:val="32"/>
        </w:rPr>
        <w:t>）具体为工资福利支出</w:t>
      </w:r>
      <w:r>
        <w:rPr>
          <w:rFonts w:hint="eastAsia" w:ascii="仿宋_GB2312" w:hAnsi="仿宋" w:eastAsia="仿宋_GB2312" w:cs="仿宋_GB2312"/>
          <w:sz w:val="32"/>
          <w:szCs w:val="32"/>
          <w:lang w:val="en-US" w:eastAsia="zh-CN"/>
        </w:rPr>
        <w:t>62.4</w:t>
      </w:r>
      <w:r>
        <w:rPr>
          <w:rFonts w:hint="eastAsia" w:ascii="仿宋_GB2312" w:hAnsi="仿宋" w:eastAsia="仿宋_GB2312" w:cs="仿宋_GB2312"/>
          <w:sz w:val="32"/>
          <w:szCs w:val="32"/>
          <w:lang w:eastAsia="zh-CN"/>
        </w:rPr>
        <w:t>万元</w:t>
      </w:r>
      <w:r>
        <w:rPr>
          <w:rFonts w:hint="eastAsia" w:ascii="仿宋_GB2312" w:hAnsi="仿宋" w:eastAsia="仿宋_GB2312" w:cs="仿宋_GB2312"/>
          <w:sz w:val="32"/>
          <w:szCs w:val="32"/>
        </w:rPr>
        <w:t>，占总支出</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商品服务支出</w:t>
      </w:r>
      <w:r>
        <w:rPr>
          <w:rFonts w:hint="eastAsia" w:ascii="仿宋_GB2312" w:hAnsi="仿宋" w:eastAsia="仿宋_GB2312" w:cs="仿宋_GB2312"/>
          <w:sz w:val="32"/>
          <w:szCs w:val="32"/>
          <w:lang w:val="en-US" w:eastAsia="zh-CN"/>
        </w:rPr>
        <w:t>197.68</w:t>
      </w:r>
      <w:r>
        <w:rPr>
          <w:rFonts w:hint="eastAsia" w:ascii="仿宋_GB2312" w:hAnsi="仿宋" w:eastAsia="仿宋_GB2312" w:cs="仿宋_GB2312"/>
          <w:sz w:val="32"/>
          <w:szCs w:val="32"/>
          <w:lang w:eastAsia="zh-CN"/>
        </w:rPr>
        <w:t>万元</w:t>
      </w:r>
      <w:r>
        <w:rPr>
          <w:rFonts w:hint="eastAsia" w:ascii="仿宋_GB2312" w:hAnsi="仿宋" w:eastAsia="仿宋_GB2312" w:cs="仿宋_GB2312"/>
          <w:sz w:val="32"/>
          <w:szCs w:val="32"/>
        </w:rPr>
        <w:t>，占总支出</w:t>
      </w:r>
      <w:r>
        <w:rPr>
          <w:rFonts w:hint="eastAsia" w:ascii="仿宋_GB2312" w:hAnsi="仿宋" w:eastAsia="仿宋_GB2312" w:cs="仿宋_GB2312"/>
          <w:sz w:val="32"/>
          <w:szCs w:val="32"/>
          <w:lang w:val="en-US" w:eastAsia="zh-CN"/>
        </w:rPr>
        <w:t>33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资本性支出</w:t>
      </w:r>
      <w:r>
        <w:rPr>
          <w:rFonts w:hint="eastAsia" w:ascii="仿宋_GB2312" w:hAnsi="仿宋" w:eastAsia="仿宋_GB2312" w:cs="仿宋_GB2312"/>
          <w:sz w:val="32"/>
          <w:szCs w:val="32"/>
          <w:lang w:val="en-US" w:eastAsia="zh-CN"/>
        </w:rPr>
        <w:t>337.31</w:t>
      </w:r>
      <w:r>
        <w:rPr>
          <w:rFonts w:hint="eastAsia" w:ascii="仿宋_GB2312" w:hAnsi="仿宋" w:eastAsia="仿宋_GB2312" w:cs="仿宋_GB2312"/>
          <w:sz w:val="32"/>
          <w:szCs w:val="32"/>
          <w:lang w:eastAsia="zh-CN"/>
        </w:rPr>
        <w:t>万元</w:t>
      </w:r>
      <w:r>
        <w:rPr>
          <w:rFonts w:hint="eastAsia" w:ascii="仿宋_GB2312" w:hAnsi="仿宋" w:eastAsia="仿宋_GB2312" w:cs="仿宋_GB2312"/>
          <w:sz w:val="32"/>
          <w:szCs w:val="32"/>
        </w:rPr>
        <w:t>，占总支出</w:t>
      </w:r>
      <w:r>
        <w:rPr>
          <w:rFonts w:hint="eastAsia" w:ascii="仿宋_GB2312" w:hAnsi="仿宋" w:eastAsia="仿宋_GB2312" w:cs="仿宋_GB2312"/>
          <w:sz w:val="32"/>
          <w:szCs w:val="32"/>
          <w:lang w:val="en-US" w:eastAsia="zh-CN"/>
        </w:rPr>
        <w:t>57</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p>
    <w:p>
      <w:pPr>
        <w:numPr>
          <w:ilvl w:val="0"/>
          <w:numId w:val="3"/>
        </w:num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部门整体预算绩效管理情况</w:t>
      </w:r>
    </w:p>
    <w:p>
      <w:pPr>
        <w:numPr>
          <w:ilvl w:val="0"/>
          <w:numId w:val="0"/>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w:t>
      </w:r>
      <w:r>
        <w:rPr>
          <w:rFonts w:hint="eastAsia" w:ascii="仿宋_GB2312" w:hAnsi="仿宋" w:eastAsia="仿宋_GB2312" w:cs="仿宋_GB2312"/>
          <w:sz w:val="32"/>
          <w:szCs w:val="32"/>
          <w:lang w:val="en-US" w:eastAsia="zh-CN"/>
        </w:rPr>
        <w:t>机关事务管理局</w:t>
      </w:r>
      <w:r>
        <w:rPr>
          <w:rFonts w:hint="eastAsia" w:ascii="仿宋_GB2312" w:hAnsi="仿宋" w:eastAsia="仿宋_GB2312" w:cs="仿宋_GB2312"/>
          <w:sz w:val="32"/>
          <w:szCs w:val="32"/>
          <w:lang w:val="zh-CN"/>
        </w:rPr>
        <w:t>预算编制</w:t>
      </w:r>
      <w:r>
        <w:rPr>
          <w:rFonts w:hint="eastAsia" w:ascii="仿宋_GB2312" w:hAnsi="仿宋" w:eastAsia="仿宋_GB2312" w:cs="仿宋_GB2312"/>
          <w:sz w:val="32"/>
          <w:szCs w:val="32"/>
        </w:rPr>
        <w:t>严格按照《预算法》来编制，编制较为及时，准确，确保预算编制的全面性和科学性。</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rPr>
        <w:t>财政资金均实行财政统一管理，专项资金实行专项管理、专款专用，单独核算。在项目实施过程中，严格按专项资金管理办法和各项财务管理制度执行。资金拨入和支出会计核算及时、合规合法，审批流程齐全、附件资料完整，我所根据实际情况制定了适用于我局的内控制度，日常的支出严格按照内控制度执行。</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从自评情况来看，我所部门支出绩效水平较高，整体上完成了年初设定的绩效目标，保障了我所工作的正常运转，促进了我所的事业发展，充分发挥了财政资金的经济效益和社会效益。</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从绩效评价看，部门支出预算和绩效评价工作还存在部分项目无法用量化指标来进行考评的问题。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建议加强对绩效评价工作的培训和指导，进一步优化项目绩效考核指标体系，做到合理性与可操作性的有机统一。</w:t>
      </w: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BB2C95"/>
    <w:multiLevelType w:val="singleLevel"/>
    <w:tmpl w:val="C0BB2C95"/>
    <w:lvl w:ilvl="0" w:tentative="0">
      <w:start w:val="3"/>
      <w:numFmt w:val="chineseCounting"/>
      <w:suff w:val="nothing"/>
      <w:lvlText w:val="（%1）"/>
      <w:lvlJc w:val="left"/>
      <w:rPr>
        <w:rFonts w:hint="eastAsia"/>
      </w:rPr>
    </w:lvl>
  </w:abstractNum>
  <w:abstractNum w:abstractNumId="1">
    <w:nsid w:val="44C2CADC"/>
    <w:multiLevelType w:val="singleLevel"/>
    <w:tmpl w:val="44C2CADC"/>
    <w:lvl w:ilvl="0" w:tentative="0">
      <w:start w:val="2"/>
      <w:numFmt w:val="chineseCounting"/>
      <w:suff w:val="nothing"/>
      <w:lvlText w:val="（%1）"/>
      <w:lvlJc w:val="left"/>
      <w:rPr>
        <w:rFonts w:hint="eastAsia"/>
      </w:rPr>
    </w:lvl>
  </w:abstractNum>
  <w:abstractNum w:abstractNumId="2">
    <w:nsid w:val="5CC95646"/>
    <w:multiLevelType w:val="singleLevel"/>
    <w:tmpl w:val="5CC95646"/>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22237E36"/>
    <w:rsid w:val="40532962"/>
    <w:rsid w:val="4B463743"/>
    <w:rsid w:val="542A181B"/>
    <w:rsid w:val="69456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6</TotalTime>
  <ScaleCrop>false</ScaleCrop>
  <LinksUpToDate>false</LinksUpToDate>
  <CharactersWithSpaces>359</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badomphil</cp:lastModifiedBy>
  <dcterms:modified xsi:type="dcterms:W3CDTF">2019-09-20T08:19:10Z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