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黑水县公务服务中心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本单位下属二级预算单位0个，其中行政单位0个，参照公务员管理事业单位0个，其他事业单位0个。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黑水县公务服务中心为正科级公益一类事业单位，经费来源为财政全额预算，内设办公室、车辆管理股、资产和节能管理股、公务接待股四个股室，主要职能职责是：全面贯彻落实党中央、国务院各项政策方针，主动对接上级主管部门，完成机关事务管理相关工作；围绕县委县政府重大决策部署，坚持管理与服务并重，统筹做好公务接待、节能降耗、一般公务用车及公房（周转房）管理等工作，保障党政机关高效运行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截止2019年12月在职5人 ，无退休。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1．收入与预算对比分析：本单位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_GB2312"/>
          <w:sz w:val="32"/>
          <w:szCs w:val="32"/>
        </w:rPr>
        <w:t>年年初预算安排收入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65.9</w:t>
      </w:r>
      <w:r>
        <w:rPr>
          <w:rFonts w:hint="eastAsia" w:ascii="仿宋_GB2312" w:hAnsi="仿宋" w:eastAsia="仿宋_GB2312" w:cs="仿宋_GB2312"/>
          <w:sz w:val="32"/>
          <w:szCs w:val="32"/>
        </w:rPr>
        <w:t>万元，本年实际收入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365.8</w:t>
      </w:r>
      <w:r>
        <w:rPr>
          <w:rFonts w:hint="eastAsia" w:ascii="仿宋_GB2312" w:hAnsi="仿宋" w:eastAsia="仿宋_GB2312" w:cs="仿宋_GB2312"/>
          <w:sz w:val="32"/>
          <w:szCs w:val="32"/>
        </w:rPr>
        <w:t>万元，本年实际收入与年初预算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299.9</w:t>
      </w:r>
      <w:r>
        <w:rPr>
          <w:rFonts w:hint="eastAsia" w:ascii="仿宋_GB2312" w:hAnsi="仿宋" w:eastAsia="仿宋_GB2312" w:cs="仿宋_GB2312"/>
          <w:sz w:val="32"/>
          <w:szCs w:val="32"/>
        </w:rPr>
        <w:t>万元，差异原因是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接待费调整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2．本年收入与上年收入的对比分析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本年度实际收入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365.8</w:t>
      </w:r>
      <w:r>
        <w:rPr>
          <w:rFonts w:hint="eastAsia" w:ascii="仿宋_GB2312" w:hAnsi="仿宋" w:eastAsia="仿宋_GB2312" w:cs="仿宋_GB2312"/>
          <w:sz w:val="32"/>
          <w:szCs w:val="32"/>
        </w:rPr>
        <w:t>万元，比上年度收入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597.53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231.73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幅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63.3</w:t>
      </w:r>
      <w:r>
        <w:rPr>
          <w:rFonts w:hint="eastAsia" w:ascii="仿宋_GB2312" w:hAnsi="仿宋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3．本年收入结构分析：本年收入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365.8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365.8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万元，占本年收入的100%。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630.4</w:t>
      </w:r>
      <w:r>
        <w:rPr>
          <w:rFonts w:hint="eastAsia" w:ascii="仿宋_GB2312" w:hAnsi="仿宋" w:eastAsia="仿宋_GB2312" w:cs="仿宋_GB2312"/>
          <w:sz w:val="32"/>
          <w:szCs w:val="32"/>
        </w:rPr>
        <w:t>万元，按资金来源分析：其中财政拨款支出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630.4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万元，占本年总支出的100%，按支出性质分析：基本支出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443.3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万元，占本年总支出的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70.3</w:t>
      </w:r>
      <w:r>
        <w:rPr>
          <w:rFonts w:hint="eastAsia" w:ascii="仿宋_GB2312" w:hAnsi="仿宋" w:eastAsia="仿宋_GB2312" w:cs="仿宋_GB2312"/>
          <w:sz w:val="32"/>
          <w:szCs w:val="32"/>
        </w:rPr>
        <w:t>%，项目支出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187.1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万元，占本年总支出的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29.7</w:t>
      </w:r>
      <w:r>
        <w:rPr>
          <w:rFonts w:hint="eastAsia" w:ascii="仿宋_GB2312" w:hAnsi="仿宋" w:eastAsia="仿宋_GB2312" w:cs="仿宋_GB2312"/>
          <w:sz w:val="32"/>
          <w:szCs w:val="32"/>
        </w:rPr>
        <w:t>%；按支出经济分类：工资福利支出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81.6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12.9</w:t>
      </w:r>
      <w:r>
        <w:rPr>
          <w:rFonts w:hint="eastAsia" w:ascii="仿宋_GB2312" w:hAnsi="仿宋" w:eastAsia="仿宋_GB2312" w:cs="仿宋_GB2312"/>
          <w:sz w:val="32"/>
          <w:szCs w:val="32"/>
        </w:rPr>
        <w:t>%，商品和服务支出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548.9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万元，占本年支出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87.1</w:t>
      </w:r>
      <w:r>
        <w:rPr>
          <w:rFonts w:hint="eastAsia"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预算编制</w:t>
      </w:r>
      <w:r>
        <w:rPr>
          <w:rFonts w:hint="eastAsia" w:ascii="仿宋_GB2312" w:hAnsi="仿宋" w:eastAsia="仿宋_GB2312" w:cs="仿宋_GB2312"/>
          <w:sz w:val="32"/>
          <w:szCs w:val="32"/>
        </w:rPr>
        <w:t>严格按照《预算法》来编制，编制较为及时，准确，确保预算编制的全面性和科学性。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资产管理做到正确核算，加强固定资产购置、使用及保管。账务及各类报表公开、准确如实反映，做到信息及时公开等。各项规章制度健全，制度执行严格合规。会计核算符合相关财务管理规定。资金管理方面，各项资金均实行专款专用，严格依法依规执行资金支付依据和开支标准,严格执行政府采购制度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我单位预算内经费实行“收支两条线”管理，设立了专门的出纳和会计人员，在报账处理上严格按照财经纪律制度等要求实施报账制。预算内经费我单位按照有关法律法规和财务制度严格执行，经费组织决算及报表的审核、报送与财政部门逐一核对，确保经费预决算的严肃性、准确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预算支出在保障本局工作运转、履行职能职责上整体情况良好。具体有：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color w:val="000000"/>
          <w:sz w:val="32"/>
          <w:szCs w:val="32"/>
        </w:rPr>
        <w:t>年度支出绩效较好，预算编制比较精确、合理;为认真落实中央“八项”规定等厉行节约，反对浪费规定要求，压缩了部分培训费及一般性支出;动态优化了年度预算安排，保障了在经费压缩情况下的高效运转;各项目经费的支出有力保障了办公设备购置等项目所需，推动了改革和各类便民措施的实行;提高了管理工作的规范化、信息化水平;强化机关公用经费及日常运行经费管理，对于各科室日常公用经费按照相关政策进行管理，对于办公日常运行维护费用加强审核力度，公用经费及水、电等日常运行经费均有一定下降。</w:t>
      </w: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 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结合评价得分评价结果为良好。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（二）存在问题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　  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落实属地管理责任还不到位，重检查，轻落实，督促整改还不够到位。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（三）改进建议</w:t>
      </w: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widowControl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>
      <w:pPr>
        <w:widowControl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bookmarkStart w:id="1" w:name="_GoBack"/>
      <w:bookmarkEnd w:id="1"/>
    </w:p>
    <w:p>
      <w:pPr>
        <w:widowControl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黑水县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公务服务中心</w:t>
      </w:r>
    </w:p>
    <w:p>
      <w:pPr>
        <w:widowControl/>
        <w:ind w:firstLine="5446" w:firstLineChars="1702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2019年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widowControl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904B3"/>
    <w:multiLevelType w:val="singleLevel"/>
    <w:tmpl w:val="B45904B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E3C334"/>
    <w:multiLevelType w:val="singleLevel"/>
    <w:tmpl w:val="63E3C3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0C807EFD"/>
    <w:rsid w:val="1B2659E3"/>
    <w:rsid w:val="296D1160"/>
    <w:rsid w:val="34242C63"/>
    <w:rsid w:val="74C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BadOmPHil1388649174</cp:lastModifiedBy>
  <dcterms:modified xsi:type="dcterms:W3CDTF">2020-08-16T04:41:53Z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