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80" w:lineRule="atLeast"/>
        <w:ind w:firstLine="60"/>
        <w:jc w:val="center"/>
        <w:rPr>
          <w:rFonts w:hint="eastAsia" w:ascii="方正小标宋简体" w:hAnsi="宋体" w:eastAsia="方正小标宋简体" w:cs="宋体"/>
          <w:kern w:val="0"/>
          <w:sz w:val="36"/>
          <w:szCs w:val="36"/>
          <w:lang w:val="en-US" w:eastAsia="zh-CN"/>
        </w:rPr>
      </w:pP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黑水县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  <w:lang w:val="en-US" w:eastAsia="zh-CN"/>
        </w:rPr>
        <w:t>公务服务中心</w:t>
      </w:r>
    </w:p>
    <w:p>
      <w:pPr>
        <w:widowControl/>
        <w:spacing w:line="480" w:lineRule="atLeast"/>
        <w:ind w:firstLine="60"/>
        <w:jc w:val="center"/>
        <w:rPr>
          <w:rFonts w:ascii="方正小标宋简体" w:hAnsi="宋体" w:eastAsia="方正小标宋简体" w:cs="宋体"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关于“三公”经费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  <w:lang w:eastAsia="zh-CN"/>
        </w:rPr>
        <w:t>2020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年决算情况说明</w:t>
      </w:r>
    </w:p>
    <w:p>
      <w:pPr>
        <w:widowControl/>
        <w:spacing w:line="480" w:lineRule="atLeast"/>
        <w:ind w:firstLine="6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480" w:lineRule="atLeast"/>
        <w:ind w:firstLine="697" w:firstLineChars="218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我单位 “三公”经费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年决算情况如下：</w:t>
      </w:r>
    </w:p>
    <w:p>
      <w:pPr>
        <w:widowControl/>
        <w:spacing w:line="480" w:lineRule="atLeast"/>
        <w:ind w:firstLine="60"/>
        <w:rPr>
          <w:rFonts w:ascii="黑体" w:hAnsi="宋体" w:eastAsia="黑体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t>一、因公出国（境）经费</w:t>
      </w:r>
    </w:p>
    <w:p>
      <w:pPr>
        <w:widowControl/>
        <w:spacing w:line="480" w:lineRule="atLeast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20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20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年决算支出0万元,较上年度决算持平。</w:t>
      </w:r>
    </w:p>
    <w:p>
      <w:pPr>
        <w:widowControl/>
        <w:spacing w:line="480" w:lineRule="atLeast"/>
        <w:ind w:firstLine="60"/>
        <w:rPr>
          <w:rFonts w:ascii="黑体" w:hAnsi="宋体" w:eastAsia="黑体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t>二、公务接待费</w:t>
      </w:r>
    </w:p>
    <w:p>
      <w:pPr>
        <w:widowControl/>
        <w:spacing w:line="480" w:lineRule="atLeast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年决算支出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91.28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万元，较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2019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年决算（减少），接待批次较上年减少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。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其中：国内公务接待费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86.70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 xml:space="preserve">万元，共计 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149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 xml:space="preserve">批次共 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1734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人；国（境）外公务接待费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元。</w:t>
      </w:r>
    </w:p>
    <w:p>
      <w:pPr>
        <w:widowControl/>
        <w:spacing w:line="480" w:lineRule="atLeast"/>
        <w:ind w:firstLine="60"/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t>三、公务用车购置及运行维护费</w:t>
      </w: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br w:type="textWrapping"/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年决算支出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4.58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。</w:t>
      </w:r>
    </w:p>
    <w:p>
      <w:pPr>
        <w:widowControl/>
        <w:spacing w:line="480" w:lineRule="atLeast"/>
        <w:ind w:firstLine="6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 单位共有公务用车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辆，其中：越野车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辆，轿车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辆。</w:t>
      </w:r>
    </w:p>
    <w:p>
      <w:pPr>
        <w:widowControl/>
        <w:spacing w:line="480" w:lineRule="atLeast"/>
        <w:ind w:firstLine="640" w:firstLineChars="20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年安排公务用车运行维护费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4.58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万元。主要用于</w:t>
      </w:r>
      <w:r>
        <w:rPr>
          <w:rFonts w:hint="eastAsia" w:ascii="仿宋_GB2312" w:eastAsia="仿宋_GB2312"/>
          <w:color w:val="000000"/>
          <w:sz w:val="32"/>
          <w:szCs w:val="32"/>
        </w:rPr>
        <w:t>公务用车燃料费、维修费、过路过桥费、保险费等支出。</w:t>
      </w:r>
    </w:p>
    <w:p>
      <w:pPr>
        <w:widowControl/>
        <w:spacing w:line="480" w:lineRule="atLeast"/>
        <w:ind w:firstLine="640" w:firstLineChars="20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年安排公务用车购置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辆，购置费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万元。</w:t>
      </w:r>
    </w:p>
    <w:p>
      <w:pPr>
        <w:widowControl/>
        <w:spacing w:line="240" w:lineRule="atLeast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ind w:firstLine="60"/>
        <w:jc w:val="center"/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ind w:firstLine="60"/>
        <w:jc w:val="center"/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黑水县公务服务中心</w:t>
      </w:r>
      <w:bookmarkStart w:id="0" w:name="_GoBack"/>
      <w:bookmarkEnd w:id="0"/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财政拨款“三公”经费</w:t>
      </w: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年决算情况表</w:t>
      </w: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333333"/>
          <w:kern w:val="0"/>
          <w:sz w:val="28"/>
          <w:szCs w:val="28"/>
        </w:rPr>
        <w:t xml:space="preserve">                                         单位：万元</w:t>
      </w:r>
    </w:p>
    <w:tbl>
      <w:tblPr>
        <w:tblStyle w:val="5"/>
        <w:tblW w:w="8424" w:type="dxa"/>
        <w:tblCellSpacing w:w="7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4582"/>
        <w:gridCol w:w="3842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697" w:hRule="exact"/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　　　　项       目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2020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年决算（万元）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因公出国（境）经费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公务接待费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86.7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公务用车购置及运行维护费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4.58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　其中：购置经费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　　　　运行维护费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4.58</w:t>
            </w:r>
          </w:p>
        </w:tc>
      </w:tr>
    </w:tbl>
    <w:p/>
    <w:p/>
    <w:p/>
    <w:p/>
    <w:p/>
    <w:p/>
    <w:p/>
    <w:p/>
    <w:p/>
    <w:p/>
    <w:p>
      <w:pPr>
        <w:spacing w:line="600" w:lineRule="exact"/>
        <w:jc w:val="left"/>
        <w:outlineLvl w:val="0"/>
        <w:rPr>
          <w:rStyle w:val="9"/>
          <w:rFonts w:ascii="仿宋_GB2312" w:eastAsia="仿宋_GB2312"/>
          <w:sz w:val="32"/>
          <w:szCs w:val="32"/>
        </w:rPr>
      </w:pPr>
    </w:p>
    <w:p>
      <w:pPr>
        <w:spacing w:line="600" w:lineRule="exact"/>
        <w:jc w:val="left"/>
        <w:outlineLvl w:val="0"/>
        <w:rPr>
          <w:rStyle w:val="9"/>
          <w:rFonts w:ascii="仿宋_GB2312" w:eastAsia="仿宋_GB2312"/>
          <w:sz w:val="32"/>
          <w:szCs w:val="32"/>
        </w:rPr>
      </w:pPr>
    </w:p>
    <w:p>
      <w:pPr>
        <w:spacing w:line="600" w:lineRule="exact"/>
        <w:jc w:val="left"/>
        <w:outlineLvl w:val="0"/>
        <w:rPr>
          <w:rStyle w:val="9"/>
          <w:rFonts w:ascii="仿宋_GB2312" w:eastAsia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F1AE8"/>
    <w:rsid w:val="003F1AE8"/>
    <w:rsid w:val="007153A1"/>
    <w:rsid w:val="14972EFE"/>
    <w:rsid w:val="1D0B2F60"/>
    <w:rsid w:val="24D3588C"/>
    <w:rsid w:val="66090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标题 1 Char"/>
    <w:basedOn w:val="6"/>
    <w:link w:val="2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2</Pages>
  <Words>79</Words>
  <Characters>451</Characters>
  <Lines>3</Lines>
  <Paragraphs>1</Paragraphs>
  <TotalTime>1</TotalTime>
  <ScaleCrop>false</ScaleCrop>
  <LinksUpToDate>false</LinksUpToDate>
  <CharactersWithSpaces>529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2019-08-19T01:06:00Z</dcterms:created>
  <dc:creator>Sky123.Org</dc:creator>
  <cp:lastModifiedBy>Administrator</cp:lastModifiedBy>
  <dcterms:modified xsi:type="dcterms:W3CDTF">2021-08-11T03:29:52Z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69225902EE994161816480C034312613</vt:lpwstr>
  </property>
</Properties>
</file>