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仿宋_GB2312" w:hAnsi="黑体" w:eastAsia="仿宋_GB2312" w:cs="方正小标宋简体"/>
          <w:b/>
          <w:color w:val="auto"/>
          <w:sz w:val="32"/>
          <w:szCs w:val="32"/>
        </w:rPr>
      </w:pPr>
      <w:bookmarkStart w:id="1" w:name="_GoBack"/>
      <w:bookmarkStart w:id="0" w:name="_Toc15396616"/>
      <w:r>
        <w:rPr>
          <w:rFonts w:hint="eastAsia" w:ascii="仿宋_GB2312" w:hAnsi="黑体" w:eastAsia="仿宋_GB2312" w:cs="方正小标宋简体"/>
          <w:b/>
          <w:color w:val="auto"/>
          <w:sz w:val="32"/>
          <w:szCs w:val="32"/>
        </w:rPr>
        <w:t>黑水县公务服务中心202</w:t>
      </w:r>
      <w:r>
        <w:rPr>
          <w:rFonts w:hint="eastAsia" w:ascii="仿宋_GB2312" w:hAnsi="黑体" w:eastAsia="仿宋_GB2312" w:cs="方正小标宋简体"/>
          <w:b/>
          <w:color w:val="auto"/>
          <w:sz w:val="32"/>
          <w:szCs w:val="32"/>
          <w:lang w:val="en-US" w:eastAsia="zh-CN"/>
        </w:rPr>
        <w:t>1</w:t>
      </w:r>
      <w:r>
        <w:rPr>
          <w:rFonts w:hint="eastAsia" w:ascii="仿宋_GB2312" w:hAnsi="黑体" w:eastAsia="仿宋_GB2312" w:cs="方正小标宋简体"/>
          <w:b/>
          <w:color w:val="auto"/>
          <w:sz w:val="32"/>
          <w:szCs w:val="32"/>
        </w:rPr>
        <w:t>年部门</w:t>
      </w:r>
    </w:p>
    <w:p>
      <w:pPr>
        <w:spacing w:line="600" w:lineRule="exact"/>
        <w:jc w:val="center"/>
        <w:outlineLvl w:val="0"/>
        <w:rPr>
          <w:rFonts w:ascii="仿宋_GB2312" w:hAnsi="黑体" w:eastAsia="仿宋_GB2312" w:cs="方正小标宋简体"/>
          <w:b/>
          <w:color w:val="auto"/>
          <w:sz w:val="32"/>
          <w:szCs w:val="32"/>
        </w:rPr>
      </w:pPr>
      <w:r>
        <w:rPr>
          <w:rFonts w:hint="eastAsia" w:ascii="仿宋_GB2312" w:hAnsi="黑体" w:eastAsia="仿宋_GB2312" w:cs="方正小标宋简体"/>
          <w:b/>
          <w:color w:val="auto"/>
          <w:sz w:val="32"/>
          <w:szCs w:val="32"/>
        </w:rPr>
        <w:t>整体支出绩效评价报告</w:t>
      </w:r>
      <w:bookmarkEnd w:id="0"/>
    </w:p>
    <w:p>
      <w:pPr>
        <w:spacing w:line="580" w:lineRule="exact"/>
        <w:ind w:firstLine="643" w:firstLineChars="200"/>
        <w:rPr>
          <w:rFonts w:ascii="仿宋_GB2312" w:hAnsi="黑体" w:eastAsia="仿宋_GB2312" w:cs="黑体"/>
          <w:b/>
          <w:color w:val="auto"/>
          <w:sz w:val="32"/>
          <w:szCs w:val="32"/>
        </w:rPr>
      </w:pPr>
    </w:p>
    <w:p>
      <w:pPr>
        <w:spacing w:line="58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一、部门（单位）概况</w:t>
      </w:r>
    </w:p>
    <w:p>
      <w:pPr>
        <w:spacing w:line="58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（一）机构组成。</w:t>
      </w:r>
    </w:p>
    <w:p>
      <w:pPr>
        <w:pStyle w:val="2"/>
        <w:ind w:firstLine="640" w:firstLineChars="200"/>
        <w:rPr>
          <w:rFonts w:hint="eastAsia" w:ascii="仿宋_GB2312" w:hAnsi="仿宋" w:eastAsia="仿宋_GB2312" w:cs="Times New Roman"/>
          <w:b w:val="0"/>
          <w:color w:val="auto"/>
          <w:kern w:val="0"/>
        </w:rPr>
      </w:pPr>
      <w:r>
        <w:rPr>
          <w:rFonts w:hint="eastAsia" w:ascii="仿宋_GB2312" w:hAnsi="仿宋" w:eastAsia="仿宋_GB2312" w:cs="Times New Roman"/>
          <w:b w:val="0"/>
          <w:color w:val="auto"/>
          <w:kern w:val="0"/>
        </w:rPr>
        <w:t>本单位下属二级预算单位0个，其中行政单位0个，参照公务员管理事业单位0个，其他事业单位0个。</w:t>
      </w:r>
    </w:p>
    <w:p>
      <w:pPr>
        <w:pStyle w:val="2"/>
        <w:numPr>
          <w:ilvl w:val="0"/>
          <w:numId w:val="1"/>
        </w:numPr>
        <w:ind w:firstLine="643"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机构职能。</w:t>
      </w:r>
    </w:p>
    <w:p>
      <w:pPr>
        <w:spacing w:line="580" w:lineRule="exact"/>
        <w:ind w:firstLine="640" w:firstLineChars="200"/>
        <w:rPr>
          <w:rFonts w:ascii="仿宋_GB2312" w:hAnsi="仿宋" w:eastAsia="仿宋_GB2312" w:cs="仿宋_GB2312"/>
          <w:color w:val="auto"/>
          <w:sz w:val="32"/>
          <w:szCs w:val="32"/>
        </w:rPr>
      </w:pPr>
      <w:r>
        <w:rPr>
          <w:rFonts w:hint="eastAsia" w:ascii="仿宋_GB2312" w:hAnsi="仿宋" w:eastAsia="仿宋_GB2312"/>
          <w:bCs/>
          <w:color w:val="auto"/>
          <w:kern w:val="0"/>
          <w:sz w:val="32"/>
          <w:szCs w:val="32"/>
        </w:rPr>
        <w:t>黑水县公务服务中心为正科级公益一类事业单位，经费来源为财政全额预算，内设办公室、</w:t>
      </w:r>
      <w:r>
        <w:rPr>
          <w:rFonts w:hint="eastAsia" w:ascii="仿宋_GB2312" w:hAnsi="仿宋" w:eastAsia="仿宋_GB2312"/>
          <w:bCs/>
          <w:color w:val="auto"/>
          <w:kern w:val="0"/>
          <w:sz w:val="32"/>
          <w:szCs w:val="32"/>
          <w:lang w:val="en-US" w:eastAsia="zh-CN"/>
        </w:rPr>
        <w:t>公务服务一股、公务服务二股、公务服务三股</w:t>
      </w:r>
      <w:r>
        <w:rPr>
          <w:rFonts w:hint="eastAsia" w:ascii="仿宋_GB2312" w:hAnsi="仿宋" w:eastAsia="仿宋_GB2312"/>
          <w:bCs/>
          <w:color w:val="auto"/>
          <w:kern w:val="0"/>
          <w:sz w:val="32"/>
          <w:szCs w:val="32"/>
        </w:rPr>
        <w:t>四个股室，主要职能职责是：全面贯彻落实党中央、国务院各项政策方针，主动对接上级主管部门，完成机关事务管理相关工作；围绕县委县政府重大决策部署，坚持管理与服务并重，统筹做好公务接待、节能降耗、一般公务用车及公房（周转房）管理等工作，保障党政机关高效运行。</w:t>
      </w:r>
    </w:p>
    <w:p>
      <w:pPr>
        <w:numPr>
          <w:numId w:val="0"/>
        </w:numPr>
        <w:rPr>
          <w:color w:val="auto"/>
        </w:rPr>
      </w:pPr>
    </w:p>
    <w:p>
      <w:pPr>
        <w:numPr>
          <w:ilvl w:val="0"/>
          <w:numId w:val="1"/>
        </w:numPr>
        <w:spacing w:line="580" w:lineRule="exact"/>
        <w:ind w:left="0" w:leftChars="0"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人员概况。</w:t>
      </w:r>
    </w:p>
    <w:p>
      <w:pPr>
        <w:spacing w:line="58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bCs/>
          <w:color w:val="auto"/>
          <w:kern w:val="0"/>
          <w:sz w:val="32"/>
          <w:szCs w:val="32"/>
        </w:rPr>
        <w:t>截止202</w:t>
      </w:r>
      <w:r>
        <w:rPr>
          <w:rFonts w:hint="eastAsia" w:ascii="仿宋_GB2312" w:hAnsi="仿宋" w:eastAsia="仿宋_GB2312"/>
          <w:bCs/>
          <w:color w:val="auto"/>
          <w:kern w:val="0"/>
          <w:sz w:val="32"/>
          <w:szCs w:val="32"/>
          <w:lang w:val="en-US" w:eastAsia="zh-CN"/>
        </w:rPr>
        <w:t>1</w:t>
      </w:r>
      <w:r>
        <w:rPr>
          <w:rFonts w:hint="eastAsia" w:ascii="仿宋_GB2312" w:hAnsi="仿宋" w:eastAsia="仿宋_GB2312"/>
          <w:bCs/>
          <w:color w:val="auto"/>
          <w:kern w:val="0"/>
          <w:sz w:val="32"/>
          <w:szCs w:val="32"/>
        </w:rPr>
        <w:t>年12月在职</w:t>
      </w:r>
      <w:r>
        <w:rPr>
          <w:rFonts w:hint="eastAsia" w:ascii="仿宋_GB2312" w:hAnsi="仿宋" w:eastAsia="仿宋_GB2312"/>
          <w:bCs/>
          <w:color w:val="auto"/>
          <w:kern w:val="0"/>
          <w:sz w:val="32"/>
          <w:szCs w:val="32"/>
          <w:lang w:val="en-US" w:eastAsia="zh-CN"/>
        </w:rPr>
        <w:t>7</w:t>
      </w:r>
      <w:r>
        <w:rPr>
          <w:rFonts w:hint="eastAsia" w:ascii="仿宋_GB2312" w:hAnsi="仿宋" w:eastAsia="仿宋_GB2312"/>
          <w:bCs/>
          <w:color w:val="auto"/>
          <w:kern w:val="0"/>
          <w:sz w:val="32"/>
          <w:szCs w:val="32"/>
        </w:rPr>
        <w:t>人 ，无退休。</w:t>
      </w:r>
    </w:p>
    <w:p>
      <w:pPr>
        <w:spacing w:line="580" w:lineRule="exact"/>
        <w:ind w:firstLine="960" w:firstLineChars="300"/>
        <w:rPr>
          <w:rFonts w:ascii="仿宋_GB2312" w:hAnsi="黑体" w:eastAsia="仿宋_GB2312" w:cs="黑体"/>
          <w:color w:val="auto"/>
          <w:sz w:val="32"/>
          <w:szCs w:val="32"/>
        </w:rPr>
      </w:pPr>
      <w:r>
        <w:rPr>
          <w:rFonts w:hint="eastAsia" w:ascii="仿宋_GB2312" w:hAnsi="黑体" w:eastAsia="仿宋_GB2312" w:cs="黑体"/>
          <w:color w:val="auto"/>
          <w:sz w:val="32"/>
          <w:szCs w:val="32"/>
        </w:rPr>
        <w:t>二、部门财政资金收支情况</w:t>
      </w:r>
    </w:p>
    <w:p>
      <w:pPr>
        <w:spacing w:line="58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（一）部门财政资金收入情况。</w:t>
      </w:r>
    </w:p>
    <w:p>
      <w:pPr>
        <w:ind w:firstLine="600" w:firstLineChars="200"/>
        <w:rPr>
          <w:rFonts w:hint="eastAsia" w:ascii="仿宋_GB2312" w:hAnsi="仿宋" w:eastAsia="仿宋_GB2312" w:cs="仿宋_GB2312"/>
          <w:color w:val="auto"/>
          <w:sz w:val="32"/>
          <w:szCs w:val="32"/>
          <w:lang w:eastAsia="zh-CN"/>
        </w:rPr>
      </w:pPr>
      <w:r>
        <w:rPr>
          <w:rFonts w:hint="eastAsia" w:ascii="仿宋_GB2312" w:hAnsi="宋体" w:cs="宋体"/>
          <w:color w:val="auto"/>
          <w:kern w:val="0"/>
          <w:sz w:val="30"/>
          <w:szCs w:val="30"/>
        </w:rPr>
        <w:t>202</w:t>
      </w:r>
      <w:r>
        <w:rPr>
          <w:rFonts w:hint="eastAsia" w:ascii="仿宋_GB2312" w:hAnsi="宋体" w:cs="宋体"/>
          <w:color w:val="auto"/>
          <w:kern w:val="0"/>
          <w:sz w:val="30"/>
          <w:szCs w:val="30"/>
          <w:lang w:val="en-US" w:eastAsia="zh-CN"/>
        </w:rPr>
        <w:t>1</w:t>
      </w:r>
      <w:r>
        <w:rPr>
          <w:rFonts w:hint="eastAsia" w:ascii="仿宋_GB2312" w:hAnsi="宋体" w:cs="宋体"/>
          <w:color w:val="auto"/>
          <w:kern w:val="0"/>
          <w:sz w:val="30"/>
          <w:szCs w:val="30"/>
        </w:rPr>
        <w:t>年度</w:t>
      </w:r>
      <w:r>
        <w:rPr>
          <w:rFonts w:hint="eastAsia" w:ascii="仿宋_GB2312" w:hAnsi="宋体" w:cs="宋体"/>
          <w:color w:val="auto"/>
          <w:kern w:val="0"/>
          <w:sz w:val="30"/>
          <w:szCs w:val="30"/>
          <w:lang w:val="zh-CN"/>
        </w:rPr>
        <w:t>部门财政资金总收入</w:t>
      </w:r>
      <w:r>
        <w:rPr>
          <w:rFonts w:hint="eastAsia" w:ascii="仿宋_GB2312" w:hAnsi="仿宋" w:eastAsia="仿宋_GB2312" w:cs="仿宋_GB2312"/>
          <w:color w:val="auto"/>
          <w:sz w:val="32"/>
          <w:szCs w:val="32"/>
          <w:lang w:val="en-US" w:eastAsia="zh-CN"/>
        </w:rPr>
        <w:t>667.9</w:t>
      </w:r>
      <w:r>
        <w:rPr>
          <w:rFonts w:hint="eastAsia" w:ascii="仿宋_GB2312" w:hAnsi="仿宋" w:eastAsia="仿宋_GB2312" w:cs="仿宋_GB2312"/>
          <w:color w:val="auto"/>
          <w:sz w:val="32"/>
          <w:szCs w:val="32"/>
        </w:rPr>
        <w:t>万元；其中当年财政拨款收入：</w:t>
      </w:r>
      <w:r>
        <w:rPr>
          <w:rFonts w:hint="eastAsia" w:ascii="仿宋_GB2312" w:hAnsi="仿宋" w:eastAsia="仿宋_GB2312" w:cs="仿宋_GB2312"/>
          <w:color w:val="auto"/>
          <w:sz w:val="32"/>
          <w:szCs w:val="32"/>
          <w:lang w:val="en-US" w:eastAsia="zh-CN"/>
        </w:rPr>
        <w:t>145.24</w:t>
      </w:r>
      <w:r>
        <w:rPr>
          <w:rFonts w:hint="eastAsia" w:ascii="仿宋_GB2312" w:hAnsi="仿宋" w:eastAsia="仿宋_GB2312" w:cs="仿宋_GB2312"/>
          <w:color w:val="auto"/>
          <w:sz w:val="32"/>
          <w:szCs w:val="32"/>
        </w:rPr>
        <w:t>万元，占总收入</w:t>
      </w:r>
      <w:r>
        <w:rPr>
          <w:rFonts w:hint="eastAsia" w:ascii="仿宋_GB2312" w:hAnsi="仿宋" w:eastAsia="仿宋_GB2312" w:cs="仿宋_GB2312"/>
          <w:color w:val="auto"/>
          <w:sz w:val="32"/>
          <w:szCs w:val="32"/>
          <w:lang w:val="en-US" w:eastAsia="zh-CN"/>
        </w:rPr>
        <w:t>21.75</w:t>
      </w:r>
      <w:r>
        <w:rPr>
          <w:rFonts w:hint="eastAsia" w:ascii="仿宋_GB2312" w:hAnsi="仿宋" w:eastAsia="仿宋_GB2312" w:cs="仿宋_GB2312"/>
          <w:color w:val="auto"/>
          <w:sz w:val="32"/>
          <w:szCs w:val="32"/>
        </w:rPr>
        <w:t>%，上年结转</w:t>
      </w:r>
      <w:r>
        <w:rPr>
          <w:rFonts w:hint="eastAsia" w:ascii="仿宋_GB2312" w:hAnsi="仿宋" w:eastAsia="仿宋_GB2312" w:cs="仿宋_GB2312"/>
          <w:color w:val="auto"/>
          <w:sz w:val="32"/>
          <w:szCs w:val="32"/>
          <w:lang w:val="en-US" w:eastAsia="zh-CN"/>
        </w:rPr>
        <w:t>522.66</w:t>
      </w:r>
      <w:r>
        <w:rPr>
          <w:rFonts w:hint="eastAsia" w:ascii="仿宋_GB2312" w:hAnsi="仿宋" w:eastAsia="仿宋_GB2312" w:cs="仿宋_GB2312"/>
          <w:color w:val="auto"/>
          <w:sz w:val="32"/>
          <w:szCs w:val="32"/>
        </w:rPr>
        <w:t>万元</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占总收入</w:t>
      </w:r>
      <w:r>
        <w:rPr>
          <w:rFonts w:hint="eastAsia" w:ascii="仿宋_GB2312" w:hAnsi="仿宋" w:eastAsia="仿宋_GB2312" w:cs="仿宋_GB2312"/>
          <w:color w:val="auto"/>
          <w:sz w:val="32"/>
          <w:szCs w:val="32"/>
          <w:lang w:val="en-US" w:eastAsia="zh-CN"/>
        </w:rPr>
        <w:t>78.25</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w:t>
      </w:r>
    </w:p>
    <w:p>
      <w:pPr>
        <w:numPr>
          <w:ilvl w:val="0"/>
          <w:numId w:val="2"/>
        </w:numPr>
        <w:spacing w:line="58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部门财政资金支出情况。</w:t>
      </w:r>
    </w:p>
    <w:p>
      <w:pPr>
        <w:spacing w:line="580" w:lineRule="exact"/>
        <w:ind w:firstLine="320" w:firstLineChars="1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202</w:t>
      </w:r>
      <w:r>
        <w:rPr>
          <w:rFonts w:hint="eastAsia" w:ascii="仿宋_GB2312" w:hAnsi="仿宋" w:eastAsia="仿宋_GB2312" w:cs="仿宋_GB2312"/>
          <w:color w:val="auto"/>
          <w:sz w:val="32"/>
          <w:szCs w:val="32"/>
          <w:lang w:val="en-US" w:eastAsia="zh-CN"/>
        </w:rPr>
        <w:t>1</w:t>
      </w:r>
      <w:r>
        <w:rPr>
          <w:rFonts w:hint="eastAsia" w:ascii="仿宋_GB2312" w:hAnsi="仿宋" w:eastAsia="仿宋_GB2312" w:cs="仿宋_GB2312"/>
          <w:color w:val="auto"/>
          <w:sz w:val="32"/>
          <w:szCs w:val="32"/>
        </w:rPr>
        <w:t>年度部门财政资金总支出</w:t>
      </w:r>
      <w:r>
        <w:rPr>
          <w:rFonts w:hint="eastAsia" w:ascii="仿宋_GB2312" w:hAnsi="仿宋" w:eastAsia="仿宋_GB2312" w:cs="仿宋_GB2312"/>
          <w:color w:val="auto"/>
          <w:sz w:val="32"/>
          <w:szCs w:val="32"/>
          <w:lang w:val="en-US" w:eastAsia="zh-CN"/>
        </w:rPr>
        <w:t>667.9</w:t>
      </w:r>
      <w:r>
        <w:rPr>
          <w:rFonts w:hint="eastAsia" w:ascii="仿宋_GB2312" w:hAnsi="仿宋" w:eastAsia="仿宋_GB2312" w:cs="仿宋_GB2312"/>
          <w:color w:val="auto"/>
          <w:sz w:val="32"/>
          <w:szCs w:val="32"/>
        </w:rPr>
        <w:t>万元。其中：基本支出</w:t>
      </w:r>
      <w:r>
        <w:rPr>
          <w:rFonts w:hint="eastAsia" w:ascii="仿宋_GB2312" w:hAnsi="仿宋" w:eastAsia="仿宋_GB2312" w:cs="仿宋_GB2312"/>
          <w:color w:val="auto"/>
          <w:sz w:val="32"/>
          <w:szCs w:val="32"/>
          <w:lang w:val="en-US" w:eastAsia="zh-CN"/>
        </w:rPr>
        <w:t>117.71</w:t>
      </w:r>
      <w:r>
        <w:rPr>
          <w:rFonts w:hint="eastAsia" w:ascii="仿宋_GB2312" w:hAnsi="仿宋" w:eastAsia="仿宋_GB2312" w:cs="仿宋_GB2312"/>
          <w:color w:val="auto"/>
          <w:sz w:val="32"/>
          <w:szCs w:val="32"/>
        </w:rPr>
        <w:t>万元，占</w:t>
      </w:r>
      <w:r>
        <w:rPr>
          <w:rFonts w:hint="eastAsia" w:ascii="仿宋_GB2312" w:hAnsi="仿宋" w:eastAsia="仿宋_GB2312" w:cs="仿宋_GB2312"/>
          <w:color w:val="auto"/>
          <w:sz w:val="32"/>
          <w:szCs w:val="32"/>
          <w:lang w:val="en-US" w:eastAsia="zh-CN"/>
        </w:rPr>
        <w:t>17.62</w:t>
      </w:r>
      <w:r>
        <w:rPr>
          <w:rFonts w:hint="eastAsia" w:ascii="仿宋_GB2312" w:hAnsi="仿宋" w:eastAsia="仿宋_GB2312" w:cs="仿宋_GB2312"/>
          <w:color w:val="auto"/>
          <w:sz w:val="32"/>
          <w:szCs w:val="32"/>
        </w:rPr>
        <w:t>%；项目支出</w:t>
      </w:r>
      <w:r>
        <w:rPr>
          <w:rFonts w:hint="eastAsia" w:ascii="仿宋_GB2312" w:hAnsi="仿宋" w:eastAsia="仿宋_GB2312" w:cs="仿宋_GB2312"/>
          <w:color w:val="auto"/>
          <w:sz w:val="32"/>
          <w:szCs w:val="32"/>
          <w:lang w:val="en-US" w:eastAsia="zh-CN"/>
        </w:rPr>
        <w:t>550.19</w:t>
      </w:r>
      <w:r>
        <w:rPr>
          <w:rFonts w:hint="eastAsia" w:ascii="仿宋_GB2312" w:hAnsi="仿宋" w:eastAsia="仿宋_GB2312" w:cs="仿宋_GB2312"/>
          <w:color w:val="auto"/>
          <w:sz w:val="32"/>
          <w:szCs w:val="32"/>
        </w:rPr>
        <w:t>万元，占8</w:t>
      </w:r>
      <w:r>
        <w:rPr>
          <w:rFonts w:hint="eastAsia" w:ascii="仿宋_GB2312" w:hAnsi="仿宋" w:eastAsia="仿宋_GB2312" w:cs="仿宋_GB2312"/>
          <w:color w:val="auto"/>
          <w:sz w:val="32"/>
          <w:szCs w:val="32"/>
          <w:lang w:val="en-US" w:eastAsia="zh-CN"/>
        </w:rPr>
        <w:t>2.38</w:t>
      </w:r>
      <w:r>
        <w:rPr>
          <w:rFonts w:hint="eastAsia" w:ascii="仿宋_GB2312" w:hAnsi="仿宋" w:eastAsia="仿宋_GB2312" w:cs="仿宋_GB2312"/>
          <w:color w:val="auto"/>
          <w:sz w:val="32"/>
          <w:szCs w:val="32"/>
        </w:rPr>
        <w:t>%；</w:t>
      </w:r>
    </w:p>
    <w:p>
      <w:pPr>
        <w:spacing w:line="580" w:lineRule="exact"/>
        <w:ind w:firstLine="320" w:firstLineChars="100"/>
        <w:rPr>
          <w:rFonts w:ascii="仿宋_GB2312" w:hAnsi="黑体" w:eastAsia="仿宋_GB2312" w:cs="黑体"/>
          <w:color w:val="auto"/>
          <w:sz w:val="32"/>
          <w:szCs w:val="32"/>
        </w:rPr>
      </w:pPr>
      <w:r>
        <w:rPr>
          <w:rFonts w:hint="eastAsia" w:ascii="仿宋_GB2312" w:hAnsi="黑体" w:eastAsia="仿宋_GB2312" w:cs="黑体"/>
          <w:color w:val="auto"/>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（一）部门预算管理。</w:t>
      </w:r>
    </w:p>
    <w:p>
      <w:pPr>
        <w:spacing w:line="58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lang w:val="zh-CN"/>
        </w:rPr>
        <w:t>预算编制</w:t>
      </w:r>
      <w:r>
        <w:rPr>
          <w:rFonts w:hint="eastAsia" w:ascii="仿宋_GB2312" w:hAnsi="仿宋" w:eastAsia="仿宋_GB2312" w:cs="仿宋_GB2312"/>
          <w:color w:val="auto"/>
          <w:sz w:val="32"/>
          <w:szCs w:val="32"/>
        </w:rPr>
        <w:t>严格按照《预算法》来编制，编制较为及时，准确，确保预算编制的全面性和科学性。</w:t>
      </w:r>
    </w:p>
    <w:p>
      <w:pPr>
        <w:spacing w:line="58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（二）专项预算管理。</w:t>
      </w:r>
    </w:p>
    <w:p>
      <w:pPr>
        <w:spacing w:line="58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spacing w:line="58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我单位预算内经费实行“收支两条线”管理，设立了专门的出纳和会计人员，在报账处理上严格按照财经纪律制度等要求实施报账制。预算内经费我单位按照有关法律法规和财务制度严格执行，经费组织决算及报表的审核、报送与财政部门逐一核对，确保经费预决算的严肃性、准确性。</w:t>
      </w:r>
    </w:p>
    <w:p>
      <w:pPr>
        <w:numPr>
          <w:ilvl w:val="0"/>
          <w:numId w:val="2"/>
        </w:numPr>
        <w:spacing w:line="580" w:lineRule="exact"/>
        <w:ind w:left="0" w:leftChars="0"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结果应用情况。</w:t>
      </w:r>
    </w:p>
    <w:p>
      <w:pPr>
        <w:pStyle w:val="6"/>
        <w:shd w:val="clear" w:color="auto" w:fill="FFFFFF"/>
        <w:spacing w:before="0" w:beforeAutospacing="0" w:after="0" w:afterAutospacing="0" w:line="360" w:lineRule="auto"/>
        <w:rPr>
          <w:rFonts w:ascii="仿宋" w:hAnsi="仿宋" w:eastAsia="仿宋"/>
          <w:color w:val="auto"/>
          <w:sz w:val="32"/>
          <w:szCs w:val="32"/>
        </w:rPr>
      </w:pPr>
      <w:r>
        <w:rPr>
          <w:rFonts w:hint="eastAsia" w:ascii="仿宋" w:hAnsi="仿宋" w:eastAsia="仿宋"/>
          <w:color w:val="auto"/>
          <w:sz w:val="32"/>
          <w:szCs w:val="32"/>
        </w:rPr>
        <w:t>预算支出在保障本局工作运转、履行职能职责上整体情况良好。具体有：202</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年度支出绩效较好，预算编制比较精确、合理;为认真落实中央“八项”规定等厉行节约，反对浪费规定要求，压缩了部分培训费及一般性支出;动态优化了年度预算安排，保障了在经费压缩情况下的高效运转;各项目经费的支出有力保障了办公设备购置等项目所需，推动了改革和各类便民措施的实行;提高了管理工作的规范化、信息化水平;强化机关公用经费及日常运行经费管理，对于各科室日常公用经费按照相关政策进行管理，对于办公日常运行维护费用加强审核力度，公用经费及水、电等日常运行经费均有一定下降。</w:t>
      </w:r>
      <w:r>
        <w:rPr>
          <w:rFonts w:hint="eastAsia" w:eastAsia="仿宋"/>
          <w:color w:val="auto"/>
          <w:sz w:val="32"/>
          <w:szCs w:val="32"/>
        </w:rPr>
        <w:t> </w:t>
      </w:r>
    </w:p>
    <w:p>
      <w:pPr>
        <w:spacing w:line="580" w:lineRule="exact"/>
        <w:ind w:firstLine="320" w:firstLineChars="100"/>
        <w:rPr>
          <w:rFonts w:ascii="仿宋_GB2312" w:hAnsi="黑体" w:eastAsia="仿宋_GB2312" w:cs="黑体"/>
          <w:color w:val="auto"/>
          <w:sz w:val="32"/>
          <w:szCs w:val="32"/>
        </w:rPr>
      </w:pPr>
      <w:r>
        <w:rPr>
          <w:rFonts w:hint="eastAsia" w:ascii="仿宋_GB2312" w:hAnsi="黑体" w:eastAsia="仿宋_GB2312" w:cs="黑体"/>
          <w:color w:val="auto"/>
          <w:sz w:val="32"/>
          <w:szCs w:val="32"/>
        </w:rPr>
        <w:t>四、评价结论及建议</w:t>
      </w:r>
    </w:p>
    <w:p>
      <w:pPr>
        <w:spacing w:line="58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（一）评价结论。</w:t>
      </w:r>
    </w:p>
    <w:p>
      <w:pPr>
        <w:spacing w:line="58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spacing w:line="58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结合评价得分评价结果为良好。</w:t>
      </w:r>
    </w:p>
    <w:p>
      <w:pPr>
        <w:spacing w:line="580" w:lineRule="exact"/>
        <w:ind w:firstLine="640" w:firstLineChars="200"/>
        <w:rPr>
          <w:rFonts w:hint="eastAsia" w:ascii="仿宋_GB2312" w:hAnsi="仿宋" w:eastAsia="仿宋_GB2312" w:cs="仿宋_GB2312"/>
          <w:color w:val="auto"/>
          <w:sz w:val="32"/>
          <w:szCs w:val="32"/>
        </w:rPr>
      </w:pPr>
    </w:p>
    <w:p>
      <w:pPr>
        <w:numPr>
          <w:ilvl w:val="0"/>
          <w:numId w:val="3"/>
        </w:numPr>
        <w:spacing w:line="58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rPr>
        <w:t>存在问题。</w:t>
      </w:r>
    </w:p>
    <w:p>
      <w:pPr>
        <w:numPr>
          <w:numId w:val="0"/>
        </w:numPr>
        <w:spacing w:line="58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从绩效评价看，部门支出预算和绩效评价工作还存在部分项目无法用量化指标来进行考评的问题。</w:t>
      </w:r>
    </w:p>
    <w:p>
      <w:pPr>
        <w:numPr>
          <w:numId w:val="0"/>
        </w:numPr>
        <w:spacing w:line="58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三</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改进建议。</w:t>
      </w:r>
    </w:p>
    <w:p>
      <w:pPr>
        <w:numPr>
          <w:numId w:val="0"/>
        </w:numPr>
        <w:spacing w:line="580" w:lineRule="exact"/>
        <w:ind w:firstLine="960" w:firstLineChars="3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lang w:val="en-US" w:eastAsia="zh-CN"/>
        </w:rPr>
        <w:t>建议加强对绩效评价工作的培训和指导，进一步优化项目绩效考核指标体系，做到合理性与可操作性的有机统一。</w:t>
      </w:r>
    </w:p>
    <w:p>
      <w:pPr>
        <w:spacing w:line="580" w:lineRule="exact"/>
        <w:ind w:firstLine="640" w:firstLineChars="200"/>
        <w:rPr>
          <w:rFonts w:ascii="仿宋_GB2312" w:hAnsi="仿宋_GB2312" w:eastAsia="仿宋_GB2312" w:cs="仿宋_GB2312"/>
          <w:color w:val="auto"/>
          <w:sz w:val="32"/>
          <w:szCs w:val="32"/>
        </w:rPr>
      </w:pPr>
    </w:p>
    <w:p>
      <w:pPr>
        <w:spacing w:line="580" w:lineRule="exact"/>
        <w:ind w:firstLine="5440" w:firstLineChars="17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p>
    <w:p>
      <w:pPr>
        <w:widowControl/>
        <w:jc w:val="left"/>
        <w:rPr>
          <w:rFonts w:hint="default" w:ascii="仿宋_GB2312" w:hAnsi="仿宋_GB2312" w:eastAsia="仿宋_GB2312" w:cs="仿宋_GB2312"/>
          <w:color w:val="auto"/>
          <w:sz w:val="32"/>
          <w:szCs w:val="32"/>
          <w:lang w:val="en-US" w:eastAsia="zh-CN"/>
        </w:rPr>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68172"/>
    <w:multiLevelType w:val="singleLevel"/>
    <w:tmpl w:val="86968172"/>
    <w:lvl w:ilvl="0" w:tentative="0">
      <w:start w:val="2"/>
      <w:numFmt w:val="chineseCounting"/>
      <w:suff w:val="nothing"/>
      <w:lvlText w:val="（%1）"/>
      <w:lvlJc w:val="left"/>
      <w:rPr>
        <w:rFonts w:hint="eastAsia"/>
      </w:rPr>
    </w:lvl>
  </w:abstractNum>
  <w:abstractNum w:abstractNumId="1">
    <w:nsid w:val="9E5E257D"/>
    <w:multiLevelType w:val="singleLevel"/>
    <w:tmpl w:val="9E5E257D"/>
    <w:lvl w:ilvl="0" w:tentative="0">
      <w:start w:val="2"/>
      <w:numFmt w:val="chineseCounting"/>
      <w:suff w:val="nothing"/>
      <w:lvlText w:val="（%1）"/>
      <w:lvlJc w:val="left"/>
      <w:rPr>
        <w:rFonts w:hint="eastAsia"/>
      </w:rPr>
    </w:lvl>
  </w:abstractNum>
  <w:abstractNum w:abstractNumId="2">
    <w:nsid w:val="9FE8830E"/>
    <w:multiLevelType w:val="singleLevel"/>
    <w:tmpl w:val="9FE8830E"/>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JhMTMyYjBmMmM3YjQ4NGJjMjBlYzdiNDk3NTAzMzgifQ=="/>
  </w:docVars>
  <w:rsids>
    <w:rsidRoot w:val="00491B22"/>
    <w:rsid w:val="00291808"/>
    <w:rsid w:val="00491B22"/>
    <w:rsid w:val="0052390C"/>
    <w:rsid w:val="34EB1F43"/>
    <w:rsid w:val="36435EC2"/>
    <w:rsid w:val="60D032A5"/>
    <w:rsid w:val="628B2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able of figures"/>
    <w:basedOn w:val="1"/>
    <w:next w:val="1"/>
    <w:qFormat/>
    <w:uiPriority w:val="0"/>
    <w:pPr>
      <w:spacing w:before="0" w:beforeAutospacing="1" w:after="0" w:afterAutospacing="1"/>
      <w:ind w:left="0" w:leftChars="200" w:right="0" w:hanging="200" w:hangingChars="200"/>
      <w:jc w:val="left"/>
    </w:pPr>
    <w:rPr>
      <w:rFonts w:hint="eastAsia" w:ascii="宋体" w:hAnsi="宋体" w:eastAsia="宋体" w:cs="宋体"/>
      <w:kern w:val="0"/>
      <w:sz w:val="20"/>
      <w:szCs w:val="20"/>
      <w:lang w:val="en-US" w:eastAsia="zh-CN" w:bidi="ar"/>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4"/>
    <w:semiHidden/>
    <w:uiPriority w:val="99"/>
    <w:rPr>
      <w:sz w:val="18"/>
      <w:szCs w:val="18"/>
    </w:rPr>
  </w:style>
  <w:style w:type="character" w:customStyle="1" w:styleId="10">
    <w:name w:val="页脚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332</Words>
  <Characters>337</Characters>
  <Lines>2</Lines>
  <Paragraphs>1</Paragraphs>
  <TotalTime>1</TotalTime>
  <ScaleCrop>false</ScaleCrop>
  <LinksUpToDate>false</LinksUpToDate>
  <CharactersWithSpaces>337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2022-08-11T09:51:23Z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3CA10EFAFA334816A95F928D28AE2B46</vt:lpwstr>
  </property>
</Properties>
</file>