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公务服务中心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年决算支出0万元,较上年度决算持平。</w:t>
      </w:r>
    </w:p>
    <w:p>
      <w:pPr>
        <w:widowControl/>
        <w:spacing w:line="480" w:lineRule="atLeast"/>
        <w:ind w:firstLine="320" w:firstLineChars="10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111.36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，主要原因是接待批次较上年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111.36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2.19万元。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</w:rPr>
        <w:t>公务用车燃料费、维修费、过路过桥费、保险费等支出。</w:t>
      </w:r>
    </w:p>
    <w:p>
      <w:pPr>
        <w:widowControl/>
        <w:numPr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黑水县公务服务中心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5.05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MTMyYjBmMmM3YjQ4NGJjMjBlYzdiNDk3NTAzMzgifQ=="/>
  </w:docVars>
  <w:rsids>
    <w:rsidRoot w:val="003F1AE8"/>
    <w:rsid w:val="003F1AE8"/>
    <w:rsid w:val="007153A1"/>
    <w:rsid w:val="0E582D6E"/>
    <w:rsid w:val="0F3429A8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2023-08-30T07:44:22Z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6D9CCDD66C7D45A19BB8C5CA34C759D0_12</vt:lpwstr>
  </property>
</Properties>
</file>