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 xml:space="preserve"> 2023年长征文化公园及文化和旅游</w:t>
      </w:r>
    </w:p>
    <w:p>
      <w:pPr>
        <w:pStyle w:val="1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暨全域旅游发展大会主会场提升改造</w:t>
      </w:r>
    </w:p>
    <w:p>
      <w:pPr>
        <w:pStyle w:val="1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default"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项目支出绩效评价报告</w:t>
      </w:r>
    </w:p>
    <w:p>
      <w:pPr>
        <w:pStyle w:val="13"/>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宋体" w:hAnsi="宋体"/>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color w:val="auto"/>
          <w:highlight w:val="none"/>
          <w:lang w:val="zh-CN"/>
        </w:rPr>
      </w:pPr>
      <w:r>
        <w:rPr>
          <w:rFonts w:hint="eastAsia" w:ascii="黑体" w:hAnsi="宋体" w:eastAsia="黑体"/>
          <w:color w:val="auto"/>
          <w:highlight w:val="none"/>
        </w:rPr>
        <w:t>一、</w:t>
      </w:r>
      <w:r>
        <w:rPr>
          <w:rFonts w:hint="eastAsia" w:ascii="黑体" w:hAnsi="宋体" w:eastAsia="黑体"/>
          <w:color w:val="auto"/>
          <w:highlight w:val="none"/>
          <w:lang w:val="zh-CN"/>
        </w:rPr>
        <w:t>项目概况</w:t>
      </w:r>
    </w:p>
    <w:p>
      <w:pPr>
        <w:numPr>
          <w:ilvl w:val="0"/>
          <w:numId w:val="0"/>
        </w:numPr>
        <w:ind w:firstLine="963" w:firstLineChars="300"/>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（一）设立背景及基本情况。</w:t>
      </w:r>
    </w:p>
    <w:p>
      <w:pPr>
        <w:numPr>
          <w:ilvl w:val="0"/>
          <w:numId w:val="0"/>
        </w:numPr>
        <w:ind w:firstLine="960" w:firstLineChars="300"/>
        <w:rPr>
          <w:rFonts w:hint="eastAsia" w:ascii="仿宋_GB2312" w:hAnsi="仿宋_GB2312" w:eastAsia="仿宋_GB2312" w:cs="仿宋_GB2312"/>
          <w:color w:val="auto"/>
          <w:kern w:val="0"/>
          <w:sz w:val="32"/>
          <w:szCs w:val="32"/>
          <w:highlight w:val="none"/>
          <w:u w:val="none"/>
          <w:shd w:val="clear" w:color="auto" w:fill="FFFFFF"/>
          <w:lang w:val="zh-CN"/>
        </w:rPr>
      </w:pPr>
      <w:r>
        <w:rPr>
          <w:rFonts w:hint="eastAsia" w:ascii="仿宋_GB2312" w:eastAsia="仿宋_GB2312" w:cs="方正仿宋_GBK"/>
          <w:color w:val="auto"/>
          <w:sz w:val="32"/>
          <w:szCs w:val="32"/>
          <w:highlight w:val="none"/>
          <w:lang w:val="en-US" w:eastAsia="zh-CN" w:bidi="ar-SA"/>
        </w:rPr>
        <w:t>我中心</w:t>
      </w:r>
      <w:r>
        <w:rPr>
          <w:rFonts w:hint="eastAsia" w:ascii="仿宋_GB2312" w:eastAsia="仿宋_GB2312" w:cs="方正仿宋_GBK"/>
          <w:color w:val="auto"/>
          <w:sz w:val="32"/>
          <w:szCs w:val="32"/>
          <w:highlight w:val="none"/>
          <w:lang w:bidi="ar-SA"/>
        </w:rPr>
        <w:t>立足单位职能职责，着力克服工作力量薄弱、市场资源匮乏等困难问题，统筹各方资源、夯实要素保障，为助推全县经济社会发展提供更加坚实的后勤服务保障。</w:t>
      </w:r>
      <w:r>
        <w:rPr>
          <w:rFonts w:hint="eastAsia" w:ascii="仿宋_GB2312" w:hAnsi="Times New Roman" w:eastAsia="仿宋_GB2312" w:cs="方正仿宋_GBK"/>
          <w:color w:val="auto"/>
          <w:sz w:val="32"/>
          <w:szCs w:val="32"/>
          <w:highlight w:val="none"/>
          <w:lang w:bidi="ar-SA"/>
        </w:rPr>
        <w:t>坚持周密部署，抓实公务接待</w:t>
      </w:r>
      <w:r>
        <w:rPr>
          <w:rFonts w:hint="eastAsia" w:ascii="仿宋_GB2312" w:hAnsi="Times New Roman" w:eastAsia="仿宋_GB2312" w:cs="方正仿宋_GBK"/>
          <w:color w:val="auto"/>
          <w:sz w:val="32"/>
          <w:szCs w:val="32"/>
          <w:highlight w:val="none"/>
          <w:lang w:eastAsia="zh-CN" w:bidi="ar-SA"/>
        </w:rPr>
        <w:t>、</w:t>
      </w:r>
      <w:r>
        <w:rPr>
          <w:rFonts w:hint="eastAsia" w:ascii="仿宋_GB2312" w:hAnsi="Times New Roman" w:eastAsia="仿宋_GB2312" w:cs="方正仿宋_GBK"/>
          <w:color w:val="auto"/>
          <w:sz w:val="32"/>
          <w:szCs w:val="32"/>
          <w:highlight w:val="none"/>
          <w:lang w:val="en-US" w:eastAsia="zh-CN" w:bidi="ar-SA"/>
        </w:rPr>
        <w:t>公务用车、公房管理、办公用房、节能降耗、机关食堂管理，后勤保障等工作。</w:t>
      </w:r>
    </w:p>
    <w:p>
      <w:pPr>
        <w:pStyle w:val="14"/>
        <w:numPr>
          <w:ilvl w:val="0"/>
          <w:numId w:val="1"/>
        </w:numPr>
        <w:spacing w:line="560" w:lineRule="exact"/>
        <w:ind w:firstLine="642" w:firstLineChars="200"/>
        <w:rPr>
          <w:rFonts w:hint="eastAsia"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p>
    <w:p>
      <w:pPr>
        <w:pStyle w:val="14"/>
        <w:numPr>
          <w:ilvl w:val="0"/>
          <w:numId w:val="0"/>
        </w:numPr>
        <w:spacing w:line="560" w:lineRule="exact"/>
        <w:rPr>
          <w:rFonts w:hint="default" w:ascii="仿宋_GB2312" w:hAnsi="仿宋_GB2312" w:eastAsia="仿宋_GB2312" w:cs="仿宋_GB2312"/>
          <w:color w:val="auto"/>
          <w:kern w:val="0"/>
          <w:sz w:val="32"/>
          <w:szCs w:val="32"/>
          <w:highlight w:val="none"/>
          <w:u w:val="none"/>
          <w:shd w:val="clear" w:color="auto" w:fill="FFFFFF"/>
          <w:lang w:val="en-US" w:eastAsia="zh-CN" w:bidi="ar-SA"/>
        </w:rPr>
      </w:pPr>
      <w:r>
        <w:rPr>
          <w:rFonts w:hint="eastAsia" w:ascii="仿宋_GB2312"/>
          <w:color w:val="auto"/>
          <w:highlight w:val="none"/>
          <w:lang w:val="en-US" w:eastAsia="zh-CN"/>
        </w:rPr>
        <w:t>支持长征文化公园及文化和旅游暨全域旅游发展大会主会场提升改造项目</w:t>
      </w:r>
      <w:r>
        <w:rPr>
          <w:rFonts w:hint="eastAsia" w:ascii="仿宋_GB2312" w:hAnsi="Times New Roman" w:eastAsia="仿宋_GB2312" w:cs="方正仿宋_GBK"/>
          <w:color w:val="auto"/>
          <w:sz w:val="32"/>
          <w:szCs w:val="32"/>
          <w:highlight w:val="none"/>
          <w:lang w:val="en-US" w:eastAsia="zh-CN" w:bidi="ar-SA"/>
        </w:rPr>
        <w:t>。</w:t>
      </w:r>
      <w:r>
        <w:rPr>
          <w:rFonts w:hint="eastAsia" w:ascii="仿宋_GB2312" w:cs="方正仿宋_GBK"/>
          <w:color w:val="auto"/>
          <w:sz w:val="32"/>
          <w:szCs w:val="32"/>
          <w:highlight w:val="none"/>
          <w:lang w:val="en-US" w:eastAsia="zh-CN" w:bidi="ar-SA"/>
        </w:rPr>
        <w:t>上级财政</w:t>
      </w:r>
      <w:r>
        <w:rPr>
          <w:rFonts w:hint="eastAsia" w:ascii="仿宋_GB2312" w:hAnsi="Times New Roman" w:eastAsia="仿宋_GB2312" w:cs="方正仿宋_GBK"/>
          <w:color w:val="auto"/>
          <w:sz w:val="32"/>
          <w:szCs w:val="32"/>
          <w:highlight w:val="none"/>
          <w:lang w:val="en-US" w:eastAsia="zh-CN" w:bidi="ar-SA"/>
        </w:rPr>
        <w:t>阿州财教【2023】68号</w:t>
      </w:r>
      <w:r>
        <w:rPr>
          <w:rFonts w:hint="eastAsia" w:ascii="仿宋_GB2312" w:cs="方正仿宋_GBK"/>
          <w:color w:val="auto"/>
          <w:sz w:val="32"/>
          <w:szCs w:val="32"/>
          <w:highlight w:val="none"/>
          <w:lang w:val="en-US" w:eastAsia="zh-CN" w:bidi="ar-SA"/>
        </w:rPr>
        <w:t>资金152.54万元。</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仿宋_GB2312" w:hAnsi="仿宋_GB2312" w:cs="仿宋_GB2312"/>
          <w:color w:val="auto"/>
          <w:kern w:val="0"/>
          <w:sz w:val="32"/>
          <w:szCs w:val="32"/>
          <w:highlight w:val="none"/>
          <w:u w:val="none"/>
          <w:shd w:val="clear" w:color="auto" w:fill="FFFFFF"/>
          <w:lang w:val="zh-CN"/>
        </w:rPr>
      </w:pPr>
      <w:r>
        <w:rPr>
          <w:rFonts w:hint="eastAsia" w:ascii="楷体_GB2312" w:hAnsi="宋体" w:eastAsia="楷体_GB2312" w:cs="Times New Roman"/>
          <w:b/>
          <w:color w:val="auto"/>
          <w:kern w:val="2"/>
          <w:sz w:val="32"/>
          <w:szCs w:val="32"/>
          <w:highlight w:val="none"/>
          <w:u w:val="none"/>
          <w:lang w:val="zh-CN" w:eastAsia="zh-CN" w:bidi="ar-SA"/>
        </w:rPr>
        <w:t>（三）</w:t>
      </w:r>
      <w:r>
        <w:rPr>
          <w:rFonts w:hint="default" w:ascii="楷体_GB2312" w:hAnsi="宋体" w:eastAsia="楷体_GB2312" w:cs="Times New Roman"/>
          <w:b/>
          <w:color w:val="auto"/>
          <w:kern w:val="2"/>
          <w:sz w:val="32"/>
          <w:szCs w:val="32"/>
          <w:highlight w:val="none"/>
          <w:u w:val="none"/>
          <w:lang w:val="en-US" w:eastAsia="zh-CN" w:bidi="ar-SA"/>
        </w:rPr>
        <w:t>预算安排及分配管理</w:t>
      </w:r>
      <w:r>
        <w:rPr>
          <w:rFonts w:hint="eastAsia" w:ascii="楷体_GB2312" w:hAnsi="宋体" w:eastAsia="楷体_GB2312" w:cs="Times New Roman"/>
          <w:b/>
          <w:color w:val="auto"/>
          <w:kern w:val="2"/>
          <w:sz w:val="32"/>
          <w:szCs w:val="32"/>
          <w:highlight w:val="none"/>
          <w:u w:val="none"/>
          <w:lang w:val="zh-CN" w:eastAsia="zh-CN" w:bidi="ar-SA"/>
        </w:rPr>
        <w:t>。</w:t>
      </w:r>
      <w:r>
        <w:rPr>
          <w:rFonts w:hint="eastAsia" w:ascii="仿宋_GB2312" w:cs="方正仿宋_GBK"/>
          <w:color w:val="auto"/>
          <w:sz w:val="32"/>
          <w:szCs w:val="32"/>
          <w:highlight w:val="none"/>
          <w:lang w:val="en-US" w:eastAsia="zh-CN" w:bidi="ar-SA"/>
        </w:rPr>
        <w:t>上级财政</w:t>
      </w:r>
      <w:r>
        <w:rPr>
          <w:rFonts w:hint="eastAsia" w:ascii="仿宋_GB2312" w:hAnsi="Times New Roman" w:eastAsia="仿宋_GB2312" w:cs="方正仿宋_GBK"/>
          <w:color w:val="auto"/>
          <w:sz w:val="32"/>
          <w:szCs w:val="32"/>
          <w:highlight w:val="none"/>
          <w:lang w:val="en-US" w:eastAsia="zh-CN" w:bidi="ar-SA"/>
        </w:rPr>
        <w:t>阿州财教【2023】68号</w:t>
      </w:r>
      <w:r>
        <w:rPr>
          <w:rFonts w:hint="eastAsia" w:ascii="仿宋_GB2312" w:hAnsi="仿宋_GB2312" w:cs="仿宋_GB2312"/>
          <w:color w:val="auto"/>
          <w:kern w:val="0"/>
          <w:sz w:val="32"/>
          <w:szCs w:val="32"/>
          <w:highlight w:val="none"/>
          <w:u w:val="none"/>
          <w:shd w:val="clear" w:color="auto" w:fill="FFFFFF"/>
          <w:lang w:val="en-US" w:eastAsia="zh-CN" w:bidi="ar-SA"/>
        </w:rPr>
        <w:t>资金</w:t>
      </w:r>
      <w:r>
        <w:rPr>
          <w:rFonts w:hint="eastAsia" w:ascii="仿宋_GB2312" w:hAnsi="仿宋_GB2312" w:eastAsia="仿宋_GB2312" w:cs="仿宋_GB2312"/>
          <w:color w:val="auto"/>
          <w:kern w:val="0"/>
          <w:sz w:val="32"/>
          <w:szCs w:val="32"/>
          <w:highlight w:val="none"/>
          <w:u w:val="none"/>
          <w:shd w:val="clear" w:color="auto" w:fill="FFFFFF"/>
          <w:lang w:val="en-US" w:eastAsia="zh-CN" w:bidi="ar-SA"/>
        </w:rPr>
        <w:t>下达2023年</w:t>
      </w:r>
      <w:r>
        <w:rPr>
          <w:rFonts w:hint="eastAsia" w:ascii="仿宋_GB2312"/>
          <w:color w:val="auto"/>
          <w:highlight w:val="none"/>
          <w:lang w:val="en-US" w:eastAsia="zh-CN"/>
        </w:rPr>
        <w:t>长征文化公园及文化和旅游暨全域旅游发展大会主会场提升改造</w:t>
      </w:r>
      <w:r>
        <w:rPr>
          <w:rFonts w:hint="eastAsia" w:ascii="仿宋_GB2312" w:hAnsi="仿宋_GB2312" w:eastAsia="仿宋_GB2312" w:cs="仿宋_GB2312"/>
          <w:color w:val="auto"/>
          <w:kern w:val="0"/>
          <w:sz w:val="32"/>
          <w:szCs w:val="32"/>
          <w:highlight w:val="none"/>
          <w:u w:val="none"/>
          <w:shd w:val="clear" w:color="auto" w:fill="FFFFFF"/>
          <w:lang w:val="en-US" w:eastAsia="zh-CN" w:bidi="ar-SA"/>
        </w:rPr>
        <w:t>经费</w:t>
      </w:r>
      <w:r>
        <w:rPr>
          <w:rFonts w:hint="eastAsia" w:ascii="仿宋_GB2312" w:hAnsi="仿宋_GB2312" w:cs="仿宋_GB2312"/>
          <w:color w:val="auto"/>
          <w:kern w:val="0"/>
          <w:sz w:val="32"/>
          <w:szCs w:val="32"/>
          <w:highlight w:val="none"/>
          <w:u w:val="none"/>
          <w:shd w:val="clear" w:color="auto" w:fill="FFFFFF"/>
          <w:lang w:val="en-US" w:eastAsia="zh-CN" w:bidi="ar-SA"/>
        </w:rPr>
        <w:t>152.54</w:t>
      </w:r>
      <w:r>
        <w:rPr>
          <w:rFonts w:hint="eastAsia" w:ascii="仿宋_GB2312" w:hAnsi="仿宋_GB2312" w:eastAsia="仿宋_GB2312" w:cs="仿宋_GB2312"/>
          <w:color w:val="auto"/>
          <w:kern w:val="0"/>
          <w:sz w:val="32"/>
          <w:szCs w:val="32"/>
          <w:highlight w:val="none"/>
          <w:u w:val="none"/>
          <w:shd w:val="clear" w:color="auto" w:fill="FFFFFF"/>
          <w:lang w:val="en-US" w:eastAsia="zh-CN" w:bidi="ar-SA"/>
        </w:rPr>
        <w:t>万元。</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_GB2312" w:hAnsi="仿宋_GB2312" w:cs="仿宋_GB2312"/>
          <w:color w:val="auto"/>
          <w:kern w:val="0"/>
          <w:sz w:val="32"/>
          <w:szCs w:val="32"/>
          <w:highlight w:val="none"/>
          <w:u w:val="none"/>
          <w:shd w:val="clear" w:color="auto" w:fill="FFFFFF"/>
          <w:lang w:val="zh-CN"/>
        </w:rPr>
      </w:pPr>
    </w:p>
    <w:p>
      <w:pPr>
        <w:numPr>
          <w:ilvl w:val="0"/>
          <w:numId w:val="0"/>
        </w:numPr>
        <w:ind w:firstLine="642" w:firstLineChars="200"/>
        <w:rPr>
          <w:rFonts w:hint="eastAsia" w:ascii="仿宋_GB2312" w:eastAsia="仿宋_GB2312" w:cs="方正仿宋_GBK"/>
          <w:sz w:val="32"/>
          <w:szCs w:val="32"/>
          <w:lang w:val="en-US" w:eastAsia="zh-CN" w:bidi="ar-SA"/>
        </w:rPr>
      </w:pPr>
      <w:r>
        <w:rPr>
          <w:rFonts w:hint="eastAsia" w:ascii="楷体_GB2312" w:hAnsi="宋体" w:eastAsia="楷体_GB2312" w:cs="Times New Roman"/>
          <w:b/>
          <w:color w:val="auto"/>
          <w:sz w:val="32"/>
          <w:szCs w:val="32"/>
          <w:highlight w:val="none"/>
          <w:u w:val="none"/>
          <w:lang w:val="zh-CN" w:eastAsia="zh-CN"/>
        </w:rPr>
        <w:t>（四）项目绩效目标设置。</w:t>
      </w:r>
      <w:r>
        <w:rPr>
          <w:rFonts w:hint="eastAsia" w:ascii="仿宋_GB2312" w:eastAsia="仿宋_GB2312" w:cs="方正仿宋_GBK"/>
          <w:sz w:val="32"/>
          <w:szCs w:val="32"/>
          <w:lang w:val="en-US" w:eastAsia="zh-CN" w:bidi="ar-SA"/>
        </w:rPr>
        <w:t>中心</w:t>
      </w:r>
      <w:r>
        <w:rPr>
          <w:rFonts w:hint="eastAsia" w:ascii="仿宋_GB2312" w:eastAsia="仿宋_GB2312" w:cs="方正仿宋_GBK"/>
          <w:sz w:val="32"/>
          <w:szCs w:val="32"/>
          <w:lang w:bidi="ar-SA"/>
        </w:rPr>
        <w:t>立足单位职能职责，着力克服工作力量薄弱、市场资源匮乏等困难问题，统筹各方资源、夯实要素保障，</w:t>
      </w:r>
      <w:r>
        <w:rPr>
          <w:rFonts w:hint="eastAsia" w:ascii="仿宋_GB2312" w:eastAsia="仿宋_GB2312" w:cs="方正仿宋_GBK"/>
          <w:sz w:val="32"/>
          <w:szCs w:val="32"/>
          <w:lang w:val="en-US" w:eastAsia="zh-CN" w:bidi="ar-SA"/>
        </w:rPr>
        <w:t>发挥中心办公区管理职责，做好</w:t>
      </w:r>
      <w:r>
        <w:rPr>
          <w:rFonts w:hint="eastAsia" w:ascii="仿宋_GB2312" w:hAnsi="Times New Roman" w:eastAsia="仿宋_GB2312" w:cs="方正仿宋_GBK"/>
          <w:sz w:val="32"/>
          <w:szCs w:val="32"/>
          <w:lang w:val="en-US" w:eastAsia="zh-CN" w:bidi="ar-SA"/>
        </w:rPr>
        <w:t>保障援藏干部驻地日常运转</w:t>
      </w:r>
      <w:r>
        <w:rPr>
          <w:rFonts w:hint="eastAsia" w:ascii="仿宋_GB2312" w:hAnsi="Times New Roman" w:cs="方正仿宋_GBK"/>
          <w:sz w:val="32"/>
          <w:szCs w:val="32"/>
          <w:lang w:val="en-US" w:eastAsia="zh-CN" w:bidi="ar-SA"/>
        </w:rPr>
        <w:t>、</w:t>
      </w:r>
      <w:r>
        <w:rPr>
          <w:rFonts w:hint="eastAsia" w:ascii="仿宋_GB2312" w:eastAsia="仿宋_GB2312" w:cs="方正仿宋_GBK"/>
          <w:sz w:val="32"/>
          <w:szCs w:val="32"/>
          <w:lang w:val="en-US" w:eastAsia="zh-CN" w:bidi="ar-SA"/>
        </w:rPr>
        <w:t>后勤保障工作。</w:t>
      </w:r>
    </w:p>
    <w:p>
      <w:pPr>
        <w:keepNext w:val="0"/>
        <w:keepLines w:val="0"/>
        <w:pageBreakBefore w:val="0"/>
        <w:widowControl w:val="0"/>
        <w:kinsoku/>
        <w:wordWrap/>
        <w:overflowPunct/>
        <w:topLinePunct w:val="0"/>
        <w:autoSpaceDE/>
        <w:autoSpaceDN/>
        <w:bidi w:val="0"/>
        <w:adjustRightInd w:val="0"/>
        <w:snapToGrid w:val="0"/>
        <w:spacing w:line="578" w:lineRule="exact"/>
        <w:ind w:firstLine="960" w:firstLineChars="300"/>
        <w:textAlignment w:val="auto"/>
        <w:outlineLvl w:val="9"/>
        <w:rPr>
          <w:rFonts w:hint="eastAsia" w:ascii="黑体" w:hAnsi="宋体" w:eastAsia="黑体"/>
          <w:color w:val="auto"/>
          <w:highlight w:val="none"/>
          <w:lang w:eastAsia="zh-CN"/>
        </w:rPr>
      </w:pPr>
      <w:r>
        <w:rPr>
          <w:rFonts w:hint="eastAsia" w:ascii="黑体" w:hAnsi="宋体" w:eastAsia="黑体"/>
          <w:color w:val="auto"/>
          <w:highlight w:val="none"/>
        </w:rPr>
        <w:t>二、</w:t>
      </w:r>
      <w:r>
        <w:rPr>
          <w:rFonts w:hint="eastAsia" w:ascii="黑体" w:hAnsi="宋体" w:eastAsia="黑体"/>
          <w:color w:val="auto"/>
          <w:highlight w:val="none"/>
          <w:lang w:eastAsia="zh-CN"/>
        </w:rPr>
        <w:t>评价实施</w:t>
      </w:r>
    </w:p>
    <w:p>
      <w:pPr>
        <w:adjustRightInd w:val="0"/>
        <w:snapToGrid w:val="0"/>
        <w:spacing w:line="578" w:lineRule="exact"/>
        <w:ind w:firstLine="642" w:firstLineChars="200"/>
        <w:rPr>
          <w:rFonts w:eastAsia="仿宋_GB2312" w:cs="Times New Roman"/>
          <w:color w:val="auto"/>
          <w:szCs w:val="32"/>
          <w:highlight w:val="none"/>
        </w:rPr>
      </w:pPr>
      <w:r>
        <w:rPr>
          <w:rFonts w:hint="eastAsia" w:ascii="楷体_GB2312" w:hAnsi="宋体" w:eastAsia="楷体_GB2312"/>
          <w:b/>
          <w:color w:val="auto"/>
          <w:sz w:val="32"/>
          <w:szCs w:val="32"/>
          <w:highlight w:val="none"/>
          <w:u w:val="none"/>
          <w:lang w:val="zh-CN"/>
        </w:rPr>
        <w:t>（一）评价目的。</w:t>
      </w:r>
      <w:r>
        <w:rPr>
          <w:rFonts w:hint="eastAsia" w:ascii="Times New Roman" w:hAnsi="Times New Roman" w:cs="Times New Roman"/>
          <w:color w:val="auto"/>
          <w:kern w:val="0"/>
          <w:szCs w:val="28"/>
          <w:highlight w:val="none"/>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w:t>
      </w:r>
      <w:r>
        <w:rPr>
          <w:rFonts w:hint="eastAsia" w:ascii="Times New Roman" w:hAnsi="Times New Roman" w:cs="Times New Roman"/>
          <w:color w:val="auto"/>
          <w:kern w:val="0"/>
          <w:szCs w:val="28"/>
          <w:highlight w:val="none"/>
          <w:lang w:val="en-US" w:eastAsia="zh-CN"/>
        </w:rPr>
        <w:t>阿坝州财政局</w:t>
      </w:r>
      <w:r>
        <w:rPr>
          <w:rFonts w:hint="eastAsia" w:ascii="Times New Roman" w:hAnsi="Times New Roman" w:cs="Times New Roman"/>
          <w:color w:val="auto"/>
          <w:kern w:val="0"/>
          <w:szCs w:val="28"/>
          <w:highlight w:val="none"/>
        </w:rPr>
        <w:t>印发《</w:t>
      </w:r>
      <w:r>
        <w:rPr>
          <w:rFonts w:hint="eastAsia" w:ascii="Times New Roman" w:hAnsi="Times New Roman" w:cs="Times New Roman"/>
          <w:color w:val="auto"/>
          <w:kern w:val="0"/>
          <w:szCs w:val="28"/>
          <w:highlight w:val="none"/>
          <w:lang w:val="en-US" w:eastAsia="zh-CN"/>
        </w:rPr>
        <w:t>阿坝州财政局关于开展2024年州级部门绩效自评工作的</w:t>
      </w:r>
      <w:r>
        <w:rPr>
          <w:rFonts w:hint="eastAsia" w:ascii="Times New Roman" w:hAnsi="Times New Roman" w:cs="Times New Roman"/>
          <w:color w:val="auto"/>
          <w:kern w:val="0"/>
          <w:szCs w:val="28"/>
          <w:highlight w:val="none"/>
          <w:lang w:eastAsia="zh-CN"/>
        </w:rPr>
        <w:t>通知</w:t>
      </w:r>
      <w:r>
        <w:rPr>
          <w:rFonts w:hint="eastAsia" w:ascii="Times New Roman" w:hAnsi="Times New Roman" w:cs="Times New Roman"/>
          <w:color w:val="auto"/>
          <w:kern w:val="0"/>
          <w:szCs w:val="28"/>
          <w:highlight w:val="none"/>
        </w:rPr>
        <w:t>》（</w:t>
      </w:r>
      <w:r>
        <w:rPr>
          <w:rFonts w:hint="eastAsia" w:ascii="Times New Roman" w:hAnsi="Times New Roman" w:cs="Times New Roman"/>
          <w:color w:val="auto"/>
          <w:kern w:val="0"/>
          <w:szCs w:val="28"/>
          <w:highlight w:val="none"/>
          <w:lang w:val="en-US" w:eastAsia="zh-CN"/>
        </w:rPr>
        <w:t>阿州财监绩〔2024〕19号</w:t>
      </w:r>
      <w:r>
        <w:rPr>
          <w:rFonts w:hint="eastAsia" w:ascii="Times New Roman" w:hAnsi="Times New Roman" w:cs="Times New Roman"/>
          <w:color w:val="auto"/>
          <w:kern w:val="0"/>
          <w:szCs w:val="28"/>
          <w:highlight w:val="none"/>
        </w:rPr>
        <w:t>），要求</w:t>
      </w:r>
      <w:r>
        <w:rPr>
          <w:rFonts w:hint="eastAsia" w:ascii="Times New Roman" w:hAnsi="Times New Roman" w:cs="Times New Roman"/>
          <w:color w:val="auto"/>
          <w:kern w:val="0"/>
          <w:szCs w:val="28"/>
          <w:highlight w:val="none"/>
          <w:lang w:eastAsia="zh-CN"/>
        </w:rPr>
        <w:t>各部门（单位）</w:t>
      </w:r>
      <w:r>
        <w:rPr>
          <w:rFonts w:hint="eastAsia" w:ascii="Times New Roman" w:hAnsi="Times New Roman" w:cs="Times New Roman"/>
          <w:color w:val="auto"/>
          <w:kern w:val="0"/>
          <w:szCs w:val="28"/>
          <w:highlight w:val="none"/>
        </w:rPr>
        <w:t>按照</w:t>
      </w:r>
      <w:r>
        <w:rPr>
          <w:rFonts w:hint="eastAsia" w:ascii="Times New Roman" w:hAnsi="Times New Roman" w:cs="Times New Roman"/>
          <w:color w:val="auto"/>
          <w:kern w:val="0"/>
          <w:szCs w:val="28"/>
          <w:highlight w:val="none"/>
          <w:lang w:eastAsia="zh-CN"/>
        </w:rPr>
        <w:t>州财政局</w:t>
      </w:r>
      <w:r>
        <w:rPr>
          <w:rFonts w:hint="eastAsia" w:ascii="Times New Roman" w:hAnsi="Times New Roman" w:cs="Times New Roman"/>
          <w:color w:val="auto"/>
          <w:kern w:val="0"/>
          <w:szCs w:val="28"/>
          <w:highlight w:val="none"/>
        </w:rPr>
        <w:t>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项目支出绩效管理水平、预算管理水平、项目管理水平。</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eastAsia="仿宋_GB2312" w:cs="Times New Roman"/>
          <w:color w:val="auto"/>
          <w:szCs w:val="32"/>
          <w:highlight w:val="none"/>
        </w:rPr>
      </w:pPr>
    </w:p>
    <w:p>
      <w:pPr>
        <w:keepNext w:val="0"/>
        <w:keepLines w:val="0"/>
        <w:pageBreakBefore w:val="0"/>
        <w:widowControl w:val="0"/>
        <w:numPr>
          <w:ilvl w:val="0"/>
          <w:numId w:val="1"/>
        </w:numPr>
        <w:kinsoku/>
        <w:wordWrap/>
        <w:overflowPunct/>
        <w:topLinePunct w:val="0"/>
        <w:autoSpaceDE/>
        <w:autoSpaceDN/>
        <w:bidi w:val="0"/>
        <w:spacing w:line="578"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预设问题及评价重点。</w:t>
      </w:r>
    </w:p>
    <w:p>
      <w:pPr>
        <w:keepNext w:val="0"/>
        <w:keepLines w:val="0"/>
        <w:pageBreakBefore w:val="0"/>
        <w:widowControl w:val="0"/>
        <w:numPr>
          <w:ilvl w:val="0"/>
          <w:numId w:val="0"/>
        </w:numPr>
        <w:kinsoku/>
        <w:wordWrap/>
        <w:overflowPunct/>
        <w:topLinePunct w:val="0"/>
        <w:autoSpaceDE/>
        <w:autoSpaceDN/>
        <w:bidi w:val="0"/>
        <w:spacing w:line="578" w:lineRule="exact"/>
        <w:ind w:leftChars="20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1.长效机制建立情况。项目实施单位是否已建立项目实施管理制度等。</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2.项目实施程序严密性。建设项目的招投标资料是否完整、真实，有无弄虚作假套取财政资金等问题。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古、挪用、截留等违纪违规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4.信息的公开透明度。项目资金管理单位的公开公示情况。</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5.财务管理和会计核算规范性。财务核算是否符合《中华人民共和国会计法》《会计基础工作规范》等要求、是否符合基本建设财务管理和会计制度规定。</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6.项目实施单位绩效自评情况。项目实施单位是否严格按照预算绩效管理规定开展绩效自评。</w:t>
      </w:r>
    </w:p>
    <w:p>
      <w:pPr>
        <w:adjustRightInd w:val="0"/>
        <w:snapToGrid w:val="0"/>
        <w:spacing w:line="578" w:lineRule="exact"/>
        <w:ind w:firstLine="642" w:firstLineChars="200"/>
        <w:rPr>
          <w:rFonts w:hint="eastAsia"/>
          <w:color w:val="auto"/>
          <w:kern w:val="0"/>
          <w:szCs w:val="28"/>
          <w:highlight w:val="none"/>
        </w:rPr>
      </w:pPr>
      <w:r>
        <w:rPr>
          <w:rFonts w:hint="eastAsia" w:ascii="楷体_GB2312" w:hAnsi="宋体" w:eastAsia="楷体_GB2312"/>
          <w:b/>
          <w:color w:val="auto"/>
          <w:sz w:val="32"/>
          <w:szCs w:val="32"/>
          <w:highlight w:val="none"/>
          <w:u w:val="none"/>
          <w:lang w:val="zh-CN"/>
        </w:rPr>
        <w:t>（三）评价选点。</w:t>
      </w:r>
      <w:r>
        <w:rPr>
          <w:rFonts w:hint="eastAsia" w:ascii="仿宋_GB2312"/>
          <w:color w:val="auto"/>
          <w:highlight w:val="none"/>
          <w:lang w:val="en-US" w:eastAsia="zh-CN"/>
        </w:rPr>
        <w:t>长征文化公园及文化和旅游暨全域旅游发展大会主会场提升改造项目、</w:t>
      </w:r>
      <w:r>
        <w:rPr>
          <w:rFonts w:hint="eastAsia" w:ascii="Times New Roman" w:hAnsi="Times New Roman" w:eastAsia="仿宋_GB2312" w:cs="Times New Roman"/>
          <w:color w:val="auto"/>
          <w:kern w:val="0"/>
          <w:sz w:val="32"/>
          <w:szCs w:val="28"/>
          <w:highlight w:val="none"/>
          <w:lang w:val="en-US" w:eastAsia="zh-CN" w:bidi="ar-SA"/>
        </w:rPr>
        <w:t>预算项目主要开展工作地点为</w:t>
      </w:r>
      <w:r>
        <w:rPr>
          <w:rFonts w:hint="eastAsia" w:cs="Times New Roman"/>
          <w:color w:val="auto"/>
          <w:kern w:val="0"/>
          <w:sz w:val="32"/>
          <w:szCs w:val="28"/>
          <w:highlight w:val="none"/>
          <w:lang w:val="en-US" w:eastAsia="zh-CN" w:bidi="ar-SA"/>
        </w:rPr>
        <w:t>黑水县</w:t>
      </w:r>
      <w:r>
        <w:rPr>
          <w:rFonts w:hint="eastAsia" w:ascii="Times New Roman" w:hAnsi="Times New Roman" w:eastAsia="仿宋_GB2312" w:cs="Times New Roman"/>
          <w:color w:val="auto"/>
          <w:kern w:val="0"/>
          <w:sz w:val="32"/>
          <w:szCs w:val="28"/>
          <w:highlight w:val="none"/>
          <w:lang w:val="en-US" w:eastAsia="zh-CN" w:bidi="ar-SA"/>
        </w:rPr>
        <w:t>，本次绩效评价主体为</w:t>
      </w:r>
      <w:r>
        <w:rPr>
          <w:rFonts w:hint="eastAsia" w:cs="Times New Roman"/>
          <w:color w:val="auto"/>
          <w:kern w:val="0"/>
          <w:sz w:val="32"/>
          <w:szCs w:val="28"/>
          <w:highlight w:val="none"/>
          <w:lang w:val="en-US" w:eastAsia="zh-CN" w:bidi="ar-SA"/>
        </w:rPr>
        <w:t>州</w:t>
      </w:r>
      <w:r>
        <w:rPr>
          <w:rFonts w:hint="eastAsia" w:ascii="Times New Roman" w:hAnsi="Times New Roman" w:eastAsia="仿宋_GB2312" w:cs="Times New Roman"/>
          <w:color w:val="auto"/>
          <w:kern w:val="0"/>
          <w:sz w:val="32"/>
          <w:szCs w:val="28"/>
          <w:highlight w:val="none"/>
          <w:lang w:val="en-US" w:eastAsia="zh-CN" w:bidi="ar-SA"/>
        </w:rPr>
        <w:t>财政局，项目不涉及其他</w:t>
      </w:r>
      <w:r>
        <w:rPr>
          <w:rFonts w:hint="eastAsia" w:cs="Times New Roman"/>
          <w:color w:val="auto"/>
          <w:kern w:val="0"/>
          <w:sz w:val="32"/>
          <w:szCs w:val="28"/>
          <w:highlight w:val="none"/>
          <w:lang w:val="en-US" w:eastAsia="zh-CN" w:bidi="ar-SA"/>
        </w:rPr>
        <w:t>方面。</w:t>
      </w:r>
    </w:p>
    <w:p>
      <w:pPr>
        <w:keepNext w:val="0"/>
        <w:keepLines w:val="0"/>
        <w:pageBreakBefore w:val="0"/>
        <w:widowControl w:val="0"/>
        <w:kinsoku/>
        <w:wordWrap/>
        <w:overflowPunct/>
        <w:topLinePunct w:val="0"/>
        <w:autoSpaceDE/>
        <w:autoSpaceDN/>
        <w:bidi w:val="0"/>
        <w:spacing w:line="578" w:lineRule="exact"/>
        <w:ind w:firstLine="642" w:firstLineChars="200"/>
        <w:textAlignment w:val="auto"/>
        <w:outlineLvl w:val="9"/>
        <w:rPr>
          <w:rFonts w:hint="eastAsia" w:eastAsia="仿宋_GB2312" w:cs="Times New Roman"/>
          <w:color w:val="auto"/>
          <w:szCs w:val="32"/>
          <w:highlight w:val="none"/>
          <w:lang w:eastAsia="zh-CN"/>
        </w:rPr>
      </w:pPr>
      <w:r>
        <w:rPr>
          <w:rFonts w:hint="eastAsia" w:ascii="楷体_GB2312" w:hAnsi="宋体" w:eastAsia="楷体_GB2312"/>
          <w:b/>
          <w:color w:val="auto"/>
          <w:sz w:val="32"/>
          <w:szCs w:val="32"/>
          <w:highlight w:val="none"/>
          <w:u w:val="none"/>
          <w:lang w:val="zh-CN"/>
        </w:rPr>
        <w:t>（四）评价方法。</w:t>
      </w:r>
      <w:r>
        <w:rPr>
          <w:rFonts w:eastAsia="仿宋_GB2312" w:cs="Times New Roman"/>
          <w:color w:val="auto"/>
          <w:szCs w:val="32"/>
          <w:highlight w:val="none"/>
        </w:rPr>
        <w:t>单位自评法</w:t>
      </w:r>
      <w:r>
        <w:rPr>
          <w:rFonts w:hint="eastAsia" w:cs="Times New Roman"/>
          <w:color w:val="auto"/>
          <w:szCs w:val="32"/>
          <w:highlight w:val="none"/>
          <w:lang w:eastAsia="zh-CN"/>
        </w:rPr>
        <w:t>。</w:t>
      </w:r>
    </w:p>
    <w:p>
      <w:pPr>
        <w:adjustRightInd w:val="0"/>
        <w:snapToGrid w:val="0"/>
        <w:spacing w:line="578" w:lineRule="exact"/>
        <w:ind w:firstLine="642" w:firstLineChars="200"/>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（五）评价组织。</w:t>
      </w:r>
    </w:p>
    <w:p>
      <w:pPr>
        <w:adjustRightInd w:val="0"/>
        <w:snapToGrid w:val="0"/>
        <w:spacing w:line="578" w:lineRule="exact"/>
        <w:ind w:firstLine="640" w:firstLineChars="200"/>
        <w:rPr>
          <w:color w:val="auto"/>
          <w:kern w:val="0"/>
          <w:szCs w:val="28"/>
          <w:highlight w:val="none"/>
        </w:rPr>
      </w:pPr>
      <w:r>
        <w:rPr>
          <w:rFonts w:hint="eastAsia"/>
          <w:color w:val="auto"/>
          <w:kern w:val="0"/>
          <w:szCs w:val="28"/>
          <w:highlight w:val="none"/>
          <w:lang w:val="en-US" w:eastAsia="zh-CN"/>
        </w:rPr>
        <w:t>1</w:t>
      </w:r>
      <w:r>
        <w:rPr>
          <w:rFonts w:hint="eastAsia"/>
          <w:color w:val="auto"/>
          <w:kern w:val="0"/>
          <w:szCs w:val="28"/>
          <w:highlight w:val="none"/>
        </w:rPr>
        <w:t>.</w:t>
      </w:r>
      <w:r>
        <w:rPr>
          <w:color w:val="auto"/>
          <w:kern w:val="0"/>
          <w:szCs w:val="28"/>
          <w:highlight w:val="none"/>
        </w:rPr>
        <w:t>办公室职责：</w:t>
      </w:r>
    </w:p>
    <w:p>
      <w:pPr>
        <w:adjustRightInd w:val="0"/>
        <w:snapToGrid w:val="0"/>
        <w:spacing w:line="578" w:lineRule="exact"/>
        <w:ind w:firstLine="640" w:firstLineChars="200"/>
        <w:rPr>
          <w:color w:val="auto"/>
          <w:kern w:val="0"/>
          <w:szCs w:val="28"/>
          <w:highlight w:val="none"/>
        </w:rPr>
      </w:pPr>
      <w:r>
        <w:rPr>
          <w:rFonts w:hint="eastAsia"/>
          <w:color w:val="auto"/>
          <w:kern w:val="0"/>
          <w:szCs w:val="28"/>
          <w:highlight w:val="none"/>
        </w:rPr>
        <w:t>（1）</w:t>
      </w:r>
      <w:r>
        <w:rPr>
          <w:color w:val="auto"/>
          <w:kern w:val="0"/>
          <w:szCs w:val="28"/>
          <w:highlight w:val="none"/>
        </w:rPr>
        <w:t>提出</w:t>
      </w:r>
      <w:r>
        <w:rPr>
          <w:rFonts w:hint="eastAsia"/>
          <w:color w:val="auto"/>
          <w:kern w:val="0"/>
          <w:szCs w:val="28"/>
          <w:highlight w:val="none"/>
          <w:lang w:val="en-US" w:eastAsia="zh-CN"/>
        </w:rPr>
        <w:t>本单位</w:t>
      </w:r>
      <w:r>
        <w:rPr>
          <w:color w:val="auto"/>
          <w:kern w:val="0"/>
          <w:szCs w:val="28"/>
          <w:highlight w:val="none"/>
        </w:rPr>
        <w:t>管理绩效评价的工作方案，并负责具体组织实施。</w:t>
      </w:r>
    </w:p>
    <w:p>
      <w:pPr>
        <w:adjustRightInd w:val="0"/>
        <w:snapToGrid w:val="0"/>
        <w:spacing w:line="578" w:lineRule="exact"/>
        <w:ind w:firstLine="640" w:firstLineChars="200"/>
        <w:rPr>
          <w:color w:val="auto"/>
          <w:kern w:val="0"/>
          <w:szCs w:val="28"/>
          <w:highlight w:val="none"/>
        </w:rPr>
      </w:pPr>
      <w:r>
        <w:rPr>
          <w:rFonts w:hint="eastAsia"/>
          <w:color w:val="auto"/>
          <w:kern w:val="0"/>
          <w:szCs w:val="28"/>
          <w:highlight w:val="none"/>
        </w:rPr>
        <w:t>（2）</w:t>
      </w:r>
      <w:r>
        <w:rPr>
          <w:color w:val="auto"/>
          <w:kern w:val="0"/>
          <w:szCs w:val="28"/>
          <w:highlight w:val="none"/>
        </w:rPr>
        <w:t>综合评价信息，提出评价结果</w:t>
      </w:r>
      <w:r>
        <w:rPr>
          <w:rFonts w:hint="eastAsia"/>
          <w:color w:val="auto"/>
          <w:kern w:val="0"/>
          <w:szCs w:val="28"/>
          <w:highlight w:val="none"/>
          <w:lang w:eastAsia="zh-CN"/>
        </w:rPr>
        <w:t>等</w:t>
      </w:r>
      <w:r>
        <w:rPr>
          <w:color w:val="auto"/>
          <w:kern w:val="0"/>
          <w:szCs w:val="28"/>
          <w:highlight w:val="none"/>
        </w:rPr>
        <w:t>次认定方案及奖惩方案等。</w:t>
      </w:r>
    </w:p>
    <w:p>
      <w:pPr>
        <w:adjustRightInd w:val="0"/>
        <w:snapToGrid w:val="0"/>
        <w:spacing w:line="578" w:lineRule="exact"/>
        <w:ind w:firstLine="640" w:firstLineChars="200"/>
        <w:rPr>
          <w:color w:val="auto"/>
          <w:kern w:val="0"/>
          <w:szCs w:val="28"/>
          <w:highlight w:val="none"/>
        </w:rPr>
      </w:pPr>
      <w:r>
        <w:rPr>
          <w:rFonts w:hint="eastAsia"/>
          <w:color w:val="auto"/>
          <w:kern w:val="0"/>
          <w:szCs w:val="28"/>
          <w:highlight w:val="none"/>
        </w:rPr>
        <w:t>（3）</w:t>
      </w:r>
      <w:r>
        <w:rPr>
          <w:color w:val="auto"/>
          <w:kern w:val="0"/>
          <w:szCs w:val="28"/>
          <w:highlight w:val="none"/>
        </w:rPr>
        <w:t>负责绩效评价的日常工作，包括宣传、沟通、协调等。</w:t>
      </w:r>
    </w:p>
    <w:p>
      <w:pPr>
        <w:adjustRightInd w:val="0"/>
        <w:snapToGrid w:val="0"/>
        <w:spacing w:line="578" w:lineRule="exact"/>
        <w:ind w:firstLine="640" w:firstLineChars="200"/>
        <w:rPr>
          <w:color w:val="auto"/>
          <w:kern w:val="0"/>
          <w:szCs w:val="28"/>
          <w:highlight w:val="none"/>
        </w:rPr>
      </w:pPr>
      <w:r>
        <w:rPr>
          <w:rFonts w:hint="eastAsia"/>
          <w:color w:val="auto"/>
          <w:kern w:val="0"/>
          <w:szCs w:val="28"/>
          <w:highlight w:val="none"/>
        </w:rPr>
        <w:t>（4）</w:t>
      </w:r>
      <w:r>
        <w:rPr>
          <w:color w:val="auto"/>
          <w:kern w:val="0"/>
          <w:szCs w:val="28"/>
          <w:highlight w:val="none"/>
        </w:rPr>
        <w:t>根据评价结果撰写绩效评价报告，并递交给领导小组。</w:t>
      </w:r>
    </w:p>
    <w:p>
      <w:pPr>
        <w:adjustRightInd w:val="0"/>
        <w:snapToGrid w:val="0"/>
        <w:spacing w:line="578" w:lineRule="exact"/>
        <w:ind w:firstLine="640" w:firstLineChars="200"/>
        <w:rPr>
          <w:color w:val="auto"/>
          <w:kern w:val="0"/>
          <w:szCs w:val="28"/>
          <w:highlight w:val="none"/>
        </w:rPr>
      </w:pPr>
      <w:r>
        <w:rPr>
          <w:rFonts w:hint="eastAsia"/>
          <w:color w:val="auto"/>
          <w:kern w:val="0"/>
          <w:szCs w:val="28"/>
          <w:highlight w:val="none"/>
          <w:lang w:val="en-US" w:eastAsia="zh-CN"/>
        </w:rPr>
        <w:t>2</w:t>
      </w:r>
      <w:r>
        <w:rPr>
          <w:color w:val="auto"/>
          <w:kern w:val="0"/>
          <w:szCs w:val="28"/>
          <w:highlight w:val="none"/>
        </w:rPr>
        <w:t>具体执行人员职责：</w:t>
      </w:r>
    </w:p>
    <w:p>
      <w:pPr>
        <w:adjustRightInd w:val="0"/>
        <w:snapToGrid w:val="0"/>
        <w:spacing w:line="578" w:lineRule="exact"/>
        <w:ind w:firstLine="640" w:firstLineChars="200"/>
        <w:rPr>
          <w:color w:val="auto"/>
          <w:kern w:val="0"/>
          <w:szCs w:val="28"/>
          <w:highlight w:val="none"/>
        </w:rPr>
      </w:pPr>
      <w:r>
        <w:rPr>
          <w:rFonts w:hint="eastAsia"/>
          <w:color w:val="auto"/>
          <w:kern w:val="0"/>
          <w:szCs w:val="28"/>
          <w:highlight w:val="none"/>
        </w:rPr>
        <w:t>（1）</w:t>
      </w:r>
      <w:r>
        <w:rPr>
          <w:color w:val="auto"/>
          <w:kern w:val="0"/>
          <w:szCs w:val="28"/>
          <w:highlight w:val="none"/>
        </w:rPr>
        <w:t>组长：审批绩效自评方案，监督、检查、核实绩效自评结果。</w:t>
      </w:r>
    </w:p>
    <w:p>
      <w:pPr>
        <w:adjustRightInd w:val="0"/>
        <w:snapToGrid w:val="0"/>
        <w:spacing w:line="578" w:lineRule="exact"/>
        <w:ind w:firstLine="640" w:firstLineChars="200"/>
        <w:rPr>
          <w:color w:val="auto"/>
          <w:kern w:val="0"/>
          <w:szCs w:val="28"/>
          <w:highlight w:val="none"/>
        </w:rPr>
      </w:pPr>
      <w:r>
        <w:rPr>
          <w:rFonts w:hint="eastAsia"/>
          <w:color w:val="auto"/>
          <w:kern w:val="0"/>
          <w:szCs w:val="28"/>
          <w:highlight w:val="none"/>
        </w:rPr>
        <w:t>（2）</w:t>
      </w:r>
      <w:r>
        <w:rPr>
          <w:color w:val="auto"/>
          <w:kern w:val="0"/>
          <w:szCs w:val="28"/>
          <w:highlight w:val="none"/>
        </w:rPr>
        <w:t>副组长：审核修改拟定的绩效自评方案，并提交考评工作组会议讨论通过；监督、部署、确认绩效自评过程及反馈意见的处理。</w:t>
      </w:r>
    </w:p>
    <w:p>
      <w:pPr>
        <w:adjustRightInd w:val="0"/>
        <w:snapToGrid w:val="0"/>
        <w:spacing w:line="578" w:lineRule="exact"/>
        <w:ind w:firstLine="640" w:firstLineChars="200"/>
        <w:rPr>
          <w:rFonts w:hint="eastAsia" w:eastAsia="仿宋_GB2312" w:cs="Times New Roman"/>
          <w:bCs/>
          <w:color w:val="auto"/>
          <w:highlight w:val="none"/>
          <w:lang w:eastAsia="zh-CN"/>
        </w:rPr>
      </w:pPr>
      <w:r>
        <w:rPr>
          <w:rFonts w:hint="eastAsia"/>
          <w:color w:val="auto"/>
          <w:kern w:val="0"/>
          <w:szCs w:val="28"/>
          <w:highlight w:val="none"/>
        </w:rPr>
        <w:t>（3）</w:t>
      </w:r>
      <w:r>
        <w:rPr>
          <w:color w:val="auto"/>
          <w:kern w:val="0"/>
          <w:szCs w:val="28"/>
          <w:highlight w:val="none"/>
        </w:rPr>
        <w:t>小组成员：起草和修改绩效考评方案报自评领导工作组会议讨论通过，实施执行绩效自评方案；牵头组织并实施年度绩效自评，根据组长、副组长指示，对考评结果进行复核，完成绩效自核工作组安排的其他工作。</w:t>
      </w:r>
    </w:p>
    <w:p>
      <w:pPr>
        <w:adjustRightInd w:val="0"/>
        <w:snapToGrid w:val="0"/>
        <w:spacing w:line="578" w:lineRule="exact"/>
        <w:ind w:firstLine="640" w:firstLineChars="200"/>
        <w:rPr>
          <w:color w:val="auto"/>
          <w:kern w:val="0"/>
          <w:szCs w:val="28"/>
          <w:highlight w:val="none"/>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bCs/>
          <w:color w:val="auto"/>
          <w:highlight w:val="none"/>
          <w:lang w:eastAsia="zh-CN"/>
        </w:rPr>
      </w:pP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pageBreakBefore w:val="0"/>
        <w:kinsoku/>
        <w:wordWrap/>
        <w:overflowPunct/>
        <w:topLinePunct w:val="0"/>
        <w:autoSpaceDE/>
        <w:autoSpaceDN/>
        <w:bidi w:val="0"/>
        <w:spacing w:line="550" w:lineRule="exact"/>
        <w:ind w:firstLine="640" w:firstLineChars="200"/>
        <w:textAlignment w:val="auto"/>
        <w:rPr>
          <w:rFonts w:hint="eastAsia"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rPr>
        <w:t>从整体情况来看，我单位在各资金使用和项目实施中，能够按照国家相关规定执行和实施，项目的管理、实施和效果均达到预期目的，管理较规范，实施进度快，最终效果好。</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52</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1.</w:t>
      </w:r>
      <w:r>
        <w:rPr>
          <w:rFonts w:hint="eastAsia" w:ascii="楷体_GB2312" w:hAnsi="楷体_GB2312" w:eastAsia="楷体_GB2312" w:cs="楷体_GB2312"/>
          <w:color w:val="auto"/>
          <w:szCs w:val="32"/>
          <w:lang w:eastAsia="zh-CN"/>
        </w:rPr>
        <w:t>项目决策。指标分值</w:t>
      </w:r>
      <w:r>
        <w:rPr>
          <w:rFonts w:hint="eastAsia" w:ascii="楷体_GB2312" w:hAnsi="楷体_GB2312" w:eastAsia="楷体_GB2312" w:cs="楷体_GB2312"/>
          <w:color w:val="auto"/>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决策程序</w:t>
      </w:r>
      <w:r>
        <w:rPr>
          <w:rFonts w:hint="eastAsia" w:cs="Times New Roman"/>
          <w:color w:val="auto"/>
          <w:szCs w:val="32"/>
          <w:lang w:eastAsia="zh-CN"/>
        </w:rPr>
        <w:t>：</w:t>
      </w:r>
      <w:r>
        <w:rPr>
          <w:rFonts w:hint="eastAsia" w:ascii="Times New Roman" w:hAnsi="Times New Roman" w:cs="Times New Roman"/>
          <w:color w:val="auto"/>
          <w:szCs w:val="32"/>
          <w:lang w:eastAsia="zh-CN"/>
        </w:rPr>
        <w:t>项目设立、调整延续等方面符合资金管理基本规范和决策程序要求</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规划论证</w:t>
      </w:r>
      <w:r>
        <w:rPr>
          <w:rFonts w:hint="eastAsia" w:cs="Times New Roman"/>
          <w:color w:val="auto"/>
          <w:szCs w:val="32"/>
          <w:lang w:eastAsia="zh-CN"/>
        </w:rPr>
        <w:t>：</w:t>
      </w:r>
      <w:r>
        <w:rPr>
          <w:rFonts w:hint="eastAsia" w:ascii="Times New Roman" w:hAnsi="Times New Roman" w:cs="Times New Roman"/>
          <w:color w:val="auto"/>
          <w:szCs w:val="32"/>
          <w:lang w:eastAsia="zh-CN"/>
        </w:rPr>
        <w:t>项目规划论证符合中省要求，项目绩效目标设置科学合理，项目资金与项目总体规划、相关行业事业发展相匹配，聚焦重大任务、重点领域、重点环节和重点项目</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eastAsia="zh-CN"/>
        </w:rPr>
        <w:t>资金投向</w:t>
      </w:r>
      <w:r>
        <w:rPr>
          <w:rFonts w:hint="eastAsia" w:cs="Times New Roman"/>
          <w:color w:val="auto"/>
          <w:szCs w:val="32"/>
          <w:lang w:eastAsia="zh-CN"/>
        </w:rPr>
        <w:t>：项目资金是与项目总体规划、相关行业事业发展相匹配，聚焦重大任务、重点领域、重点环节和重点项目。体现“集中力量办大事”原则，避免“撒胡椒面”。指标分值</w:t>
      </w:r>
      <w:r>
        <w:rPr>
          <w:rFonts w:hint="eastAsia" w:cs="Times New Roman"/>
          <w:color w:val="auto"/>
          <w:szCs w:val="32"/>
          <w:lang w:val="en-US" w:eastAsia="zh-CN"/>
        </w:rPr>
        <w:t>6分，自评得分6分。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2.</w:t>
      </w:r>
      <w:r>
        <w:rPr>
          <w:rFonts w:hint="eastAsia" w:ascii="楷体_GB2312" w:hAnsi="楷体_GB2312" w:eastAsia="楷体_GB2312" w:cs="楷体_GB2312"/>
          <w:color w:val="auto"/>
          <w:szCs w:val="32"/>
          <w:lang w:eastAsia="zh-CN"/>
        </w:rPr>
        <w:t>项目管理。指标分值</w:t>
      </w:r>
      <w:r>
        <w:rPr>
          <w:rFonts w:hint="eastAsia" w:ascii="楷体_GB2312" w:hAnsi="楷体_GB2312" w:eastAsia="楷体_GB2312" w:cs="楷体_GB2312"/>
          <w:color w:val="auto"/>
          <w:szCs w:val="32"/>
          <w:lang w:val="en-US" w:eastAsia="zh-CN"/>
        </w:rPr>
        <w:t>18分，自评得分16分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val="en-US" w:eastAsia="zh-CN"/>
        </w:rPr>
        <w:t>制度办法</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项目制度办法体系健全、要素完备</w:t>
      </w:r>
      <w:r>
        <w:rPr>
          <w:rFonts w:hint="eastAsia" w:cs="Times New Roman"/>
          <w:color w:val="auto"/>
          <w:szCs w:val="32"/>
          <w:lang w:val="en-US" w:eastAsia="zh-CN"/>
        </w:rPr>
        <w:t>。资金管理办法等管理制度体系健全完善，不存在管理制度缺失、管理办法过期情况。</w:t>
      </w:r>
      <w:r>
        <w:rPr>
          <w:rFonts w:hint="eastAsia" w:cs="Times New Roman"/>
          <w:color w:val="auto"/>
          <w:szCs w:val="32"/>
          <w:lang w:eastAsia="zh-CN"/>
        </w:rPr>
        <w:t>指标分值</w:t>
      </w:r>
      <w:r>
        <w:rPr>
          <w:rFonts w:hint="eastAsia" w:cs="Times New Roman"/>
          <w:color w:val="auto"/>
          <w:szCs w:val="32"/>
          <w:lang w:val="en-US" w:eastAsia="zh-CN"/>
        </w:rPr>
        <w:t>2分，自评得分2分。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eastAsia="zh-CN"/>
        </w:rPr>
      </w:pPr>
      <w:r>
        <w:rPr>
          <w:rFonts w:hint="eastAsia" w:cs="Times New Roman"/>
          <w:color w:val="auto"/>
          <w:szCs w:val="32"/>
          <w:lang w:val="en-US" w:eastAsia="zh-CN"/>
        </w:rPr>
        <w:t>分配管理：</w:t>
      </w:r>
      <w:r>
        <w:rPr>
          <w:rFonts w:hint="eastAsia" w:ascii="Times New Roman" w:hAnsi="Times New Roman" w:cs="Times New Roman"/>
          <w:color w:val="auto"/>
          <w:szCs w:val="32"/>
          <w:lang w:val="en-US" w:eastAsia="zh-CN"/>
        </w:rPr>
        <w:t>项目资金分配因素选取、权重设置、区域分布，项目管理、审批符合管理要求，管资金、项目、政策管绩效，项目绩效监管按要求开展，对下指导有力有效。</w:t>
      </w:r>
      <w:r>
        <w:rPr>
          <w:rFonts w:hint="eastAsia" w:cs="Times New Roman"/>
          <w:color w:val="auto"/>
          <w:szCs w:val="32"/>
          <w:lang w:eastAsia="zh-CN"/>
        </w:rPr>
        <w:t>指标分值</w:t>
      </w:r>
      <w:r>
        <w:rPr>
          <w:rFonts w:hint="eastAsia" w:cs="Times New Roman"/>
          <w:color w:val="auto"/>
          <w:szCs w:val="32"/>
          <w:lang w:val="en-US" w:eastAsia="zh-CN"/>
        </w:rPr>
        <w:t>10分，自评得分8分。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ascii="楷体_GB2312" w:hAnsi="楷体_GB2312" w:eastAsia="楷体_GB2312" w:cs="楷体_GB2312"/>
          <w:color w:val="auto"/>
          <w:szCs w:val="32"/>
          <w:lang w:eastAsia="zh-CN"/>
        </w:rPr>
        <w:t>绩效监管</w:t>
      </w:r>
      <w:r>
        <w:rPr>
          <w:rFonts w:hint="eastAsia" w:ascii="楷体_GB2312" w:hAnsi="楷体_GB2312" w:eastAsia="楷体_GB2312" w:cs="楷体_GB2312"/>
          <w:color w:val="auto"/>
          <w:szCs w:val="32"/>
          <w:lang w:val="en-US" w:eastAsia="zh-CN"/>
        </w:rPr>
        <w:t>:</w:t>
      </w:r>
      <w:r>
        <w:rPr>
          <w:rFonts w:hint="eastAsia" w:ascii="Times New Roman" w:hAnsi="Times New Roman" w:cs="Times New Roman"/>
          <w:color w:val="auto"/>
          <w:szCs w:val="32"/>
          <w:lang w:val="en-US" w:eastAsia="zh-CN"/>
        </w:rPr>
        <w:t>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3.项目实施。指标分值9分，自评得分9分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ascii="楷体_GB2312" w:hAnsi="楷体_GB2312" w:eastAsia="楷体_GB2312" w:cs="楷体_GB2312"/>
          <w:color w:val="auto"/>
          <w:szCs w:val="32"/>
          <w:lang w:val="en-US" w:eastAsia="zh-CN"/>
        </w:rPr>
        <w:t>预算执行:</w:t>
      </w:r>
      <w:r>
        <w:rPr>
          <w:rFonts w:hint="eastAsia" w:cs="Times New Roman"/>
          <w:color w:val="auto"/>
          <w:szCs w:val="32"/>
          <w:lang w:val="en-US" w:eastAsia="zh-CN"/>
        </w:rPr>
        <w:t>项目预算资金152.54万元，支付152.54万元。指</w:t>
      </w:r>
      <w:r>
        <w:rPr>
          <w:rFonts w:hint="eastAsia" w:cs="Times New Roman"/>
          <w:color w:val="auto"/>
          <w:szCs w:val="32"/>
          <w:lang w:eastAsia="zh-CN"/>
        </w:rPr>
        <w:t>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cs="Times New Roman"/>
          <w:color w:val="auto"/>
          <w:szCs w:val="32"/>
          <w:lang w:val="en-US" w:eastAsia="zh-CN"/>
        </w:rPr>
      </w:pPr>
      <w:r>
        <w:rPr>
          <w:rFonts w:hint="default" w:ascii="楷体_GB2312" w:hAnsi="楷体_GB2312" w:eastAsia="楷体_GB2312" w:cs="楷体_GB2312"/>
          <w:color w:val="auto"/>
          <w:szCs w:val="32"/>
          <w:lang w:val="en-US" w:eastAsia="zh-CN"/>
        </w:rPr>
        <w:t>资金使用</w:t>
      </w:r>
      <w:r>
        <w:rPr>
          <w:rFonts w:hint="eastAsia" w:ascii="楷体_GB2312" w:hAnsi="楷体_GB2312" w:eastAsia="楷体_GB2312" w:cs="楷体_GB2312"/>
          <w:color w:val="auto"/>
          <w:szCs w:val="32"/>
          <w:lang w:val="en-US" w:eastAsia="zh-CN"/>
        </w:rPr>
        <w:t>:项</w:t>
      </w:r>
      <w:r>
        <w:rPr>
          <w:rFonts w:hint="eastAsia" w:cs="Times New Roman"/>
          <w:color w:val="auto"/>
          <w:szCs w:val="32"/>
          <w:lang w:val="en-US" w:eastAsia="zh-CN"/>
        </w:rPr>
        <w:t>目资金使用、拨付符合国家财经法规、财务管理制度及有关专项资金管理制度办法规定和审批程序，不存在超范围、超标准、超进度使用专项资金，不存在资金损失浪费、长期沉淀、截留、挤占、挪用、虚列支出等情况。</w:t>
      </w:r>
      <w:r>
        <w:rPr>
          <w:rFonts w:hint="eastAsia" w:cs="Times New Roman"/>
          <w:color w:val="auto"/>
          <w:szCs w:val="32"/>
          <w:lang w:eastAsia="zh-CN"/>
        </w:rPr>
        <w:t>指标分值</w:t>
      </w:r>
      <w:r>
        <w:rPr>
          <w:rFonts w:hint="eastAsia" w:cs="Times New Roman"/>
          <w:color w:val="auto"/>
          <w:szCs w:val="32"/>
          <w:lang w:val="en-US" w:eastAsia="zh-CN"/>
        </w:rPr>
        <w:t>3分，自评得分3分。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4.项目结果。指标分值9分，自评得分9分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cs="Times New Roman"/>
          <w:color w:val="auto"/>
          <w:szCs w:val="32"/>
          <w:lang w:val="en-US" w:eastAsia="zh-CN"/>
        </w:rPr>
      </w:pPr>
      <w:r>
        <w:rPr>
          <w:rFonts w:hint="eastAsia" w:ascii="Times New Roman" w:hAnsi="Times New Roman" w:cs="Times New Roman"/>
          <w:color w:val="auto"/>
          <w:szCs w:val="32"/>
          <w:lang w:val="en-US" w:eastAsia="zh-CN"/>
        </w:rPr>
        <w:t>目标完成</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资金项目内容与具体实施内容相符的、申报目标是合理可行。项目运行成本、管理效率、履职效能、社会效应、可持续发展能力和服务对象满意度等方面均取得良好成果，预算绩效实现全覆盖。</w:t>
      </w:r>
      <w:r>
        <w:rPr>
          <w:rFonts w:hint="eastAsia" w:cs="Times New Roman"/>
          <w:color w:val="auto"/>
          <w:szCs w:val="32"/>
          <w:lang w:val="en-US" w:eastAsia="zh-CN"/>
        </w:rPr>
        <w:t>截止2023年底完成项目资金拨付。指</w:t>
      </w:r>
      <w:r>
        <w:rPr>
          <w:rFonts w:hint="eastAsia" w:cs="Times New Roman"/>
          <w:color w:val="auto"/>
          <w:szCs w:val="32"/>
          <w:lang w:eastAsia="zh-CN"/>
        </w:rPr>
        <w:t>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cs="Times New Roman"/>
          <w:color w:val="auto"/>
          <w:szCs w:val="32"/>
          <w:lang w:val="en-US" w:eastAsia="zh-CN"/>
        </w:rPr>
        <w:t>完成时效：资金项目按照目标任务已于2023年底完成。</w:t>
      </w:r>
      <w:r>
        <w:rPr>
          <w:rFonts w:hint="eastAsia" w:cs="Times New Roman"/>
          <w:color w:val="auto"/>
          <w:szCs w:val="32"/>
          <w:lang w:eastAsia="zh-CN"/>
        </w:rPr>
        <w:t>指标分值</w:t>
      </w:r>
      <w:r>
        <w:rPr>
          <w:rFonts w:hint="eastAsia" w:cs="Times New Roman"/>
          <w:color w:val="auto"/>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楷体_GB2312" w:hAnsi="楷体_GB2312" w:eastAsia="楷体_GB2312" w:cs="楷体_GB2312"/>
          <w:color w:val="auto"/>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宋体" w:eastAsia="仿宋_GB2312" w:cs="Times New Roman"/>
          <w:sz w:val="32"/>
          <w:szCs w:val="32"/>
          <w:lang w:val="zh-CN" w:eastAsia="zh-CN"/>
        </w:rPr>
      </w:pPr>
      <w:bookmarkStart w:id="0" w:name="OLE_LINK1"/>
      <w:r>
        <w:rPr>
          <w:rFonts w:hint="eastAsia" w:ascii="仿宋_GB2312" w:hAnsi="宋体" w:eastAsia="仿宋_GB2312" w:cs="Times New Roman"/>
          <w:sz w:val="32"/>
          <w:szCs w:val="32"/>
          <w:lang w:val="en-US" w:eastAsia="zh-CN"/>
        </w:rPr>
        <w:t>该项目为</w:t>
      </w:r>
      <w:r>
        <w:rPr>
          <w:rFonts w:hint="eastAsia" w:ascii="仿宋_GB2312" w:hAnsi="宋体" w:eastAsia="仿宋_GB2312" w:cs="Times New Roman"/>
          <w:sz w:val="32"/>
          <w:szCs w:val="32"/>
          <w:lang w:val="zh-CN" w:eastAsia="zh-CN"/>
        </w:rPr>
        <w:t>行政运转。</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default" w:cs="Times New Roman"/>
          <w:color w:val="auto"/>
          <w:szCs w:val="32"/>
          <w:lang w:val="en-US" w:eastAsia="zh-CN"/>
        </w:rPr>
      </w:pPr>
      <w:r>
        <w:rPr>
          <w:rFonts w:hint="eastAsia" w:cs="Times New Roman"/>
          <w:color w:val="auto"/>
          <w:szCs w:val="32"/>
          <w:lang w:val="zh-CN" w:eastAsia="zh-CN"/>
        </w:rPr>
        <w:t>用途合规性</w:t>
      </w:r>
      <w:r>
        <w:rPr>
          <w:rFonts w:hint="eastAsia" w:cs="Times New Roman"/>
          <w:color w:val="auto"/>
          <w:szCs w:val="32"/>
          <w:lang w:val="en-US" w:eastAsia="zh-CN"/>
        </w:rPr>
        <w:t>：该项目按规定用途、使用范围进行本地区专项资金分配。指标分值10分，自评得</w:t>
      </w:r>
      <w:bookmarkStart w:id="2" w:name="_GoBack"/>
      <w:bookmarkEnd w:id="2"/>
      <w:r>
        <w:rPr>
          <w:rFonts w:hint="eastAsia" w:cs="Times New Roman"/>
          <w:color w:val="auto"/>
          <w:szCs w:val="32"/>
          <w:lang w:val="en-US" w:eastAsia="zh-CN"/>
        </w:rPr>
        <w:t>分10分。</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cs="Times New Roman"/>
          <w:color w:val="auto"/>
          <w:szCs w:val="32"/>
          <w:lang w:val="en-US" w:eastAsia="zh-CN"/>
        </w:rPr>
      </w:pPr>
      <w:r>
        <w:rPr>
          <w:rFonts w:hint="eastAsia" w:ascii="仿宋_GB2312" w:hAnsi="宋体" w:cs="Times New Roman"/>
          <w:sz w:val="32"/>
          <w:szCs w:val="32"/>
          <w:lang w:val="en-US" w:eastAsia="zh-CN"/>
        </w:rPr>
        <w:t>程序合规性：</w:t>
      </w:r>
      <w:r>
        <w:rPr>
          <w:rFonts w:hint="eastAsia" w:ascii="仿宋_GB2312" w:hAnsi="宋体" w:eastAsia="仿宋_GB2312" w:cs="Times New Roman"/>
          <w:sz w:val="32"/>
          <w:szCs w:val="32"/>
          <w:lang w:eastAsia="zh-CN"/>
        </w:rPr>
        <w:t>黑水县</w:t>
      </w:r>
      <w:r>
        <w:rPr>
          <w:rFonts w:hint="eastAsia" w:ascii="仿宋_GB2312" w:hAnsi="宋体" w:eastAsia="仿宋_GB2312" w:cs="Times New Roman"/>
          <w:sz w:val="32"/>
          <w:szCs w:val="32"/>
          <w:lang w:val="en-US" w:eastAsia="zh-CN"/>
        </w:rPr>
        <w:t>公务服务中心</w:t>
      </w:r>
      <w:r>
        <w:rPr>
          <w:rFonts w:hint="eastAsia" w:ascii="仿宋_GB2312" w:hAnsi="宋体" w:eastAsia="仿宋_GB2312" w:cs="Times New Roman"/>
          <w:sz w:val="32"/>
          <w:szCs w:val="32"/>
          <w:lang w:eastAsia="zh-CN"/>
        </w:rPr>
        <w:t>从项目的申请、执行以及如何执行、资金如何使用等方面均出台文件，并制定了相关的制度、方案、办法等。如</w:t>
      </w:r>
      <w:r>
        <w:rPr>
          <w:rFonts w:hint="eastAsia" w:ascii="仿宋_GB2312" w:hAnsi="宋体" w:eastAsia="仿宋_GB2312" w:cs="Times New Roman"/>
          <w:sz w:val="32"/>
          <w:szCs w:val="32"/>
          <w:lang w:val="en-US" w:eastAsia="zh-CN"/>
        </w:rPr>
        <w:t>黑水县公务接待管理办法</w:t>
      </w:r>
      <w:r>
        <w:rPr>
          <w:rFonts w:hint="eastAsia" w:ascii="仿宋_GB2312" w:hAnsi="宋体" w:eastAsia="仿宋_GB2312" w:cs="Times New Roman"/>
          <w:sz w:val="32"/>
          <w:szCs w:val="32"/>
          <w:lang w:eastAsia="zh-CN"/>
        </w:rPr>
        <w:t>、</w:t>
      </w:r>
      <w:r>
        <w:rPr>
          <w:rFonts w:hint="eastAsia" w:ascii="仿宋_GB2312" w:hAnsi="宋体" w:eastAsia="仿宋_GB2312" w:cs="Times New Roman"/>
          <w:sz w:val="32"/>
          <w:szCs w:val="32"/>
          <w:lang w:val="en-US" w:eastAsia="zh-CN"/>
        </w:rPr>
        <w:t>黑水县公务服务中心机关伙食团管理办法、</w:t>
      </w:r>
      <w:r>
        <w:rPr>
          <w:rFonts w:hint="eastAsia" w:ascii="仿宋_GB2312" w:hAnsi="宋体" w:eastAsia="仿宋_GB2312" w:cs="Times New Roman"/>
          <w:sz w:val="32"/>
          <w:szCs w:val="32"/>
          <w:lang w:eastAsia="zh-CN"/>
        </w:rPr>
        <w:t>黑水县</w:t>
      </w:r>
      <w:r>
        <w:rPr>
          <w:rFonts w:hint="eastAsia" w:ascii="仿宋_GB2312" w:hAnsi="宋体" w:eastAsia="仿宋_GB2312" w:cs="Times New Roman"/>
          <w:sz w:val="32"/>
          <w:szCs w:val="32"/>
          <w:lang w:val="en-US" w:eastAsia="zh-CN"/>
        </w:rPr>
        <w:t>公务服务中心</w:t>
      </w:r>
      <w:r>
        <w:rPr>
          <w:rFonts w:hint="eastAsia" w:ascii="仿宋_GB2312" w:hAnsi="宋体" w:eastAsia="仿宋_GB2312" w:cs="Times New Roman"/>
          <w:sz w:val="32"/>
          <w:szCs w:val="32"/>
          <w:lang w:eastAsia="zh-CN"/>
        </w:rPr>
        <w:t>内部管理制度、黑水县</w:t>
      </w:r>
      <w:r>
        <w:rPr>
          <w:rFonts w:hint="eastAsia" w:ascii="仿宋_GB2312" w:hAnsi="宋体" w:eastAsia="仿宋_GB2312" w:cs="Times New Roman"/>
          <w:sz w:val="32"/>
          <w:szCs w:val="32"/>
          <w:lang w:val="en-US" w:eastAsia="zh-CN"/>
        </w:rPr>
        <w:t>公务服务中心</w:t>
      </w:r>
      <w:r>
        <w:rPr>
          <w:rFonts w:hint="eastAsia" w:ascii="仿宋_GB2312" w:hAnsi="宋体" w:eastAsia="仿宋_GB2312" w:cs="Times New Roman"/>
          <w:sz w:val="32"/>
          <w:szCs w:val="32"/>
          <w:lang w:eastAsia="zh-CN"/>
        </w:rPr>
        <w:t>收支业务管理制度、黑水县</w:t>
      </w:r>
      <w:r>
        <w:rPr>
          <w:rFonts w:hint="eastAsia" w:ascii="仿宋_GB2312" w:hAnsi="宋体" w:eastAsia="仿宋_GB2312" w:cs="Times New Roman"/>
          <w:sz w:val="32"/>
          <w:szCs w:val="32"/>
          <w:lang w:val="en-US" w:eastAsia="zh-CN"/>
        </w:rPr>
        <w:t>公务服务中心</w:t>
      </w:r>
      <w:r>
        <w:rPr>
          <w:rFonts w:hint="eastAsia" w:ascii="仿宋_GB2312" w:hAnsi="宋体" w:eastAsia="仿宋_GB2312" w:cs="Times New Roman"/>
          <w:sz w:val="32"/>
          <w:szCs w:val="32"/>
          <w:lang w:eastAsia="zh-CN"/>
        </w:rPr>
        <w:t>财政专项资金管理办法。</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val="zh-CN" w:eastAsia="zh-CN"/>
        </w:rPr>
      </w:pPr>
      <w:r>
        <w:rPr>
          <w:rFonts w:hint="eastAsia" w:cs="Times New Roman"/>
          <w:color w:val="auto"/>
          <w:szCs w:val="32"/>
          <w:lang w:val="zh-CN" w:eastAsia="zh-CN"/>
        </w:rPr>
        <w:t>标准合规性</w:t>
      </w:r>
      <w:r>
        <w:rPr>
          <w:rFonts w:hint="eastAsia" w:cs="Times New Roman"/>
          <w:color w:val="auto"/>
          <w:szCs w:val="32"/>
          <w:lang w:val="en-US" w:eastAsia="zh-CN"/>
        </w:rPr>
        <w:t>：项</w:t>
      </w:r>
      <w:r>
        <w:rPr>
          <w:rFonts w:hint="eastAsia" w:ascii="Times New Roman" w:hAnsi="Times New Roman" w:cs="Times New Roman"/>
          <w:color w:val="auto"/>
          <w:szCs w:val="32"/>
          <w:lang w:val="en-US" w:eastAsia="zh-CN"/>
        </w:rPr>
        <w:t>目资金分配均衡公平，资金实际支持对象符合管理要求，符合支持对象范围，资金实际补贴标准符合资金管理办法规定的补助标准，及时按标准兑现，资金涉及服务对象满意度不低于9</w:t>
      </w:r>
      <w:r>
        <w:rPr>
          <w:rFonts w:hint="eastAsia" w:cs="Times New Roman"/>
          <w:color w:val="auto"/>
          <w:szCs w:val="32"/>
          <w:lang w:val="en-US" w:eastAsia="zh-CN"/>
        </w:rPr>
        <w:t>8</w:t>
      </w:r>
      <w:r>
        <w:rPr>
          <w:rFonts w:hint="eastAsia" w:ascii="Times New Roman" w:hAnsi="Times New Roman" w:cs="Times New Roman"/>
          <w:color w:val="auto"/>
          <w:szCs w:val="32"/>
          <w:lang w:val="en-US" w:eastAsia="zh-CN"/>
        </w:rPr>
        <w:t>%，</w:t>
      </w:r>
      <w:r>
        <w:rPr>
          <w:rFonts w:hint="eastAsia" w:cs="Times New Roman"/>
          <w:color w:val="auto"/>
          <w:szCs w:val="32"/>
          <w:lang w:val="zh-CN" w:eastAsia="zh-CN"/>
        </w:rPr>
        <w:t>项目用途合规性、程序合规性、标准合规性。</w:t>
      </w:r>
      <w:r>
        <w:rPr>
          <w:rFonts w:hint="eastAsia" w:cs="Times New Roman"/>
          <w:color w:val="auto"/>
          <w:szCs w:val="32"/>
          <w:lang w:eastAsia="zh-CN"/>
        </w:rPr>
        <w:t>指标分值</w:t>
      </w:r>
      <w:r>
        <w:rPr>
          <w:rFonts w:hint="eastAsia" w:cs="Times New Roman"/>
          <w:color w:val="auto"/>
          <w:szCs w:val="32"/>
          <w:lang w:val="en-US" w:eastAsia="zh-CN"/>
        </w:rPr>
        <w:t>10分，自评得分10分。</w:t>
      </w:r>
      <w:bookmarkEnd w:id="0"/>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321" w:firstLineChars="10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楷体_GB2312" w:hAnsi="宋体" w:eastAsia="楷体_GB2312" w:cs="Times New Roman"/>
          <w:b/>
          <w:color w:val="auto"/>
          <w:sz w:val="32"/>
          <w:szCs w:val="32"/>
          <w:highlight w:val="none"/>
          <w:u w:val="none"/>
          <w:lang w:val="en-US" w:eastAsia="zh-CN"/>
        </w:rPr>
        <w:t>（三）个性指标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我单位在规定时间内做好</w:t>
      </w:r>
      <w:r>
        <w:rPr>
          <w:rFonts w:hint="eastAsia" w:ascii="仿宋_GB2312"/>
          <w:color w:val="auto"/>
          <w:highlight w:val="none"/>
          <w:lang w:val="en-US" w:eastAsia="zh-CN"/>
        </w:rPr>
        <w:t>长征文化公园及文化和旅游暨全域旅游发展大会主会场提升改造项目</w:t>
      </w:r>
      <w:r>
        <w:rPr>
          <w:rFonts w:hint="eastAsia" w:ascii="Times New Roman" w:hAnsi="Times New Roman" w:cs="Times New Roman"/>
          <w:color w:val="auto"/>
          <w:szCs w:val="32"/>
          <w:lang w:val="en-US" w:eastAsia="zh-CN"/>
        </w:rPr>
        <w:t>经费个性化绩效评价指标具有特定的针对性，</w:t>
      </w:r>
      <w:r>
        <w:rPr>
          <w:rFonts w:hint="eastAsia" w:cs="Times New Roman"/>
          <w:color w:val="auto"/>
          <w:szCs w:val="32"/>
          <w:lang w:val="en-US" w:eastAsia="zh-CN"/>
        </w:rPr>
        <w:t>完成主会场1个，场地改造，线路及设施改造。</w:t>
      </w:r>
      <w:r>
        <w:rPr>
          <w:rFonts w:hint="eastAsia" w:ascii="Times New Roman" w:hAnsi="Times New Roman" w:cs="Times New Roman"/>
          <w:color w:val="auto"/>
          <w:szCs w:val="32"/>
          <w:lang w:val="en-US" w:eastAsia="zh-CN"/>
        </w:rPr>
        <w:t>能够更好保障</w:t>
      </w:r>
      <w:r>
        <w:rPr>
          <w:rFonts w:hint="eastAsia" w:cs="Times New Roman"/>
          <w:color w:val="auto"/>
          <w:szCs w:val="32"/>
          <w:lang w:val="en-US" w:eastAsia="zh-CN"/>
        </w:rPr>
        <w:t>会场正常运行，为文旅大会提供保障。</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keepNext w:val="0"/>
        <w:keepLines w:val="0"/>
        <w:pageBreakBefore w:val="0"/>
        <w:kinsoku/>
        <w:wordWrap/>
        <w:overflowPunct/>
        <w:topLinePunct w:val="0"/>
        <w:autoSpaceDE/>
        <w:autoSpaceDN/>
        <w:bidi w:val="0"/>
        <w:spacing w:line="550" w:lineRule="exact"/>
        <w:ind w:firstLine="640" w:firstLineChars="200"/>
        <w:textAlignment w:val="auto"/>
        <w:rPr>
          <w:rFonts w:hint="eastAsia"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rPr>
        <w:t>从整体情况来看，我单位在各资金使用和项目实施中，能够按照国家相关规定执行和实施，项目的管理、实施和效果均达到预期目的，管理较规范，实施进度快，最终效果好。</w:t>
      </w:r>
      <w:bookmarkStart w:id="1" w:name="OLE_LINK2"/>
      <w:r>
        <w:rPr>
          <w:rFonts w:hint="eastAsia" w:ascii="仿宋_GB2312" w:hAnsi="仿宋_GB2312" w:cs="Times New Roman"/>
          <w:color w:val="auto"/>
          <w:sz w:val="32"/>
          <w:szCs w:val="32"/>
          <w:highlight w:val="none"/>
          <w:lang w:val="en-US" w:eastAsia="zh-CN"/>
        </w:rPr>
        <w:t>该项目自评得分98分。</w:t>
      </w:r>
      <w:bookmarkEnd w:id="1"/>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宋体" w:eastAsia="仿宋_GB2312" w:cs="Times New Roman"/>
          <w:color w:val="auto"/>
          <w:sz w:val="32"/>
          <w:szCs w:val="32"/>
          <w:highlight w:val="none"/>
          <w:lang w:val="en-US" w:eastAsia="zh-CN"/>
        </w:rPr>
      </w:pPr>
      <w:r>
        <w:rPr>
          <w:rFonts w:hint="eastAsia" w:ascii="仿宋_GB2312" w:hAnsi="宋体" w:eastAsia="仿宋_GB2312" w:cs="Times New Roman"/>
          <w:color w:val="auto"/>
          <w:sz w:val="32"/>
          <w:szCs w:val="32"/>
          <w:highlight w:val="none"/>
          <w:lang w:val="en-US" w:eastAsia="zh-CN"/>
        </w:rPr>
        <w:t>项目经费使用严格按照相关规定执行，资金到位时间慢，存在支出进度缓慢，材料报送不及时等问题，针对项目执行时出现的问题，及时改进</w:t>
      </w:r>
      <w:r>
        <w:rPr>
          <w:rFonts w:hint="eastAsia" w:ascii="宋体" w:hAnsi="宋体" w:eastAsia="宋体" w:cs="宋体"/>
          <w:caps w:val="0"/>
          <w:color w:val="auto"/>
          <w:spacing w:val="0"/>
          <w:sz w:val="24"/>
          <w:szCs w:val="24"/>
          <w:highlight w:val="none"/>
          <w:shd w:val="clear" w:color="auto" w:fill="FFFFFF"/>
          <w:vertAlign w:val="baseline"/>
        </w:rPr>
        <w:t>，</w:t>
      </w:r>
      <w:r>
        <w:rPr>
          <w:rFonts w:hint="eastAsia" w:ascii="仿宋_GB2312" w:hAnsi="宋体" w:eastAsia="仿宋_GB2312" w:cs="Times New Roman"/>
          <w:color w:val="auto"/>
          <w:sz w:val="32"/>
          <w:szCs w:val="32"/>
          <w:highlight w:val="none"/>
          <w:lang w:val="en-US" w:eastAsia="zh-CN"/>
        </w:rPr>
        <w:t>加快材料报送与审核流程，确保项目经费支出符合相关规定并按时支出。</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pStyle w:val="7"/>
        <w:rPr>
          <w:rFonts w:hint="eastAsia" w:ascii="仿宋_GB2312" w:hAnsi="宋体" w:eastAsia="仿宋_GB2312" w:cs="Times New Roman"/>
          <w:sz w:val="32"/>
          <w:szCs w:val="32"/>
          <w:lang w:val="en-US" w:eastAsia="zh-CN"/>
        </w:rPr>
      </w:pPr>
      <w:r>
        <w:rPr>
          <w:rFonts w:hint="eastAsia" w:ascii="仿宋_GB2312" w:hAnsi="仿宋_GB2312" w:cs="仿宋_GB2312"/>
          <w:color w:val="auto"/>
          <w:kern w:val="0"/>
          <w:sz w:val="32"/>
          <w:szCs w:val="32"/>
          <w:highlight w:val="none"/>
          <w:u w:val="none"/>
          <w:shd w:val="clear" w:color="auto" w:fill="FFFFFF"/>
          <w:lang w:val="en-US" w:eastAsia="zh-CN"/>
        </w:rPr>
        <w:t>无</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auto"/>
          <w:kern w:val="0"/>
          <w:szCs w:val="32"/>
          <w:highlight w:val="none"/>
          <w:shd w:val="clear" w:color="auto" w:fill="FFFFFF"/>
          <w:lang w:val="en-US" w:eastAsia="zh-CN"/>
        </w:rPr>
      </w:pPr>
      <w:r>
        <w:rPr>
          <w:rFonts w:hint="eastAsia" w:ascii="Times New Roman" w:hAnsi="Times New Roman" w:cs="Times New Roman"/>
          <w:color w:val="auto"/>
          <w:kern w:val="0"/>
          <w:szCs w:val="32"/>
          <w:highlight w:val="none"/>
          <w:shd w:val="clear" w:color="auto" w:fill="FFFFFF"/>
          <w:lang w:val="en-US" w:eastAsia="zh-CN"/>
        </w:rPr>
        <w:t>附表：1.项目资金分配涉及所有点位自评得分情况表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cs="Times New Roman"/>
          <w:color w:val="auto"/>
          <w:kern w:val="0"/>
          <w:szCs w:val="32"/>
          <w:highlight w:val="none"/>
          <w:shd w:val="clear" w:color="auto" w:fill="FFFFFF"/>
          <w:lang w:val="en-US" w:eastAsia="zh-CN"/>
        </w:rPr>
      </w:pPr>
      <w:r>
        <w:rPr>
          <w:rFonts w:hint="eastAsia" w:ascii="Times New Roman" w:hAnsi="Times New Roman" w:cs="Times New Roman"/>
          <w:color w:val="auto"/>
          <w:kern w:val="0"/>
          <w:szCs w:val="32"/>
          <w:highlight w:val="none"/>
          <w:shd w:val="clear" w:color="auto" w:fill="FFFFFF"/>
          <w:lang w:val="en-US" w:eastAsia="zh-CN"/>
        </w:rPr>
        <w:t>2.专项预算项目绩效目标完成情况自评表</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cs="Times New Roman"/>
          <w:color w:val="auto"/>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cs="Times New Roman"/>
          <w:color w:val="auto"/>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cs="Times New Roman"/>
          <w:color w:val="auto"/>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cs="Times New Roman"/>
          <w:color w:val="auto"/>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4480" w:firstLineChars="1400"/>
        <w:textAlignment w:val="auto"/>
        <w:outlineLvl w:val="9"/>
        <w:rPr>
          <w:rFonts w:hint="eastAsia" w:cs="Times New Roman"/>
          <w:color w:val="auto"/>
          <w:kern w:val="0"/>
          <w:szCs w:val="32"/>
          <w:highlight w:val="none"/>
          <w:shd w:val="clear" w:color="auto" w:fill="FFFFFF"/>
          <w:lang w:val="en-US" w:eastAsia="zh-CN"/>
        </w:rPr>
      </w:pPr>
      <w:r>
        <w:rPr>
          <w:rFonts w:hint="eastAsia" w:cs="Times New Roman"/>
          <w:color w:val="auto"/>
          <w:kern w:val="0"/>
          <w:szCs w:val="32"/>
          <w:highlight w:val="none"/>
          <w:shd w:val="clear" w:color="auto" w:fill="FFFFFF"/>
          <w:lang w:val="en-US" w:eastAsia="zh-CN"/>
        </w:rPr>
        <w:t>黑水县公务服务中心</w:t>
      </w:r>
    </w:p>
    <w:p>
      <w:pPr>
        <w:keepNext w:val="0"/>
        <w:keepLines w:val="0"/>
        <w:pageBreakBefore w:val="0"/>
        <w:kinsoku/>
        <w:wordWrap/>
        <w:overflowPunct/>
        <w:topLinePunct w:val="0"/>
        <w:autoSpaceDE/>
        <w:autoSpaceDN/>
        <w:bidi w:val="0"/>
        <w:adjustRightInd/>
        <w:snapToGrid w:val="0"/>
        <w:spacing w:line="578" w:lineRule="exact"/>
        <w:ind w:left="0" w:leftChars="0" w:firstLine="4800" w:firstLineChars="1500"/>
        <w:textAlignment w:val="auto"/>
        <w:outlineLvl w:val="9"/>
        <w:rPr>
          <w:rFonts w:hint="eastAsia" w:ascii="Times New Roman" w:hAnsi="Times New Roman" w:cs="Times New Roman"/>
          <w:color w:val="auto"/>
          <w:kern w:val="0"/>
          <w:szCs w:val="32"/>
          <w:highlight w:val="none"/>
          <w:shd w:val="clear" w:color="auto" w:fill="FFFFFF"/>
          <w:lang w:val="zh-CN" w:eastAsia="zh-CN"/>
        </w:rPr>
      </w:pPr>
      <w:r>
        <w:rPr>
          <w:rFonts w:hint="eastAsia" w:cs="Times New Roman"/>
          <w:color w:val="auto"/>
          <w:kern w:val="0"/>
          <w:szCs w:val="32"/>
          <w:highlight w:val="none"/>
          <w:shd w:val="clear" w:color="auto" w:fill="FFFFFF"/>
          <w:lang w:val="en-US" w:eastAsia="zh-CN"/>
        </w:rPr>
        <w:t>2024年9月27日</w:t>
      </w:r>
      <w:r>
        <w:rPr>
          <w:rFonts w:hint="eastAsia" w:ascii="Times New Roman" w:hAnsi="Times New Roman" w:cs="Times New Roman"/>
          <w:color w:val="auto"/>
          <w:kern w:val="0"/>
          <w:szCs w:val="32"/>
          <w:highlight w:val="none"/>
          <w:shd w:val="clear" w:color="auto" w:fill="FFFFFF"/>
          <w:lang w:val="zh-CN" w:eastAsia="zh-CN"/>
        </w:rPr>
        <w:br w:type="page"/>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contextualSpacing/>
        <w:jc w:val="left"/>
        <w:textAlignment w:val="auto"/>
        <w:rPr>
          <w:rFonts w:hint="eastAsia" w:ascii="黑体" w:hAnsi="黑体" w:eastAsia="黑体" w:cs="黑体"/>
          <w:b w:val="0"/>
          <w:bCs w:val="0"/>
          <w:color w:val="auto"/>
          <w:kern w:val="0"/>
          <w:sz w:val="32"/>
          <w:szCs w:val="32"/>
          <w:highlight w:val="none"/>
          <w:u w:val="none"/>
          <w:shd w:val="clear" w:color="auto" w:fill="FFFFFF"/>
          <w:lang w:val="zh-CN" w:eastAsia="zh-CN"/>
        </w:rPr>
      </w:pPr>
      <w:r>
        <w:rPr>
          <w:rFonts w:hint="eastAsia" w:ascii="黑体" w:hAnsi="黑体" w:eastAsia="黑体" w:cs="黑体"/>
          <w:b w:val="0"/>
          <w:bCs w:val="0"/>
          <w:color w:val="auto"/>
          <w:kern w:val="0"/>
          <w:sz w:val="32"/>
          <w:szCs w:val="32"/>
          <w:highlight w:val="none"/>
          <w:u w:val="none"/>
          <w:shd w:val="clear" w:color="auto" w:fill="FFFFFF"/>
          <w:lang w:val="zh-CN" w:eastAsia="zh-CN"/>
        </w:rPr>
        <w:t>附表</w:t>
      </w:r>
      <w:r>
        <w:rPr>
          <w:rFonts w:hint="eastAsia" w:ascii="黑体" w:hAnsi="黑体" w:eastAsia="黑体" w:cs="黑体"/>
          <w:b w:val="0"/>
          <w:bCs w:val="0"/>
          <w:color w:val="auto"/>
          <w:kern w:val="0"/>
          <w:sz w:val="32"/>
          <w:szCs w:val="32"/>
          <w:highlight w:val="none"/>
          <w:u w:val="none"/>
          <w:shd w:val="clear" w:color="auto" w:fill="FFFFFF"/>
          <w:lang w:val="en-US" w:eastAsia="zh-CN"/>
        </w:rPr>
        <w:t>1</w:t>
      </w:r>
    </w:p>
    <w:p>
      <w:pPr>
        <w:keepNext w:val="0"/>
        <w:keepLines w:val="0"/>
        <w:pageBreakBefore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b w:val="0"/>
          <w:bCs w:val="0"/>
          <w:color w:val="auto"/>
          <w:sz w:val="40"/>
          <w:szCs w:val="40"/>
          <w:highlight w:val="none"/>
          <w:u w:val="none"/>
          <w:lang w:val="en-US" w:eastAsia="zh-CN"/>
        </w:rPr>
      </w:pPr>
      <w:r>
        <w:rPr>
          <w:rFonts w:hint="eastAsia" w:ascii="方正小标宋_GBK" w:hAnsi="方正小标宋_GBK" w:eastAsia="方正小标宋_GBK" w:cs="方正小标宋_GBK"/>
          <w:b w:val="0"/>
          <w:bCs w:val="0"/>
          <w:color w:val="auto"/>
          <w:sz w:val="40"/>
          <w:szCs w:val="40"/>
          <w:highlight w:val="none"/>
          <w:u w:val="none"/>
          <w:lang w:val="en-US" w:eastAsia="zh-CN"/>
        </w:rPr>
        <w:t>项目资金分配涉及所有点位自评得分情况表</w:t>
      </w:r>
    </w:p>
    <w:tbl>
      <w:tblPr>
        <w:tblStyle w:val="10"/>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3843"/>
        <w:gridCol w:w="2861"/>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序号</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 w:eastAsia="zh-CN"/>
              </w:rPr>
            </w:pPr>
            <w:r>
              <w:rPr>
                <w:rFonts w:hint="eastAsia" w:ascii="黑体" w:hAnsi="黑体" w:eastAsia="黑体" w:cs="黑体"/>
                <w:b w:val="0"/>
                <w:bCs w:val="0"/>
                <w:color w:val="auto"/>
                <w:sz w:val="24"/>
                <w:szCs w:val="24"/>
                <w:highlight w:val="none"/>
                <w:u w:val="none"/>
                <w:vertAlign w:val="baseline"/>
                <w:lang w:val="en-US" w:eastAsia="zh-CN"/>
              </w:rPr>
              <w:t>项目资金末端分配点位</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 w:eastAsia="zh-CN"/>
              </w:rPr>
              <w:t>自评得分（百分制）</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b w:val="0"/>
                <w:bCs w:val="0"/>
                <w:color w:val="auto"/>
                <w:sz w:val="24"/>
                <w:szCs w:val="24"/>
                <w:highlight w:val="none"/>
                <w:u w:val="none"/>
                <w:lang w:val="en-US" w:eastAsia="zh-CN"/>
              </w:rPr>
              <w:t>1</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eastAsia="仿宋_GB2312" w:cs="宋体"/>
                <w:color w:val="auto"/>
                <w:kern w:val="2"/>
                <w:sz w:val="24"/>
                <w:szCs w:val="24"/>
                <w:highlight w:val="none"/>
                <w:u w:val="none"/>
                <w:vertAlign w:val="baseline"/>
                <w:lang w:val="en" w:eastAsia="zh-CN" w:bidi="ar-SA"/>
              </w:rPr>
            </w:pPr>
            <w:r>
              <w:rPr>
                <w:rFonts w:hint="eastAsia" w:ascii="宋体" w:hAnsi="宋体" w:cs="宋体"/>
                <w:color w:val="auto"/>
                <w:sz w:val="24"/>
                <w:szCs w:val="24"/>
                <w:highlight w:val="none"/>
                <w:u w:val="none"/>
                <w:vertAlign w:val="baseline"/>
                <w:lang w:val="en" w:eastAsia="zh-CN"/>
              </w:rPr>
              <w:t>黑</w:t>
            </w:r>
            <w:r>
              <w:rPr>
                <w:rFonts w:hint="eastAsia" w:ascii="宋体" w:hAnsi="宋体" w:cs="宋体"/>
                <w:color w:val="auto"/>
                <w:sz w:val="24"/>
                <w:szCs w:val="24"/>
                <w:highlight w:val="none"/>
                <w:u w:val="none"/>
                <w:vertAlign w:val="baseline"/>
                <w:lang w:val="en-US" w:eastAsia="zh-CN"/>
              </w:rPr>
              <w:t>水县公务服务中心</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eastAsia="仿宋_GB2312" w:cs="宋体"/>
                <w:color w:val="auto"/>
                <w:kern w:val="2"/>
                <w:sz w:val="24"/>
                <w:szCs w:val="24"/>
                <w:highlight w:val="none"/>
                <w:u w:val="none"/>
                <w:vertAlign w:val="baseline"/>
                <w:lang w:val="en" w:eastAsia="zh-CN" w:bidi="ar-SA"/>
              </w:rPr>
            </w:pPr>
            <w:r>
              <w:rPr>
                <w:rFonts w:hint="eastAsia" w:ascii="宋体" w:hAnsi="宋体" w:cs="宋体"/>
                <w:color w:val="auto"/>
                <w:sz w:val="24"/>
                <w:szCs w:val="24"/>
                <w:highlight w:val="none"/>
                <w:u w:val="none"/>
                <w:vertAlign w:val="baseline"/>
                <w:lang w:val="en-US" w:eastAsia="zh-CN"/>
              </w:rPr>
              <w:t>98</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eastAsia="仿宋_GB2312" w:cs="宋体"/>
                <w:color w:val="auto"/>
                <w:kern w:val="2"/>
                <w:sz w:val="24"/>
                <w:szCs w:val="24"/>
                <w:highlight w:val="none"/>
                <w:u w:val="none"/>
                <w:vertAlign w:val="baseline"/>
                <w:lang w:val="en-US" w:eastAsia="zh-CN" w:bidi="ar-SA"/>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备注：1.项目资金末端分配点位包括州本级、县（市）、州级部门下属单位及一次性单位等。</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630" w:firstLineChars="30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2.自评得分（百分制）从高到低划分为优、良、中、差四个档次，各个档次数量占比分别为20%、20%、55%、5%，且不同档次间得分分值应体现差异化，同档次得分分值相同的比例不超过该档次总数量的10%。</w:t>
      </w:r>
    </w:p>
    <w:p>
      <w:pPr>
        <w:rPr>
          <w:rFonts w:hint="eastAsia" w:ascii="Times New Roman" w:hAnsi="Times New Roman" w:eastAsia="仿宋_GB2312" w:cs="Times New Roman"/>
          <w:color w:val="auto"/>
          <w:kern w:val="2"/>
          <w:sz w:val="32"/>
          <w:szCs w:val="24"/>
          <w:highlight w:val="none"/>
          <w:lang w:val="en-US" w:eastAsia="zh-CN" w:bidi="ar-SA"/>
        </w:rPr>
      </w:pPr>
      <w:r>
        <w:rPr>
          <w:rFonts w:hint="eastAsia" w:ascii="Times New Roman" w:hAnsi="Times New Roman" w:eastAsia="仿宋_GB2312" w:cs="Times New Roman"/>
          <w:color w:val="auto"/>
          <w:kern w:val="2"/>
          <w:sz w:val="32"/>
          <w:szCs w:val="24"/>
          <w:highlight w:val="none"/>
          <w:lang w:val="en-US" w:eastAsia="zh-CN" w:bidi="ar-SA"/>
        </w:rPr>
        <w:br w:type="page"/>
      </w: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color w:val="auto"/>
          <w:kern w:val="2"/>
          <w:sz w:val="32"/>
          <w:szCs w:val="24"/>
          <w:highlight w:val="none"/>
          <w:lang w:val="en-US" w:eastAsia="zh-CN" w:bidi="ar-SA"/>
        </w:rPr>
      </w:pPr>
      <w:r>
        <w:rPr>
          <w:rFonts w:hint="default" w:ascii="Times New Roman" w:hAnsi="Times New Roman" w:eastAsia="黑体" w:cs="Times New Roman"/>
          <w:color w:val="auto"/>
          <w:kern w:val="2"/>
          <w:sz w:val="32"/>
          <w:szCs w:val="24"/>
          <w:highlight w:val="none"/>
          <w:lang w:val="en-US" w:eastAsia="zh-CN" w:bidi="ar-SA"/>
        </w:rPr>
        <w:t>附表2</w:t>
      </w:r>
    </w:p>
    <w:tbl>
      <w:tblPr>
        <w:tblStyle w:val="9"/>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776"/>
        <w:gridCol w:w="162"/>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10"/>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auto"/>
                <w:sz w:val="30"/>
                <w:szCs w:val="30"/>
                <w:highlight w:val="none"/>
                <w:u w:val="none"/>
              </w:rPr>
            </w:pPr>
            <w:r>
              <w:rPr>
                <w:rFonts w:hint="eastAsia" w:ascii="方正小标宋简体" w:hAnsi="方正小标宋简体" w:eastAsia="方正小标宋简体" w:cs="方正小标宋简体"/>
                <w:i w:val="0"/>
                <w:color w:val="auto"/>
                <w:kern w:val="0"/>
                <w:sz w:val="40"/>
                <w:szCs w:val="40"/>
                <w:highlight w:val="none"/>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auto"/>
                <w:sz w:val="24"/>
                <w:szCs w:val="24"/>
                <w:highlight w:val="none"/>
                <w:u w:val="none"/>
              </w:rPr>
            </w:pPr>
            <w:r>
              <w:rPr>
                <w:rFonts w:ascii="宋体" w:hAnsi="宋体" w:eastAsia="宋体" w:cs="宋体"/>
                <w:i w:val="0"/>
                <w:color w:val="auto"/>
                <w:kern w:val="0"/>
                <w:sz w:val="24"/>
                <w:szCs w:val="24"/>
                <w:highlight w:val="none"/>
                <w:u w:val="none"/>
                <w:lang w:val="en-US" w:eastAsia="zh-CN" w:bidi="ar"/>
              </w:rPr>
              <w:t>项目名称</w:t>
            </w:r>
          </w:p>
        </w:tc>
        <w:tc>
          <w:tcPr>
            <w:tcW w:w="59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tabs>
                <w:tab w:val="left" w:pos="1685"/>
              </w:tabs>
              <w:kinsoku/>
              <w:wordWrap/>
              <w:overflowPunct/>
              <w:topLinePunct w:val="0"/>
              <w:autoSpaceDE/>
              <w:autoSpaceDN/>
              <w:bidi w:val="0"/>
              <w:adjustRightInd/>
              <w:snapToGrid/>
              <w:spacing w:line="300" w:lineRule="exact"/>
              <w:ind w:left="0" w:leftChars="0"/>
              <w:rPr>
                <w:rFonts w:hint="eastAsia" w:ascii="宋体" w:hAnsi="宋体" w:eastAsia="宋体" w:cs="宋体"/>
                <w:i w:val="0"/>
                <w:color w:val="auto"/>
                <w:sz w:val="24"/>
                <w:szCs w:val="24"/>
                <w:highlight w:val="none"/>
                <w:u w:val="none"/>
                <w:lang w:eastAsia="zh-CN"/>
              </w:rPr>
            </w:pPr>
            <w:r>
              <w:rPr>
                <w:rFonts w:hint="eastAsia" w:ascii="宋体" w:hAnsi="宋体" w:eastAsia="宋体" w:cs="宋体"/>
                <w:i w:val="0"/>
                <w:color w:val="auto"/>
                <w:sz w:val="24"/>
                <w:szCs w:val="24"/>
                <w:highlight w:val="none"/>
                <w:u w:val="none"/>
                <w:lang w:val="en-US" w:eastAsia="zh-CN"/>
              </w:rPr>
              <w:t>长征文化公园及文化和旅游暨全域旅游发展大会主会场提升改造项目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auto"/>
                <w:sz w:val="24"/>
                <w:szCs w:val="24"/>
                <w:highlight w:val="none"/>
                <w:u w:val="none"/>
              </w:rPr>
            </w:pPr>
            <w:r>
              <w:rPr>
                <w:rFonts w:ascii="宋体" w:hAnsi="宋体" w:eastAsia="宋体" w:cs="宋体"/>
                <w:i w:val="0"/>
                <w:color w:val="auto"/>
                <w:kern w:val="0"/>
                <w:sz w:val="24"/>
                <w:szCs w:val="24"/>
                <w:highlight w:val="none"/>
                <w:u w:val="none"/>
                <w:lang w:val="en-US" w:eastAsia="zh-CN" w:bidi="ar"/>
              </w:rPr>
              <w:t>预算单位</w:t>
            </w:r>
          </w:p>
        </w:tc>
        <w:tc>
          <w:tcPr>
            <w:tcW w:w="59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auto"/>
                <w:sz w:val="24"/>
                <w:szCs w:val="24"/>
                <w:highlight w:val="none"/>
                <w:u w:val="none"/>
                <w:lang w:eastAsia="zh-CN"/>
              </w:rPr>
            </w:pPr>
            <w:r>
              <w:rPr>
                <w:rFonts w:hint="eastAsia" w:ascii="宋体" w:hAnsi="宋体" w:eastAsia="宋体" w:cs="宋体"/>
                <w:i w:val="0"/>
                <w:color w:val="auto"/>
                <w:sz w:val="24"/>
                <w:szCs w:val="24"/>
                <w:highlight w:val="none"/>
                <w:u w:val="none"/>
                <w:lang w:eastAsia="zh-CN"/>
              </w:rPr>
              <w:t>黑水县公务服务中心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auto"/>
                <w:sz w:val="24"/>
                <w:szCs w:val="24"/>
                <w:highlight w:val="none"/>
                <w:u w:val="none"/>
              </w:rPr>
            </w:pPr>
            <w:r>
              <w:rPr>
                <w:rFonts w:ascii="宋体" w:hAnsi="宋体" w:eastAsia="宋体" w:cs="宋体"/>
                <w:i w:val="0"/>
                <w:color w:val="auto"/>
                <w:kern w:val="0"/>
                <w:sz w:val="24"/>
                <w:szCs w:val="24"/>
                <w:highlight w:val="none"/>
                <w:u w:val="none"/>
                <w:lang w:val="en-US" w:eastAsia="zh-CN" w:bidi="ar"/>
              </w:rPr>
              <w:t>项目类型</w:t>
            </w:r>
          </w:p>
        </w:tc>
        <w:tc>
          <w:tcPr>
            <w:tcW w:w="59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auto"/>
                <w:sz w:val="24"/>
                <w:szCs w:val="24"/>
                <w:highlight w:val="none"/>
                <w:u w:val="none"/>
              </w:rPr>
            </w:pPr>
            <w:r>
              <w:rPr>
                <w:rFonts w:ascii="宋体" w:hAnsi="宋体" w:eastAsia="宋体" w:cs="宋体"/>
                <w:i w:val="0"/>
                <w:color w:val="auto"/>
                <w:kern w:val="0"/>
                <w:sz w:val="24"/>
                <w:szCs w:val="24"/>
                <w:highlight w:val="none"/>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auto"/>
                <w:kern w:val="0"/>
                <w:sz w:val="24"/>
                <w:szCs w:val="24"/>
                <w:highlight w:val="none"/>
                <w:u w:val="none"/>
                <w:lang w:val="en-US" w:eastAsia="zh-CN" w:bidi="ar"/>
              </w:rPr>
            </w:pPr>
            <w:r>
              <w:rPr>
                <w:rFonts w:ascii="宋体" w:hAnsi="宋体" w:eastAsia="宋体" w:cs="宋体"/>
                <w:i w:val="0"/>
                <w:color w:val="auto"/>
                <w:kern w:val="0"/>
                <w:sz w:val="24"/>
                <w:szCs w:val="24"/>
                <w:highlight w:val="none"/>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auto"/>
                <w:sz w:val="24"/>
                <w:szCs w:val="24"/>
                <w:highlight w:val="none"/>
                <w:u w:val="none"/>
              </w:rPr>
            </w:pPr>
            <w:r>
              <w:rPr>
                <w:rFonts w:ascii="宋体" w:hAnsi="宋体" w:eastAsia="宋体" w:cs="宋体"/>
                <w:i w:val="0"/>
                <w:color w:val="auto"/>
                <w:kern w:val="0"/>
                <w:sz w:val="24"/>
                <w:szCs w:val="24"/>
                <w:highlight w:val="none"/>
                <w:u w:val="none"/>
                <w:lang w:val="en-US" w:eastAsia="zh-CN" w:bidi="ar"/>
              </w:rPr>
              <w:t>常年项目）</w:t>
            </w:r>
          </w:p>
        </w:tc>
        <w:tc>
          <w:tcPr>
            <w:tcW w:w="59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auto"/>
                <w:sz w:val="24"/>
                <w:szCs w:val="24"/>
                <w:highlight w:val="none"/>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auto"/>
                <w:sz w:val="24"/>
                <w:szCs w:val="24"/>
                <w:highlight w:val="none"/>
                <w:u w:val="none"/>
              </w:rPr>
            </w:pPr>
            <w:r>
              <w:rPr>
                <w:rFonts w:ascii="宋体" w:hAnsi="宋体" w:eastAsia="宋体" w:cs="宋体"/>
                <w:i w:val="0"/>
                <w:color w:val="auto"/>
                <w:kern w:val="0"/>
                <w:sz w:val="24"/>
                <w:szCs w:val="24"/>
                <w:highlight w:val="none"/>
                <w:u w:val="none"/>
                <w:lang w:val="en-US" w:eastAsia="zh-CN" w:bidi="ar"/>
              </w:rPr>
              <w:t>资金管理办法（名称、文号）</w:t>
            </w:r>
          </w:p>
        </w:tc>
        <w:tc>
          <w:tcPr>
            <w:tcW w:w="59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auto"/>
                <w:sz w:val="24"/>
                <w:szCs w:val="24"/>
                <w:highlight w:val="none"/>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auto"/>
                <w:sz w:val="24"/>
                <w:szCs w:val="24"/>
                <w:highlight w:val="none"/>
                <w:u w:val="none"/>
              </w:rPr>
            </w:pPr>
            <w:r>
              <w:rPr>
                <w:rFonts w:ascii="宋体" w:hAnsi="宋体" w:eastAsia="宋体" w:cs="宋体"/>
                <w:i w:val="0"/>
                <w:color w:val="auto"/>
                <w:kern w:val="0"/>
                <w:sz w:val="24"/>
                <w:szCs w:val="24"/>
                <w:highlight w:val="none"/>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auto"/>
                <w:sz w:val="24"/>
                <w:szCs w:val="24"/>
                <w:highlight w:val="none"/>
                <w:u w:val="none"/>
              </w:rPr>
            </w:pPr>
            <w:r>
              <w:rPr>
                <w:rFonts w:hint="default" w:ascii="Wingdings 2" w:hAnsi="Wingdings 2" w:eastAsia="Wingdings 2" w:cs="Wingdings 2"/>
                <w:i w:val="0"/>
                <w:color w:val="auto"/>
                <w:kern w:val="0"/>
                <w:sz w:val="24"/>
                <w:szCs w:val="24"/>
                <w:highlight w:val="none"/>
                <w:u w:val="none"/>
                <w:lang w:val="en-US" w:eastAsia="zh-CN" w:bidi="ar"/>
              </w:rPr>
              <w:t>£</w:t>
            </w:r>
            <w:r>
              <w:rPr>
                <w:rFonts w:ascii="宋体" w:hAnsi="宋体" w:eastAsia="宋体" w:cs="宋体"/>
                <w:i w:val="0"/>
                <w:color w:val="auto"/>
                <w:kern w:val="0"/>
                <w:sz w:val="24"/>
                <w:szCs w:val="24"/>
                <w:highlight w:val="none"/>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auto"/>
                <w:sz w:val="24"/>
                <w:szCs w:val="24"/>
                <w:highlight w:val="none"/>
                <w:u w:val="none"/>
              </w:rPr>
            </w:pPr>
            <w:r>
              <w:rPr>
                <w:rFonts w:hint="default" w:ascii="Wingdings 2" w:hAnsi="Wingdings 2" w:eastAsia="Wingdings 2" w:cs="Wingdings 2"/>
                <w:i w:val="0"/>
                <w:color w:val="auto"/>
                <w:kern w:val="0"/>
                <w:sz w:val="24"/>
                <w:szCs w:val="24"/>
                <w:highlight w:val="none"/>
                <w:u w:val="none"/>
                <w:lang w:val="en-US" w:eastAsia="zh-CN" w:bidi="ar"/>
              </w:rPr>
              <w:t>£项目法</w:t>
            </w:r>
          </w:p>
        </w:tc>
        <w:tc>
          <w:tcPr>
            <w:tcW w:w="9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auto"/>
                <w:sz w:val="24"/>
                <w:szCs w:val="24"/>
                <w:highlight w:val="none"/>
                <w:u w:val="none"/>
              </w:rPr>
            </w:pPr>
            <w:r>
              <w:rPr>
                <w:rFonts w:hint="default" w:ascii="Wingdings 2" w:hAnsi="Wingdings 2" w:eastAsia="Wingdings 2" w:cs="Wingdings 2"/>
                <w:i w:val="0"/>
                <w:color w:val="auto"/>
                <w:kern w:val="0"/>
                <w:sz w:val="24"/>
                <w:szCs w:val="24"/>
                <w:highlight w:val="none"/>
                <w:u w:val="none"/>
                <w:lang w:val="en-US" w:eastAsia="zh-CN" w:bidi="ar"/>
              </w:rPr>
              <w:t>£</w:t>
            </w:r>
            <w:r>
              <w:rPr>
                <w:rFonts w:ascii="宋体" w:hAnsi="宋体" w:eastAsia="宋体" w:cs="宋体"/>
                <w:i w:val="0"/>
                <w:color w:val="auto"/>
                <w:kern w:val="0"/>
                <w:sz w:val="24"/>
                <w:szCs w:val="24"/>
                <w:highlight w:val="none"/>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auto"/>
                <w:sz w:val="24"/>
                <w:szCs w:val="24"/>
                <w:highlight w:val="none"/>
                <w:u w:val="none"/>
              </w:rPr>
            </w:pPr>
            <w:r>
              <w:rPr>
                <w:rFonts w:hint="default" w:ascii="Wingdings 2" w:hAnsi="Wingdings 2" w:eastAsia="Wingdings 2" w:cs="Wingdings 2"/>
                <w:i w:val="0"/>
                <w:color w:val="auto"/>
                <w:kern w:val="0"/>
                <w:sz w:val="24"/>
                <w:szCs w:val="24"/>
                <w:highlight w:val="none"/>
                <w:u w:val="none"/>
                <w:lang w:val="en-US" w:eastAsia="zh-CN" w:bidi="ar"/>
              </w:rPr>
              <w:sym w:font="Wingdings 2" w:char="0052"/>
            </w:r>
            <w:r>
              <w:rPr>
                <w:rFonts w:ascii="宋体" w:hAnsi="宋体" w:eastAsia="宋体" w:cs="宋体"/>
                <w:i w:val="0"/>
                <w:color w:val="auto"/>
                <w:kern w:val="0"/>
                <w:sz w:val="24"/>
                <w:szCs w:val="24"/>
                <w:highlight w:val="none"/>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auto"/>
                <w:sz w:val="24"/>
                <w:szCs w:val="24"/>
                <w:highlight w:val="none"/>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auto"/>
                <w:sz w:val="24"/>
                <w:szCs w:val="24"/>
                <w:highlight w:val="none"/>
                <w:u w:val="none"/>
              </w:rPr>
            </w:pPr>
            <w:r>
              <w:rPr>
                <w:rFonts w:ascii="宋体" w:hAnsi="宋体" w:eastAsia="宋体" w:cs="宋体"/>
                <w:i w:val="0"/>
                <w:color w:val="auto"/>
                <w:kern w:val="0"/>
                <w:sz w:val="24"/>
                <w:szCs w:val="24"/>
                <w:highlight w:val="none"/>
                <w:u w:val="none"/>
                <w:lang w:val="en-US" w:eastAsia="zh-CN" w:bidi="ar"/>
              </w:rPr>
              <w:t>立项依据</w:t>
            </w:r>
          </w:p>
        </w:tc>
        <w:tc>
          <w:tcPr>
            <w:tcW w:w="59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auto"/>
                <w:sz w:val="24"/>
                <w:szCs w:val="24"/>
                <w:highlight w:val="none"/>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auto"/>
                <w:sz w:val="24"/>
                <w:szCs w:val="24"/>
                <w:highlight w:val="none"/>
                <w:u w:val="none"/>
              </w:rPr>
            </w:pPr>
            <w:r>
              <w:rPr>
                <w:rFonts w:ascii="宋体" w:hAnsi="宋体" w:eastAsia="宋体" w:cs="宋体"/>
                <w:i w:val="0"/>
                <w:color w:val="auto"/>
                <w:kern w:val="0"/>
                <w:sz w:val="24"/>
                <w:szCs w:val="24"/>
                <w:highlight w:val="none"/>
                <w:u w:val="none"/>
                <w:lang w:val="en-US" w:eastAsia="zh-CN" w:bidi="ar"/>
              </w:rPr>
              <w:t>使用范围</w:t>
            </w:r>
          </w:p>
        </w:tc>
        <w:tc>
          <w:tcPr>
            <w:tcW w:w="59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auto"/>
                <w:sz w:val="24"/>
                <w:szCs w:val="24"/>
                <w:highlight w:val="none"/>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auto"/>
                <w:sz w:val="24"/>
                <w:szCs w:val="24"/>
                <w:highlight w:val="none"/>
                <w:u w:val="none"/>
              </w:rPr>
            </w:pPr>
            <w:r>
              <w:rPr>
                <w:rFonts w:ascii="宋体" w:hAnsi="宋体" w:eastAsia="宋体" w:cs="宋体"/>
                <w:i w:val="0"/>
                <w:color w:val="auto"/>
                <w:kern w:val="0"/>
                <w:sz w:val="24"/>
                <w:szCs w:val="24"/>
                <w:highlight w:val="none"/>
                <w:u w:val="none"/>
                <w:lang w:val="en-US" w:eastAsia="zh-CN" w:bidi="ar"/>
              </w:rPr>
              <w:t>申报（补助）条件</w:t>
            </w:r>
          </w:p>
        </w:tc>
        <w:tc>
          <w:tcPr>
            <w:tcW w:w="59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auto"/>
                <w:sz w:val="24"/>
                <w:szCs w:val="24"/>
                <w:highlight w:val="none"/>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auto"/>
                <w:sz w:val="24"/>
                <w:szCs w:val="24"/>
                <w:highlight w:val="none"/>
                <w:u w:val="none"/>
              </w:rPr>
            </w:pPr>
            <w:r>
              <w:rPr>
                <w:rFonts w:ascii="宋体" w:hAnsi="宋体" w:eastAsia="宋体" w:cs="宋体"/>
                <w:i w:val="0"/>
                <w:color w:val="auto"/>
                <w:kern w:val="0"/>
                <w:sz w:val="24"/>
                <w:szCs w:val="24"/>
                <w:highlight w:val="none"/>
                <w:u w:val="none"/>
                <w:lang w:val="en-US" w:eastAsia="zh-CN" w:bidi="ar"/>
              </w:rPr>
              <w:t>项目起止年限</w:t>
            </w:r>
          </w:p>
        </w:tc>
        <w:tc>
          <w:tcPr>
            <w:tcW w:w="59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auto"/>
                <w:sz w:val="24"/>
                <w:szCs w:val="24"/>
                <w:highlight w:val="none"/>
                <w:u w:val="none"/>
                <w:lang w:val="en-US" w:eastAsia="zh-CN"/>
              </w:rPr>
            </w:pPr>
            <w:r>
              <w:rPr>
                <w:rFonts w:hint="eastAsia" w:ascii="宋体" w:hAnsi="宋体" w:eastAsia="宋体" w:cs="宋体"/>
                <w:i w:val="0"/>
                <w:color w:val="auto"/>
                <w:sz w:val="24"/>
                <w:szCs w:val="24"/>
                <w:highlight w:val="none"/>
                <w:u w:val="none"/>
                <w:lang w:val="en-US" w:eastAsia="zh-CN"/>
              </w:rPr>
              <w:t>2023年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auto"/>
                <w:kern w:val="0"/>
                <w:sz w:val="24"/>
                <w:szCs w:val="24"/>
                <w:highlight w:val="none"/>
                <w:u w:val="none"/>
                <w:lang w:val="en-US" w:eastAsia="zh-CN" w:bidi="ar"/>
              </w:rPr>
            </w:pPr>
            <w:r>
              <w:rPr>
                <w:rFonts w:ascii="宋体" w:hAnsi="宋体" w:eastAsia="宋体" w:cs="宋体"/>
                <w:i w:val="0"/>
                <w:color w:val="auto"/>
                <w:kern w:val="0"/>
                <w:sz w:val="24"/>
                <w:szCs w:val="24"/>
                <w:highlight w:val="none"/>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auto"/>
                <w:sz w:val="24"/>
                <w:szCs w:val="24"/>
                <w:highlight w:val="none"/>
                <w:u w:val="none"/>
              </w:rPr>
            </w:pPr>
            <w:r>
              <w:rPr>
                <w:rFonts w:ascii="宋体" w:hAnsi="宋体" w:eastAsia="宋体" w:cs="宋体"/>
                <w:i w:val="0"/>
                <w:color w:val="auto"/>
                <w:kern w:val="0"/>
                <w:sz w:val="24"/>
                <w:szCs w:val="24"/>
                <w:highlight w:val="none"/>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auto"/>
                <w:sz w:val="24"/>
                <w:szCs w:val="24"/>
                <w:highlight w:val="none"/>
                <w:u w:val="none"/>
              </w:rPr>
            </w:pPr>
            <w:r>
              <w:rPr>
                <w:rFonts w:ascii="宋体" w:hAnsi="宋体" w:eastAsia="宋体" w:cs="宋体"/>
                <w:i w:val="0"/>
                <w:color w:val="auto"/>
                <w:kern w:val="0"/>
                <w:sz w:val="24"/>
                <w:szCs w:val="24"/>
                <w:highlight w:val="none"/>
                <w:u w:val="none"/>
                <w:lang w:val="en-US" w:eastAsia="zh-CN" w:bidi="ar"/>
              </w:rPr>
              <w:t xml:space="preserve">  年度资金总额：</w:t>
            </w:r>
          </w:p>
        </w:tc>
        <w:tc>
          <w:tcPr>
            <w:tcW w:w="59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firstLine="480" w:firstLineChars="200"/>
              <w:jc w:val="both"/>
              <w:rPr>
                <w:rFonts w:hint="default" w:ascii="宋体" w:hAnsi="宋体" w:eastAsia="宋体" w:cs="宋体"/>
                <w:i w:val="0"/>
                <w:color w:val="auto"/>
                <w:sz w:val="24"/>
                <w:szCs w:val="24"/>
                <w:highlight w:val="none"/>
                <w:u w:val="none"/>
                <w:lang w:val="en-US" w:eastAsia="zh-CN"/>
              </w:rPr>
            </w:pPr>
            <w:r>
              <w:rPr>
                <w:rFonts w:hint="eastAsia" w:ascii="宋体" w:hAnsi="宋体" w:eastAsia="宋体" w:cs="宋体"/>
                <w:i w:val="0"/>
                <w:color w:val="auto"/>
                <w:sz w:val="24"/>
                <w:szCs w:val="24"/>
                <w:highlight w:val="none"/>
                <w:u w:val="none"/>
                <w:lang w:val="en-US" w:eastAsia="zh-CN"/>
              </w:rPr>
              <w:t>152.54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auto"/>
                <w:sz w:val="24"/>
                <w:szCs w:val="24"/>
                <w:highlight w:val="none"/>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auto"/>
                <w:sz w:val="24"/>
                <w:szCs w:val="24"/>
                <w:highlight w:val="none"/>
                <w:u w:val="none"/>
              </w:rPr>
            </w:pPr>
            <w:r>
              <w:rPr>
                <w:rFonts w:ascii="宋体" w:hAnsi="宋体" w:eastAsia="宋体" w:cs="宋体"/>
                <w:i w:val="0"/>
                <w:color w:val="auto"/>
                <w:kern w:val="0"/>
                <w:sz w:val="24"/>
                <w:szCs w:val="24"/>
                <w:highlight w:val="none"/>
                <w:u w:val="none"/>
                <w:lang w:val="en-US" w:eastAsia="zh-CN" w:bidi="ar"/>
              </w:rPr>
              <w:t xml:space="preserve">     </w:t>
            </w:r>
            <w:r>
              <w:rPr>
                <w:rFonts w:hint="eastAsia" w:ascii="宋体" w:hAnsi="宋体" w:eastAsia="宋体" w:cs="宋体"/>
                <w:i w:val="0"/>
                <w:color w:val="auto"/>
                <w:kern w:val="0"/>
                <w:sz w:val="24"/>
                <w:szCs w:val="24"/>
                <w:highlight w:val="none"/>
                <w:u w:val="none"/>
                <w:lang w:val="en-US" w:eastAsia="zh-CN" w:bidi="ar"/>
              </w:rPr>
              <w:t xml:space="preserve"> </w:t>
            </w:r>
            <w:r>
              <w:rPr>
                <w:rFonts w:ascii="宋体" w:hAnsi="宋体" w:eastAsia="宋体" w:cs="宋体"/>
                <w:i w:val="0"/>
                <w:color w:val="auto"/>
                <w:kern w:val="0"/>
                <w:sz w:val="24"/>
                <w:szCs w:val="24"/>
                <w:highlight w:val="none"/>
                <w:u w:val="none"/>
                <w:lang w:val="en-US" w:eastAsia="zh-CN" w:bidi="ar"/>
              </w:rPr>
              <w:t>其中：财政拨款</w:t>
            </w:r>
          </w:p>
        </w:tc>
        <w:tc>
          <w:tcPr>
            <w:tcW w:w="59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tabs>
                <w:tab w:val="left" w:pos="995"/>
              </w:tabs>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auto"/>
                <w:sz w:val="24"/>
                <w:szCs w:val="24"/>
                <w:highlight w:val="none"/>
                <w:u w:val="none"/>
                <w:lang w:val="en-US" w:eastAsia="zh-CN"/>
              </w:rPr>
            </w:pPr>
            <w:r>
              <w:rPr>
                <w:rFonts w:hint="eastAsia" w:ascii="宋体" w:hAnsi="宋体" w:eastAsia="宋体" w:cs="宋体"/>
                <w:i w:val="0"/>
                <w:color w:val="auto"/>
                <w:sz w:val="24"/>
                <w:szCs w:val="24"/>
                <w:highlight w:val="none"/>
                <w:u w:val="none"/>
                <w:lang w:eastAsia="zh-CN"/>
              </w:rPr>
              <w:tab/>
            </w:r>
            <w:r>
              <w:rPr>
                <w:rFonts w:hint="eastAsia" w:ascii="宋体" w:hAnsi="宋体" w:eastAsia="宋体" w:cs="宋体"/>
                <w:i w:val="0"/>
                <w:color w:val="auto"/>
                <w:sz w:val="24"/>
                <w:szCs w:val="24"/>
                <w:highlight w:val="none"/>
                <w:u w:val="none"/>
                <w:lang w:val="en-US" w:eastAsia="zh-CN"/>
              </w:rPr>
              <w:t>152.54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auto"/>
                <w:sz w:val="24"/>
                <w:szCs w:val="24"/>
                <w:highlight w:val="none"/>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auto"/>
                <w:sz w:val="24"/>
                <w:szCs w:val="24"/>
                <w:highlight w:val="none"/>
                <w:u w:val="none"/>
              </w:rPr>
            </w:pPr>
            <w:r>
              <w:rPr>
                <w:rFonts w:ascii="宋体" w:hAnsi="宋体" w:eastAsia="宋体" w:cs="宋体"/>
                <w:i w:val="0"/>
                <w:color w:val="auto"/>
                <w:kern w:val="0"/>
                <w:sz w:val="24"/>
                <w:szCs w:val="24"/>
                <w:highlight w:val="none"/>
                <w:u w:val="none"/>
                <w:lang w:val="en-US" w:eastAsia="zh-CN" w:bidi="ar"/>
              </w:rPr>
              <w:t xml:space="preserve">            其他资金</w:t>
            </w:r>
          </w:p>
        </w:tc>
        <w:tc>
          <w:tcPr>
            <w:tcW w:w="59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宋体" w:hAnsi="宋体" w:eastAsia="宋体" w:cs="宋体"/>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auto"/>
                <w:sz w:val="24"/>
                <w:szCs w:val="24"/>
                <w:highlight w:val="none"/>
                <w:u w:val="none"/>
              </w:rPr>
            </w:pPr>
            <w:r>
              <w:rPr>
                <w:rFonts w:ascii="宋体" w:hAnsi="宋体" w:eastAsia="宋体" w:cs="宋体"/>
                <w:i w:val="0"/>
                <w:color w:val="auto"/>
                <w:kern w:val="0"/>
                <w:sz w:val="24"/>
                <w:szCs w:val="24"/>
                <w:highlight w:val="none"/>
                <w:u w:val="none"/>
                <w:lang w:val="en-US" w:eastAsia="zh-CN" w:bidi="ar"/>
              </w:rPr>
              <w:t>总体 目标</w:t>
            </w:r>
          </w:p>
        </w:tc>
        <w:tc>
          <w:tcPr>
            <w:tcW w:w="958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auto"/>
                <w:sz w:val="24"/>
                <w:szCs w:val="24"/>
                <w:highlight w:val="none"/>
                <w:u w:val="none"/>
              </w:rPr>
            </w:pPr>
            <w:r>
              <w:rPr>
                <w:rFonts w:ascii="宋体" w:hAnsi="宋体" w:eastAsia="宋体" w:cs="宋体"/>
                <w:i w:val="0"/>
                <w:color w:val="auto"/>
                <w:kern w:val="0"/>
                <w:sz w:val="24"/>
                <w:szCs w:val="24"/>
                <w:highlight w:val="none"/>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auto"/>
                <w:sz w:val="24"/>
                <w:szCs w:val="24"/>
                <w:highlight w:val="none"/>
                <w:u w:val="none"/>
              </w:rPr>
            </w:pPr>
          </w:p>
        </w:tc>
        <w:tc>
          <w:tcPr>
            <w:tcW w:w="958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49" w:hRule="atLeast"/>
          <w:jc w:val="center"/>
        </w:trPr>
        <w:tc>
          <w:tcPr>
            <w:tcW w:w="652" w:type="dxa"/>
            <w:vMerge w:val="restart"/>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绩效指标</w:t>
            </w:r>
          </w:p>
        </w:tc>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度量单位</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权重</w:t>
            </w:r>
          </w:p>
        </w:tc>
        <w:tc>
          <w:tcPr>
            <w:tcW w:w="20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c>
          <w:tcPr>
            <w:tcW w:w="1081" w:type="dxa"/>
            <w:vMerge w:val="restart"/>
            <w:tcBorders>
              <w:top w:val="single" w:color="auto" w:sz="4" w:space="0"/>
              <w:left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产出指标</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改造会场</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个</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20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c>
          <w:tcPr>
            <w:tcW w:w="1081" w:type="dxa"/>
            <w:vMerge w:val="continue"/>
            <w:tcBorders>
              <w:left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kern w:val="0"/>
                <w:sz w:val="24"/>
                <w:szCs w:val="24"/>
                <w:u w:val="none"/>
                <w:lang w:val="en-US" w:eastAsia="zh-CN" w:bidi="ar"/>
              </w:rPr>
            </w:pPr>
          </w:p>
        </w:tc>
        <w:tc>
          <w:tcPr>
            <w:tcW w:w="12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质量指标</w:t>
            </w:r>
          </w:p>
        </w:tc>
        <w:tc>
          <w:tcPr>
            <w:tcW w:w="1312"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完成质量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按要求验收合格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20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c>
          <w:tcPr>
            <w:tcW w:w="1081" w:type="dxa"/>
            <w:vMerge w:val="continue"/>
            <w:tcBorders>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c>
          <w:tcPr>
            <w:tcW w:w="12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时效指标</w:t>
            </w:r>
          </w:p>
        </w:tc>
        <w:tc>
          <w:tcPr>
            <w:tcW w:w="1312"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完成时间</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2023年</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30</w:t>
            </w:r>
          </w:p>
        </w:tc>
        <w:tc>
          <w:tcPr>
            <w:tcW w:w="20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效益指标</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可持续发展指标</w:t>
            </w:r>
          </w:p>
        </w:tc>
        <w:tc>
          <w:tcPr>
            <w:tcW w:w="1312"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是否可以连续使用</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可以连续使用</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20</w:t>
            </w:r>
          </w:p>
        </w:tc>
        <w:tc>
          <w:tcPr>
            <w:tcW w:w="20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满意度指标</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满意度指标</w:t>
            </w:r>
          </w:p>
        </w:tc>
        <w:tc>
          <w:tcPr>
            <w:tcW w:w="1312"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服务对象满意度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98</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10</w:t>
            </w:r>
          </w:p>
        </w:tc>
        <w:tc>
          <w:tcPr>
            <w:tcW w:w="20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10</w:t>
            </w:r>
          </w:p>
        </w:tc>
      </w:tr>
    </w:tbl>
    <w:p>
      <w:pPr>
        <w:pStyle w:val="8"/>
        <w:keepNext w:val="0"/>
        <w:keepLines w:val="0"/>
        <w:pageBreakBefore w:val="0"/>
        <w:kinsoku/>
        <w:wordWrap/>
        <w:overflowPunct/>
        <w:topLinePunct w:val="0"/>
        <w:autoSpaceDE/>
        <w:autoSpaceDN/>
        <w:bidi w:val="0"/>
        <w:spacing w:after="0" w:line="578" w:lineRule="exact"/>
        <w:ind w:left="0" w:leftChars="0"/>
        <w:rPr>
          <w:rFonts w:hint="default" w:ascii="黑体" w:hAnsi="黑体" w:eastAsia="黑体" w:cs="黑体"/>
          <w:color w:val="auto"/>
          <w:sz w:val="24"/>
          <w:szCs w:val="24"/>
          <w:highlight w:val="none"/>
          <w:lang w:val="en-US" w:eastAsia="zh-CN"/>
        </w:rPr>
      </w:pPr>
    </w:p>
    <w:p>
      <w:pPr>
        <w:pStyle w:val="8"/>
        <w:keepNext w:val="0"/>
        <w:keepLines w:val="0"/>
        <w:pageBreakBefore w:val="0"/>
        <w:kinsoku/>
        <w:wordWrap/>
        <w:overflowPunct/>
        <w:topLinePunct w:val="0"/>
        <w:autoSpaceDE/>
        <w:autoSpaceDN/>
        <w:bidi w:val="0"/>
        <w:spacing w:after="0" w:line="578" w:lineRule="exact"/>
        <w:ind w:left="0" w:leftChars="0"/>
        <w:rPr>
          <w:rFonts w:hint="default" w:ascii="黑体" w:hAnsi="黑体" w:eastAsia="黑体" w:cs="黑体"/>
          <w:color w:val="auto"/>
          <w:sz w:val="24"/>
          <w:szCs w:val="24"/>
          <w:highlight w:val="none"/>
          <w:lang w:val="en-US" w:eastAsia="zh-CN"/>
        </w:rPr>
      </w:pPr>
    </w:p>
    <w:sectPr>
      <w:footerReference r:id="rId3" w:type="default"/>
      <w:pgSz w:w="11906" w:h="16838"/>
      <w:pgMar w:top="1440" w:right="1797" w:bottom="1440" w:left="1797"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
    <w:altName w:val="仿宋_GB2312"/>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方正仿宋_GBK">
    <w:panose1 w:val="02000000000000000000"/>
    <w:charset w:val="86"/>
    <w:family w:val="script"/>
    <w:pitch w:val="default"/>
    <w:sig w:usb0="00000001" w:usb1="0800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">
              <v:fill on="f" focussize="0,0"/>
              <v:stroke on="f" weight="0.5pt"/>
              <v:imagedata o:title=""/>
              <o:lock v:ext="edit" aspectratio="f"/>
              <v:textbox inset="0mm,0mm,0mm,0mm" style="mso-fit-shape-to-text:t;">
                <w:txbxContent>
                  <w:p>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3C8734"/>
    <w:multiLevelType w:val="singleLevel"/>
    <w:tmpl w:val="273C8734"/>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k1NGM5MzRkZDc5NjQyOGI5NjNlZWUzNDc1YTRlYmUifQ=="/>
  </w:docVars>
  <w:rsids>
    <w:rsidRoot w:val="771D4D51"/>
    <w:rsid w:val="090C6830"/>
    <w:rsid w:val="0DE91A86"/>
    <w:rsid w:val="10A4273C"/>
    <w:rsid w:val="1253203A"/>
    <w:rsid w:val="1BDF299E"/>
    <w:rsid w:val="1C25106F"/>
    <w:rsid w:val="1CFD8DF6"/>
    <w:rsid w:val="1FFF9AD9"/>
    <w:rsid w:val="20DA0916"/>
    <w:rsid w:val="22AD555F"/>
    <w:rsid w:val="237C5355"/>
    <w:rsid w:val="26CF2DB3"/>
    <w:rsid w:val="2AF86ED7"/>
    <w:rsid w:val="2AFDF212"/>
    <w:rsid w:val="2B385C88"/>
    <w:rsid w:val="2B6BF484"/>
    <w:rsid w:val="2FFF7DE7"/>
    <w:rsid w:val="33F748AD"/>
    <w:rsid w:val="35874596"/>
    <w:rsid w:val="35F2A362"/>
    <w:rsid w:val="36EA2AC9"/>
    <w:rsid w:val="371A51D2"/>
    <w:rsid w:val="373BBD0C"/>
    <w:rsid w:val="37FF5A61"/>
    <w:rsid w:val="39247F82"/>
    <w:rsid w:val="39BFEDBA"/>
    <w:rsid w:val="39DBABD8"/>
    <w:rsid w:val="3AB6D7FB"/>
    <w:rsid w:val="3AED12ED"/>
    <w:rsid w:val="3AFF6A5D"/>
    <w:rsid w:val="3BDD34D2"/>
    <w:rsid w:val="3BDDFF97"/>
    <w:rsid w:val="3BFF31C1"/>
    <w:rsid w:val="3BFFD43B"/>
    <w:rsid w:val="3C7BD5C9"/>
    <w:rsid w:val="3FBF9251"/>
    <w:rsid w:val="3FED766E"/>
    <w:rsid w:val="3FFEEAD9"/>
    <w:rsid w:val="3FFFE931"/>
    <w:rsid w:val="457F07F2"/>
    <w:rsid w:val="46FB6AA2"/>
    <w:rsid w:val="4801281A"/>
    <w:rsid w:val="49FE0996"/>
    <w:rsid w:val="4CC6FDBD"/>
    <w:rsid w:val="4E07F45D"/>
    <w:rsid w:val="4FF59AF5"/>
    <w:rsid w:val="503D00E8"/>
    <w:rsid w:val="55FE10A2"/>
    <w:rsid w:val="56EF6619"/>
    <w:rsid w:val="57AF1E73"/>
    <w:rsid w:val="5AB21C33"/>
    <w:rsid w:val="5B778EC0"/>
    <w:rsid w:val="5BFD93EC"/>
    <w:rsid w:val="5CBA8FF2"/>
    <w:rsid w:val="5D5F7E21"/>
    <w:rsid w:val="5F5B35E4"/>
    <w:rsid w:val="609FA7B0"/>
    <w:rsid w:val="60BB24BF"/>
    <w:rsid w:val="61214D02"/>
    <w:rsid w:val="69FCE5E7"/>
    <w:rsid w:val="6BCDA9CC"/>
    <w:rsid w:val="6D9F2765"/>
    <w:rsid w:val="6DB508E5"/>
    <w:rsid w:val="6DDFA6BD"/>
    <w:rsid w:val="6E767ACE"/>
    <w:rsid w:val="6E781687"/>
    <w:rsid w:val="6EC750E9"/>
    <w:rsid w:val="6EEE3ED1"/>
    <w:rsid w:val="6EFFED40"/>
    <w:rsid w:val="6F1B2166"/>
    <w:rsid w:val="6F5FC1DE"/>
    <w:rsid w:val="6FB3E1FD"/>
    <w:rsid w:val="6FD768E4"/>
    <w:rsid w:val="6FF341F1"/>
    <w:rsid w:val="6FFEBD86"/>
    <w:rsid w:val="70C45F31"/>
    <w:rsid w:val="73B64256"/>
    <w:rsid w:val="73FF1F09"/>
    <w:rsid w:val="73FF684B"/>
    <w:rsid w:val="74A708C5"/>
    <w:rsid w:val="76DFCB7D"/>
    <w:rsid w:val="771D4D51"/>
    <w:rsid w:val="7735A28E"/>
    <w:rsid w:val="77778F6D"/>
    <w:rsid w:val="77ABFD6B"/>
    <w:rsid w:val="77B7A121"/>
    <w:rsid w:val="77C748BA"/>
    <w:rsid w:val="77DD24F1"/>
    <w:rsid w:val="77F10335"/>
    <w:rsid w:val="77F7E860"/>
    <w:rsid w:val="77FB8D34"/>
    <w:rsid w:val="797D0128"/>
    <w:rsid w:val="79EDB415"/>
    <w:rsid w:val="7ABBCDAB"/>
    <w:rsid w:val="7AFCAD25"/>
    <w:rsid w:val="7AFEB9B4"/>
    <w:rsid w:val="7B5E0C37"/>
    <w:rsid w:val="7B63F034"/>
    <w:rsid w:val="7B735637"/>
    <w:rsid w:val="7B7DE504"/>
    <w:rsid w:val="7BFEC4F8"/>
    <w:rsid w:val="7C4116D3"/>
    <w:rsid w:val="7DA14F75"/>
    <w:rsid w:val="7DB57A61"/>
    <w:rsid w:val="7DC7DC1F"/>
    <w:rsid w:val="7DF95E12"/>
    <w:rsid w:val="7DFDF40F"/>
    <w:rsid w:val="7DFF9BC7"/>
    <w:rsid w:val="7EB645E3"/>
    <w:rsid w:val="7EB6B7AB"/>
    <w:rsid w:val="7EDEF702"/>
    <w:rsid w:val="7EFD6908"/>
    <w:rsid w:val="7EFF8787"/>
    <w:rsid w:val="7F1C270D"/>
    <w:rsid w:val="7F5F4807"/>
    <w:rsid w:val="7F722518"/>
    <w:rsid w:val="7F7CF90E"/>
    <w:rsid w:val="7F9E3557"/>
    <w:rsid w:val="7FBF2857"/>
    <w:rsid w:val="7FD3B1BB"/>
    <w:rsid w:val="7FE7031F"/>
    <w:rsid w:val="7FEC5D3B"/>
    <w:rsid w:val="7FEF37E2"/>
    <w:rsid w:val="7FF70813"/>
    <w:rsid w:val="7FF7B584"/>
    <w:rsid w:val="7FFDFB4B"/>
    <w:rsid w:val="7FFF1910"/>
    <w:rsid w:val="7FFF8C1D"/>
    <w:rsid w:val="7FFF92F0"/>
    <w:rsid w:val="7FFFF07C"/>
    <w:rsid w:val="9BF3195D"/>
    <w:rsid w:val="A5DB4128"/>
    <w:rsid w:val="A6E375DB"/>
    <w:rsid w:val="A6EFA809"/>
    <w:rsid w:val="A6F7CC0B"/>
    <w:rsid w:val="AABFBDFA"/>
    <w:rsid w:val="AF7DE88E"/>
    <w:rsid w:val="AFED1DC0"/>
    <w:rsid w:val="AFFBB299"/>
    <w:rsid w:val="B3ECA4C8"/>
    <w:rsid w:val="B4D7E8EA"/>
    <w:rsid w:val="B4EF3795"/>
    <w:rsid w:val="B5E79B51"/>
    <w:rsid w:val="B6E7F02A"/>
    <w:rsid w:val="B797ED78"/>
    <w:rsid w:val="BB75119C"/>
    <w:rsid w:val="BB9E24C4"/>
    <w:rsid w:val="BBD3B774"/>
    <w:rsid w:val="BBDF02B2"/>
    <w:rsid w:val="BCFB0575"/>
    <w:rsid w:val="BE5EC634"/>
    <w:rsid w:val="BEC77393"/>
    <w:rsid w:val="BEFECBAE"/>
    <w:rsid w:val="BF2F7DA9"/>
    <w:rsid w:val="BF7F7592"/>
    <w:rsid w:val="BFB71281"/>
    <w:rsid w:val="BFBDF2DF"/>
    <w:rsid w:val="BFE4DD88"/>
    <w:rsid w:val="BFF9117D"/>
    <w:rsid w:val="BFFF6947"/>
    <w:rsid w:val="C8FDA203"/>
    <w:rsid w:val="CEBBE440"/>
    <w:rsid w:val="CEF79301"/>
    <w:rsid w:val="CEFBB93B"/>
    <w:rsid w:val="CF5369B2"/>
    <w:rsid w:val="CF7C6158"/>
    <w:rsid w:val="CF9D4E98"/>
    <w:rsid w:val="CFBFEC5E"/>
    <w:rsid w:val="D65BF816"/>
    <w:rsid w:val="D73F10CF"/>
    <w:rsid w:val="D977C3BB"/>
    <w:rsid w:val="D977C9A6"/>
    <w:rsid w:val="D9FF310B"/>
    <w:rsid w:val="DBF57698"/>
    <w:rsid w:val="DBFFAB54"/>
    <w:rsid w:val="DDFF5069"/>
    <w:rsid w:val="DECF83A1"/>
    <w:rsid w:val="DEEBD176"/>
    <w:rsid w:val="DEED29CB"/>
    <w:rsid w:val="DEFF6025"/>
    <w:rsid w:val="DF4E686F"/>
    <w:rsid w:val="DF7F78BD"/>
    <w:rsid w:val="DFDFC0CD"/>
    <w:rsid w:val="DFF7F21C"/>
    <w:rsid w:val="DFFE4986"/>
    <w:rsid w:val="DFFFA1BD"/>
    <w:rsid w:val="E37E2CE8"/>
    <w:rsid w:val="E3F74AB8"/>
    <w:rsid w:val="E5FD7CF6"/>
    <w:rsid w:val="E7FE6222"/>
    <w:rsid w:val="E9BB2A12"/>
    <w:rsid w:val="EAF7906A"/>
    <w:rsid w:val="EDDF69E1"/>
    <w:rsid w:val="EDF76BB3"/>
    <w:rsid w:val="EEF68640"/>
    <w:rsid w:val="EFF41AC0"/>
    <w:rsid w:val="EFF76D95"/>
    <w:rsid w:val="EFFF2C87"/>
    <w:rsid w:val="EFFFA435"/>
    <w:rsid w:val="F1DF82E1"/>
    <w:rsid w:val="F1F64F55"/>
    <w:rsid w:val="F2E22473"/>
    <w:rsid w:val="F35D14F0"/>
    <w:rsid w:val="F3F4C349"/>
    <w:rsid w:val="F3F64609"/>
    <w:rsid w:val="F4E96614"/>
    <w:rsid w:val="F4F54B3B"/>
    <w:rsid w:val="F58EBBB0"/>
    <w:rsid w:val="F5CBD2AD"/>
    <w:rsid w:val="F6F3FBF3"/>
    <w:rsid w:val="F6FE0D0F"/>
    <w:rsid w:val="F9B8FDC3"/>
    <w:rsid w:val="F9BF4E89"/>
    <w:rsid w:val="FA79E738"/>
    <w:rsid w:val="FAD729CA"/>
    <w:rsid w:val="FB1B5977"/>
    <w:rsid w:val="FBF62448"/>
    <w:rsid w:val="FBF76486"/>
    <w:rsid w:val="FBFF7DC7"/>
    <w:rsid w:val="FC37AF17"/>
    <w:rsid w:val="FCDE5A6F"/>
    <w:rsid w:val="FCFE5638"/>
    <w:rsid w:val="FCFF1FE1"/>
    <w:rsid w:val="FD7C7175"/>
    <w:rsid w:val="FDD7319B"/>
    <w:rsid w:val="FDDE4FF7"/>
    <w:rsid w:val="FDF8F696"/>
    <w:rsid w:val="FE7B38A4"/>
    <w:rsid w:val="FE7EBDAF"/>
    <w:rsid w:val="FEAF5424"/>
    <w:rsid w:val="FECB8DB0"/>
    <w:rsid w:val="FECF948F"/>
    <w:rsid w:val="FEDCE487"/>
    <w:rsid w:val="FEED62B0"/>
    <w:rsid w:val="FEEFF60E"/>
    <w:rsid w:val="FEFD6F73"/>
    <w:rsid w:val="FF0F1500"/>
    <w:rsid w:val="FF5995C2"/>
    <w:rsid w:val="FF6B552C"/>
    <w:rsid w:val="FF6F74D4"/>
    <w:rsid w:val="FFBB4B28"/>
    <w:rsid w:val="FFCFE300"/>
    <w:rsid w:val="FFD58A98"/>
    <w:rsid w:val="FFDD382A"/>
    <w:rsid w:val="FFDFD60A"/>
    <w:rsid w:val="FFE6F78D"/>
    <w:rsid w:val="FFEBBD1A"/>
    <w:rsid w:val="FFEF3B9A"/>
    <w:rsid w:val="FFF171B6"/>
    <w:rsid w:val="FFF33D76"/>
    <w:rsid w:val="FFF3C5BB"/>
    <w:rsid w:val="FFFA984C"/>
    <w:rsid w:val="FFFB4651"/>
    <w:rsid w:val="FFFD90B9"/>
    <w:rsid w:val="FFFF2620"/>
    <w:rsid w:val="FFFF5C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qFormat="1" w:unhideWhenUsed="0" w:uiPriority="99"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3">
    <w:name w:val="Body Text Indent"/>
    <w:basedOn w:val="1"/>
    <w:qFormat/>
    <w:uiPriority w:val="0"/>
    <w:pPr>
      <w:spacing w:after="120"/>
      <w:ind w:leftChars="200"/>
    </w:pPr>
    <w:rPr>
      <w:rFonts w:ascii="仿宋_GB2312"/>
      <w:szCs w:val="32"/>
    </w:rPr>
  </w:style>
  <w:style w:type="paragraph" w:styleId="4">
    <w:name w:val="footer"/>
    <w:basedOn w:val="1"/>
    <w:unhideWhenUsed/>
    <w:qFormat/>
    <w:uiPriority w:val="99"/>
    <w:pPr>
      <w:tabs>
        <w:tab w:val="center" w:pos="4153"/>
        <w:tab w:val="right" w:pos="8306"/>
      </w:tabs>
      <w:snapToGrid w:val="0"/>
      <w:jc w:val="left"/>
    </w:pPr>
    <w:rPr>
      <w:sz w:val="18"/>
      <w:szCs w:val="18"/>
      <w:lang w:val="zh-CN" w:eastAsia="zh-CN"/>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sz w:val="18"/>
      <w:szCs w:val="18"/>
      <w:lang w:val="zh-CN" w:eastAsia="zh-CN"/>
    </w:rPr>
  </w:style>
  <w:style w:type="paragraph" w:styleId="6">
    <w:name w:val="toc 1"/>
    <w:basedOn w:val="1"/>
    <w:next w:val="1"/>
    <w:qFormat/>
    <w:uiPriority w:val="0"/>
  </w:style>
  <w:style w:type="paragraph" w:styleId="7">
    <w:name w:val="table of figures"/>
    <w:basedOn w:val="1"/>
    <w:next w:val="1"/>
    <w:semiHidden/>
    <w:qFormat/>
    <w:uiPriority w:val="99"/>
    <w:pPr>
      <w:spacing w:before="100" w:beforeAutospacing="1" w:after="100" w:afterAutospacing="1"/>
      <w:ind w:left="200" w:leftChars="200" w:hanging="200" w:hangingChars="200"/>
    </w:pPr>
  </w:style>
  <w:style w:type="paragraph" w:styleId="8">
    <w:name w:val="Body Text First Indent 2"/>
    <w:basedOn w:val="3"/>
    <w:unhideWhenUsed/>
    <w:qFormat/>
    <w:uiPriority w:val="99"/>
    <w:pPr>
      <w:ind w:firstLine="420" w:firstLineChars="20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customStyle="1" w:styleId="13">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14">
    <w:name w:val="NormalIndent"/>
    <w:next w:val="5"/>
    <w:qFormat/>
    <w:uiPriority w:val="0"/>
    <w:pPr>
      <w:widowControl w:val="0"/>
      <w:ind w:firstLine="200" w:firstLineChars="200"/>
      <w:jc w:val="both"/>
    </w:pPr>
    <w:rPr>
      <w:rFonts w:ascii="Times New Roman" w:hAnsi="Times New Roman" w:eastAsia="仿宋_GB2312" w:cs="Times New Roman"/>
      <w:kern w:val="2"/>
      <w:sz w:val="32"/>
      <w:szCs w:val="3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3952</Words>
  <Characters>4075</Characters>
  <Lines>0</Lines>
  <Paragraphs>0</Paragraphs>
  <TotalTime>2</TotalTime>
  <ScaleCrop>false</ScaleCrop>
  <LinksUpToDate>false</LinksUpToDate>
  <CharactersWithSpaces>4100</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2020-07-12T16:13:00Z</dcterms:created>
  <dc:creator>Administrator</dc:creator>
  <cp:lastModifiedBy>user</cp:lastModifiedBy>
  <cp:lastPrinted>2024-08-14T11:20:00Z</cp:lastPrinted>
  <dcterms:modified xsi:type="dcterms:W3CDTF">2024-10-25T11:59:24Z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FD65ACE9ECD42879F7879466AF52A2C4</vt:lpwstr>
  </property>
</Properties>
</file>