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677A5">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宋体" w:cs="Times New Roman"/>
          <w:b/>
          <w:color w:val="auto"/>
          <w:sz w:val="44"/>
          <w:szCs w:val="44"/>
          <w:highlight w:val="none"/>
          <w:shd w:val="clear" w:color="auto" w:fill="FFFFFF"/>
        </w:rPr>
      </w:pPr>
    </w:p>
    <w:p w14:paraId="50789B62">
      <w:pPr>
        <w:keepNext w:val="0"/>
        <w:keepLines w:val="0"/>
        <w:pageBreakBefore w:val="0"/>
        <w:widowControl w:val="0"/>
        <w:kinsoku/>
        <w:wordWrap/>
        <w:overflowPunct/>
        <w:topLinePunct w:val="0"/>
        <w:autoSpaceDE/>
        <w:autoSpaceDN/>
        <w:bidi w:val="0"/>
        <w:spacing w:line="560" w:lineRule="exact"/>
        <w:ind w:left="0" w:firstLine="880" w:firstLineChars="200"/>
        <w:jc w:val="center"/>
        <w:textAlignment w:val="auto"/>
        <w:rPr>
          <w:rFonts w:hint="default" w:ascii="Times New Roman" w:hAnsi="Times New Roman" w:eastAsia="仿宋_GB2312" w:cs="Times New Roman"/>
          <w:color w:val="auto"/>
          <w:sz w:val="44"/>
          <w:szCs w:val="44"/>
          <w:highlight w:val="none"/>
        </w:rPr>
      </w:pPr>
    </w:p>
    <w:p w14:paraId="4A78336D">
      <w:pPr>
        <w:keepNext w:val="0"/>
        <w:keepLines w:val="0"/>
        <w:pageBreakBefore w:val="0"/>
        <w:widowControl/>
        <w:kinsoku/>
        <w:wordWrap/>
        <w:overflowPunct/>
        <w:topLinePunct w:val="0"/>
        <w:bidi w:val="0"/>
        <w:spacing w:line="550" w:lineRule="exact"/>
        <w:jc w:val="center"/>
        <w:rPr>
          <w:rFonts w:hint="eastAsia" w:ascii="方正小标宋简体" w:eastAsia="方正小标宋简体"/>
          <w:color w:val="auto"/>
          <w:sz w:val="44"/>
          <w:szCs w:val="44"/>
          <w:shd w:val="clear" w:color="auto" w:fill="FFFFFF"/>
        </w:rPr>
      </w:pPr>
      <w:r>
        <w:rPr>
          <w:rFonts w:hint="eastAsia" w:ascii="方正小标宋简体" w:eastAsia="方正小标宋简体"/>
          <w:color w:val="auto"/>
          <w:sz w:val="44"/>
          <w:szCs w:val="44"/>
          <w:shd w:val="clear" w:color="auto" w:fill="FFFFFF"/>
          <w:lang w:val="en-US" w:eastAsia="zh-CN"/>
        </w:rPr>
        <w:t>黑水县公务服务中心</w:t>
      </w:r>
      <w:r>
        <w:rPr>
          <w:rFonts w:hint="eastAsia" w:ascii="方正小标宋简体" w:eastAsia="方正小标宋简体"/>
          <w:color w:val="auto"/>
          <w:sz w:val="44"/>
          <w:szCs w:val="44"/>
          <w:shd w:val="clear" w:color="auto" w:fill="FFFFFF"/>
        </w:rPr>
        <w:t>202</w:t>
      </w:r>
      <w:r>
        <w:rPr>
          <w:rFonts w:hint="eastAsia" w:ascii="方正小标宋简体" w:eastAsia="方正小标宋简体"/>
          <w:color w:val="auto"/>
          <w:sz w:val="44"/>
          <w:szCs w:val="44"/>
          <w:shd w:val="clear" w:color="auto" w:fill="FFFFFF"/>
          <w:lang w:val="en-US" w:eastAsia="zh-CN"/>
        </w:rPr>
        <w:t>3</w:t>
      </w:r>
      <w:r>
        <w:rPr>
          <w:rFonts w:hint="eastAsia" w:ascii="方正小标宋简体" w:eastAsia="方正小标宋简体"/>
          <w:color w:val="auto"/>
          <w:sz w:val="44"/>
          <w:szCs w:val="44"/>
          <w:shd w:val="clear" w:color="auto" w:fill="FFFFFF"/>
        </w:rPr>
        <w:t>年</w:t>
      </w:r>
      <w:r>
        <w:rPr>
          <w:rFonts w:hint="eastAsia" w:ascii="方正小标宋简体" w:eastAsia="方正小标宋简体"/>
          <w:color w:val="auto"/>
          <w:sz w:val="44"/>
          <w:szCs w:val="44"/>
          <w:shd w:val="clear" w:color="auto" w:fill="FFFFFF"/>
          <w:lang w:val="en-US" w:eastAsia="zh-CN"/>
        </w:rPr>
        <w:t>度</w:t>
      </w:r>
      <w:r>
        <w:rPr>
          <w:rFonts w:hint="eastAsia" w:ascii="方正小标宋简体" w:eastAsia="方正小标宋简体"/>
          <w:color w:val="auto"/>
          <w:sz w:val="44"/>
          <w:szCs w:val="44"/>
          <w:shd w:val="clear" w:color="auto" w:fill="FFFFFF"/>
        </w:rPr>
        <w:t>部门整体支出绩效</w:t>
      </w:r>
      <w:r>
        <w:rPr>
          <w:rFonts w:hint="eastAsia" w:ascii="方正小标宋简体" w:eastAsia="方正小标宋简体"/>
          <w:color w:val="auto"/>
          <w:sz w:val="44"/>
          <w:szCs w:val="44"/>
          <w:shd w:val="clear" w:color="auto" w:fill="FFFFFF"/>
          <w:lang w:val="en-US" w:eastAsia="zh-CN"/>
        </w:rPr>
        <w:t>自评</w:t>
      </w:r>
      <w:r>
        <w:rPr>
          <w:rFonts w:hint="eastAsia" w:ascii="方正小标宋简体" w:eastAsia="方正小标宋简体"/>
          <w:color w:val="auto"/>
          <w:sz w:val="44"/>
          <w:szCs w:val="44"/>
          <w:shd w:val="clear" w:color="auto" w:fill="FFFFFF"/>
        </w:rPr>
        <w:t>报告</w:t>
      </w:r>
    </w:p>
    <w:p w14:paraId="4A6B9D05">
      <w:pPr>
        <w:adjustRightInd w:val="0"/>
        <w:snapToGrid w:val="0"/>
        <w:spacing w:line="620" w:lineRule="exact"/>
        <w:ind w:firstLine="720"/>
        <w:jc w:val="left"/>
        <w:rPr>
          <w:rFonts w:eastAsia="黑体"/>
          <w:color w:val="auto"/>
          <w:kern w:val="0"/>
          <w:sz w:val="24"/>
          <w:shd w:val="clear" w:color="auto" w:fill="FFFFFF"/>
        </w:rPr>
      </w:pPr>
    </w:p>
    <w:p w14:paraId="5F8711E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auto"/>
          <w:szCs w:val="32"/>
        </w:rPr>
      </w:pPr>
      <w:r>
        <w:rPr>
          <w:rFonts w:hint="eastAsia" w:eastAsia="黑体" w:cs="Times New Roman"/>
          <w:color w:val="auto"/>
          <w:kern w:val="0"/>
          <w:szCs w:val="32"/>
          <w:highlight w:val="none"/>
          <w:shd w:val="clear" w:color="auto" w:fill="FFFFFF"/>
          <w:lang w:val="zh-CN"/>
        </w:rPr>
        <w:t>一、</w:t>
      </w:r>
      <w:r>
        <w:rPr>
          <w:rFonts w:hint="default" w:ascii="Times New Roman" w:hAnsi="Times New Roman" w:eastAsia="黑体" w:cs="Times New Roman"/>
          <w:color w:val="auto"/>
          <w:kern w:val="0"/>
          <w:szCs w:val="32"/>
          <w:highlight w:val="none"/>
          <w:shd w:val="clear" w:color="auto" w:fill="FFFFFF"/>
          <w:lang w:val="zh-CN"/>
        </w:rPr>
        <w:t>部门（单位）基本情况</w:t>
      </w:r>
    </w:p>
    <w:p w14:paraId="641D2DD9">
      <w:pPr>
        <w:keepNext w:val="0"/>
        <w:keepLines w:val="0"/>
        <w:pageBreakBefore w:val="0"/>
        <w:kinsoku/>
        <w:wordWrap/>
        <w:overflowPunct/>
        <w:topLinePunct w:val="0"/>
        <w:autoSpaceDE/>
        <w:autoSpaceDN/>
        <w:bidi w:val="0"/>
        <w:adjustRightInd/>
        <w:snapToGrid/>
        <w:spacing w:afterAutospacing="0" w:line="560" w:lineRule="atLeast"/>
        <w:ind w:firstLine="643" w:firstLineChars="200"/>
        <w:textAlignment w:val="auto"/>
        <w:rPr>
          <w:rFonts w:hint="default" w:ascii="仿宋_GB2312" w:eastAsia="仿宋_GB2312"/>
          <w:sz w:val="32"/>
          <w:szCs w:val="32"/>
          <w:lang w:val="en-US" w:eastAsia="zh-CN"/>
        </w:rPr>
      </w:pPr>
      <w:r>
        <w:rPr>
          <w:rFonts w:hint="eastAsia" w:eastAsia="楷体_GB2312" w:cs="Times New Roman"/>
          <w:b/>
          <w:bCs/>
          <w:color w:val="auto"/>
          <w:kern w:val="0"/>
          <w:szCs w:val="32"/>
          <w:highlight w:val="none"/>
          <w:shd w:val="clear" w:color="auto" w:fill="FFFFFF"/>
          <w:lang w:val="zh-CN"/>
        </w:rPr>
        <w:t>（一）</w:t>
      </w:r>
      <w:r>
        <w:rPr>
          <w:rFonts w:hint="default" w:ascii="Times New Roman" w:hAnsi="Times New Roman" w:eastAsia="楷体_GB2312" w:cs="Times New Roman"/>
          <w:b/>
          <w:bCs/>
          <w:color w:val="auto"/>
          <w:kern w:val="0"/>
          <w:szCs w:val="32"/>
          <w:highlight w:val="none"/>
          <w:shd w:val="clear" w:color="auto" w:fill="FFFFFF"/>
          <w:lang w:val="zh-CN"/>
        </w:rPr>
        <w:t>机构组成。</w:t>
      </w:r>
      <w:r>
        <w:rPr>
          <w:rFonts w:hint="eastAsia" w:ascii="仿宋_GB2312" w:eastAsia="仿宋_GB2312"/>
          <w:sz w:val="32"/>
          <w:szCs w:val="32"/>
          <w:lang w:val="en-US" w:eastAsia="zh-CN"/>
        </w:rPr>
        <w:t>黑水县公务服务中心为正科级公益一类事业单位，经费来源为财政全额预算，内设办公室、公务服务一股、公务服务二股、公务服务三股四个股室。</w:t>
      </w:r>
    </w:p>
    <w:p w14:paraId="459694F2">
      <w:pPr>
        <w:keepNext w:val="0"/>
        <w:keepLines w:val="0"/>
        <w:pageBreakBefore w:val="0"/>
        <w:kinsoku/>
        <w:wordWrap/>
        <w:overflowPunct/>
        <w:topLinePunct w:val="0"/>
        <w:autoSpaceDE/>
        <w:autoSpaceDN/>
        <w:bidi w:val="0"/>
        <w:adjustRightInd/>
        <w:snapToGrid/>
        <w:spacing w:afterAutospacing="0" w:line="560" w:lineRule="atLeast"/>
        <w:ind w:firstLine="643" w:firstLineChars="200"/>
        <w:textAlignment w:val="auto"/>
        <w:rPr>
          <w:rFonts w:hint="eastAsia" w:eastAsia="楷体_GB2312" w:cs="Times New Roman"/>
          <w:b/>
          <w:bCs/>
          <w:color w:val="auto"/>
          <w:kern w:val="0"/>
          <w:szCs w:val="32"/>
          <w:highlight w:val="none"/>
          <w:shd w:val="clear" w:color="auto" w:fill="FFFFFF"/>
          <w:lang w:val="zh-CN"/>
        </w:rPr>
      </w:pPr>
      <w:r>
        <w:rPr>
          <w:rFonts w:hint="default" w:ascii="Times New Roman" w:hAnsi="Times New Roman" w:eastAsia="楷体_GB2312" w:cs="Times New Roman"/>
          <w:b/>
          <w:bCs/>
          <w:color w:val="auto"/>
          <w:kern w:val="0"/>
          <w:szCs w:val="32"/>
          <w:highlight w:val="none"/>
          <w:shd w:val="clear" w:color="auto" w:fill="FFFFFF"/>
          <w:lang w:val="zh-CN"/>
        </w:rPr>
        <w:t>（二）机构职能</w:t>
      </w:r>
      <w:r>
        <w:rPr>
          <w:rFonts w:hint="eastAsia" w:eastAsia="楷体_GB2312" w:cs="Times New Roman"/>
          <w:b/>
          <w:bCs/>
          <w:color w:val="auto"/>
          <w:kern w:val="0"/>
          <w:szCs w:val="32"/>
          <w:highlight w:val="none"/>
          <w:shd w:val="clear" w:color="auto" w:fill="FFFFFF"/>
          <w:lang w:val="zh-CN"/>
        </w:rPr>
        <w:t>。</w:t>
      </w:r>
    </w:p>
    <w:p w14:paraId="6F096C46">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1.贯彻执行国家有关机关公务服务工作的方针政策,拟订全县公务服务工作的规划、规章制度并组织实施。</w:t>
      </w:r>
    </w:p>
    <w:p w14:paraId="50F8F4EF">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负责中央、省、州及外省、市(州)各级领导来县开展公务活动的协调联络和后勤服务保障,包括外省(区、市(州)县)党政代表团来县考察的协调联络和后勤服务保障。负责我县党政代表团赴外省(区、市(州)、县)开展公务活动的协调联络和后勤服务保障。</w:t>
      </w:r>
    </w:p>
    <w:p w14:paraId="26DED6C6">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3.负责全县党政机关公务接待的管理和指导工作,完成县公务接待管理部门承担的接待任务。负责县委、县政府交办的服务保障工作。</w:t>
      </w:r>
    </w:p>
    <w:p w14:paraId="65BEDEEF">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4.按照中央八项规定和省委、省政府十项规定,州委州政府八条意见及其实施细则要求,负责联系协调县级有关部门及关联单位承办县委、县政府重大公务活动的服务保障工作。</w:t>
      </w:r>
    </w:p>
    <w:p w14:paraId="0135058E">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5.会同县级有关部门承担县委、县政府交办的大型会议、活动的接待服务保障工作。</w:t>
      </w:r>
    </w:p>
    <w:p w14:paraId="3F2A40CB">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6.受县政府委托负责县级行政事业单位国有资产管理工作,制定相关具体制度和办法并组织实施,承担产权界定、清查登记、资产处置工作。</w:t>
      </w:r>
    </w:p>
    <w:p w14:paraId="1DBBCBB2">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7.负责推进、指导、统筹协调监督全县公共机构节能工作,负责会同有关部门制定全县机关公共结构节能规划、规章制度并组织实施。会同有关部门制定县级机关节能改造、创建节约型机关等计划并组织实施,组织开展能耗票据上传统计、审核和评价考核工作。参与推动公共机构节能工作。</w:t>
      </w:r>
    </w:p>
    <w:p w14:paraId="64CC5599">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8.负责制定全县机关统一的机关后勤服务管理制度,负责指导和管理县级机关后勤服务工作。</w:t>
      </w:r>
    </w:p>
    <w:p w14:paraId="42BAC3AC">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9.负责县级机关周转房的分配和日常管理工作。负责县委人大、政府、政协机关集中办公区域的物业管理与保障服务工作。</w:t>
      </w:r>
    </w:p>
    <w:p w14:paraId="17E2BA31">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10.负责全县行政机关和事业单位公务用车、执勤执法用车的编制、配备、更新的审批、调度工作及曰常管理工作,参与公务用车改革工作。</w:t>
      </w:r>
    </w:p>
    <w:p w14:paraId="1BD6EC0A">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11.负责机关伙食团人员选聘、物资采购、职工就餐等日常管理工作。</w:t>
      </w:r>
    </w:p>
    <w:p w14:paraId="2C8E1244">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12.负责县级机关行政办公用房的统一建设、统一调配、统维修、统一权属登记、监督管理工作。负责县级机关行政办公用房建设与维修项目的审核并提出经费安排建议。</w:t>
      </w:r>
    </w:p>
    <w:p w14:paraId="5D684F0D">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13.完成县委、县政府交办的其他任务。</w:t>
      </w:r>
    </w:p>
    <w:p w14:paraId="35775AC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zh-CN"/>
        </w:rPr>
      </w:pPr>
    </w:p>
    <w:p w14:paraId="0AB69DA9">
      <w:pPr>
        <w:keepNext w:val="0"/>
        <w:keepLines w:val="0"/>
        <w:pageBreakBefore w:val="0"/>
        <w:numPr>
          <w:ilvl w:val="0"/>
          <w:numId w:val="1"/>
        </w:numPr>
        <w:kinsoku/>
        <w:wordWrap/>
        <w:overflowPunct/>
        <w:topLinePunct w:val="0"/>
        <w:autoSpaceDE/>
        <w:autoSpaceDN/>
        <w:bidi w:val="0"/>
        <w:adjustRightInd/>
        <w:snapToGrid/>
        <w:spacing w:afterAutospacing="0" w:line="560" w:lineRule="atLeast"/>
        <w:ind w:firstLine="643" w:firstLineChars="200"/>
        <w:textAlignment w:val="auto"/>
        <w:rPr>
          <w:rFonts w:hint="eastAsia" w:eastAsia="楷体_GB2312" w:cs="Times New Roman"/>
          <w:b/>
          <w:bCs/>
          <w:color w:val="auto"/>
          <w:kern w:val="0"/>
          <w:szCs w:val="32"/>
          <w:highlight w:val="none"/>
          <w:shd w:val="clear" w:color="auto" w:fill="FFFFFF"/>
          <w:lang w:val="zh-CN"/>
        </w:rPr>
      </w:pPr>
      <w:r>
        <w:rPr>
          <w:rFonts w:hint="default" w:ascii="Times New Roman" w:hAnsi="Times New Roman" w:eastAsia="楷体_GB2312" w:cs="Times New Roman"/>
          <w:b/>
          <w:bCs/>
          <w:color w:val="auto"/>
          <w:kern w:val="0"/>
          <w:szCs w:val="32"/>
          <w:highlight w:val="none"/>
          <w:shd w:val="clear" w:color="auto" w:fill="FFFFFF"/>
          <w:lang w:val="zh-CN"/>
        </w:rPr>
        <w:t>人员概况</w:t>
      </w:r>
      <w:r>
        <w:rPr>
          <w:rFonts w:hint="eastAsia" w:eastAsia="楷体_GB2312" w:cs="Times New Roman"/>
          <w:b/>
          <w:bCs/>
          <w:color w:val="auto"/>
          <w:kern w:val="0"/>
          <w:szCs w:val="32"/>
          <w:highlight w:val="none"/>
          <w:shd w:val="clear" w:color="auto" w:fill="FFFFFF"/>
          <w:lang w:val="zh-CN"/>
        </w:rPr>
        <w:t>。</w:t>
      </w:r>
    </w:p>
    <w:p w14:paraId="37BB3620">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黑水县公务服务中心事业编制10名，2023年在编人数8人。</w:t>
      </w:r>
    </w:p>
    <w:p w14:paraId="2D224966">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eastAsia" w:ascii="仿宋_GB2312" w:eastAsia="仿宋_GB2312"/>
          <w:sz w:val="32"/>
          <w:szCs w:val="32"/>
          <w:lang w:val="en-US" w:eastAsia="zh-CN"/>
        </w:rPr>
      </w:pPr>
    </w:p>
    <w:p w14:paraId="76D26010">
      <w:pPr>
        <w:keepNext w:val="0"/>
        <w:keepLines w:val="0"/>
        <w:pageBreakBefore w:val="0"/>
        <w:kinsoku/>
        <w:wordWrap/>
        <w:overflowPunct/>
        <w:topLinePunct w:val="0"/>
        <w:autoSpaceDE/>
        <w:autoSpaceDN/>
        <w:bidi w:val="0"/>
        <w:adjustRightInd/>
        <w:snapToGrid/>
        <w:spacing w:afterAutospacing="0" w:line="560" w:lineRule="atLeast"/>
        <w:ind w:firstLine="640" w:firstLineChars="200"/>
        <w:textAlignment w:val="auto"/>
        <w:rPr>
          <w:rFonts w:hint="default" w:ascii="仿宋_GB2312" w:eastAsia="仿宋_GB2312"/>
          <w:sz w:val="32"/>
          <w:szCs w:val="32"/>
          <w:lang w:val="en-US" w:eastAsia="zh-CN"/>
        </w:rPr>
      </w:pPr>
    </w:p>
    <w:p w14:paraId="3B2241C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Cs w:val="32"/>
          <w:highlight w:val="none"/>
          <w:shd w:val="clear" w:color="auto" w:fill="FFFFFF"/>
        </w:rPr>
      </w:pPr>
      <w:r>
        <w:rPr>
          <w:rFonts w:hint="default" w:ascii="Times New Roman" w:hAnsi="Times New Roman" w:eastAsia="黑体" w:cs="Times New Roman"/>
          <w:color w:val="auto"/>
          <w:kern w:val="0"/>
          <w:szCs w:val="32"/>
          <w:highlight w:val="none"/>
          <w:shd w:val="clear" w:color="auto" w:fill="FFFFFF"/>
        </w:rPr>
        <w:t>二、</w:t>
      </w:r>
      <w:r>
        <w:rPr>
          <w:rFonts w:hint="default" w:ascii="Times New Roman" w:hAnsi="Times New Roman" w:eastAsia="黑体" w:cs="Times New Roman"/>
          <w:color w:val="auto"/>
          <w:kern w:val="0"/>
          <w:szCs w:val="32"/>
          <w:highlight w:val="none"/>
          <w:shd w:val="clear" w:color="auto" w:fill="FFFFFF"/>
          <w:lang w:eastAsia="zh-CN"/>
        </w:rPr>
        <w:t>部门</w:t>
      </w:r>
      <w:r>
        <w:rPr>
          <w:rFonts w:hint="default" w:ascii="Times New Roman" w:hAnsi="Times New Roman" w:eastAsia="黑体" w:cs="Times New Roman"/>
          <w:color w:val="auto"/>
          <w:kern w:val="0"/>
          <w:szCs w:val="32"/>
          <w:highlight w:val="none"/>
          <w:shd w:val="clear" w:color="auto" w:fill="FFFFFF"/>
        </w:rPr>
        <w:t>资金收支情况</w:t>
      </w:r>
    </w:p>
    <w:p w14:paraId="4C52E4E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eastAsia="仿宋_GB2312"/>
          <w:sz w:val="32"/>
          <w:szCs w:val="32"/>
          <w:lang w:val="en-US" w:eastAsia="zh-CN"/>
        </w:rPr>
      </w:pPr>
      <w:r>
        <w:rPr>
          <w:rFonts w:hint="default" w:ascii="Times New Roman" w:hAnsi="Times New Roman" w:eastAsia="楷体_GB2312" w:cs="Times New Roman"/>
          <w:b/>
          <w:bCs/>
          <w:color w:val="auto"/>
          <w:kern w:val="0"/>
          <w:szCs w:val="32"/>
          <w:highlight w:val="none"/>
          <w:shd w:val="clear" w:color="auto" w:fill="FFFFFF"/>
          <w:lang w:val="zh-CN"/>
        </w:rPr>
        <w:t>（一）</w:t>
      </w:r>
      <w:r>
        <w:rPr>
          <w:rFonts w:hint="eastAsia" w:eastAsia="楷体_GB2312" w:cs="Times New Roman"/>
          <w:b/>
          <w:bCs/>
          <w:color w:val="auto"/>
          <w:kern w:val="0"/>
          <w:szCs w:val="32"/>
          <w:highlight w:val="none"/>
          <w:shd w:val="clear" w:color="auto" w:fill="FFFFFF"/>
          <w:lang w:val="zh-CN"/>
        </w:rPr>
        <w:t>收入情况</w:t>
      </w:r>
      <w:r>
        <w:rPr>
          <w:rFonts w:hint="default" w:ascii="Times New Roman" w:hAnsi="Times New Roman" w:eastAsia="楷体_GB2312" w:cs="Times New Roman"/>
          <w:b/>
          <w:bCs/>
          <w:color w:val="auto"/>
          <w:kern w:val="0"/>
          <w:szCs w:val="32"/>
          <w:highlight w:val="none"/>
          <w:shd w:val="clear" w:color="auto" w:fill="FFFFFF"/>
          <w:lang w:val="zh-CN"/>
        </w:rPr>
        <w:t>。</w:t>
      </w:r>
      <w:r>
        <w:rPr>
          <w:rFonts w:hint="eastAsia" w:ascii="仿宋_GB2312" w:eastAsia="仿宋_GB2312"/>
          <w:sz w:val="32"/>
          <w:szCs w:val="32"/>
          <w:lang w:val="en-US" w:eastAsia="zh-CN"/>
        </w:rPr>
        <w:t>黑水县公务服务中心本年度预算收入总数为1042.38万元，均为一般公共预算财政拨款收入。</w:t>
      </w:r>
    </w:p>
    <w:p w14:paraId="58F63C20">
      <w:pPr>
        <w:pStyle w:val="26"/>
        <w:keepNext w:val="0"/>
        <w:keepLines w:val="0"/>
        <w:pageBreakBefore w:val="0"/>
        <w:shd w:val="clear" w:color="auto" w:fill="FFFFFF"/>
        <w:kinsoku/>
        <w:wordWrap/>
        <w:overflowPunct/>
        <w:topLinePunct w:val="0"/>
        <w:autoSpaceDE/>
        <w:autoSpaceDN/>
        <w:bidi w:val="0"/>
        <w:spacing w:line="560" w:lineRule="exact"/>
        <w:ind w:firstLine="723" w:firstLineChars="300"/>
        <w:rPr>
          <w:rFonts w:hint="eastAsia" w:ascii="仿宋_GB2312" w:hAnsi="仿宋" w:eastAsia="仿宋_GB2312" w:cs="Times New Roman"/>
          <w:color w:val="auto"/>
          <w:kern w:val="2"/>
          <w:sz w:val="32"/>
          <w:szCs w:val="32"/>
          <w:lang w:val="en-US" w:eastAsia="zh-CN" w:bidi="ar-SA"/>
        </w:rPr>
      </w:pPr>
      <w:r>
        <w:rPr>
          <w:rFonts w:hint="default" w:ascii="Times New Roman" w:hAnsi="Times New Roman" w:eastAsia="楷体_GB2312" w:cs="Times New Roman"/>
          <w:b/>
          <w:bCs/>
          <w:color w:val="auto"/>
          <w:kern w:val="0"/>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zh-CN" w:eastAsia="zh-CN" w:bidi="ar-SA"/>
        </w:rPr>
        <w:t>二</w:t>
      </w:r>
      <w:r>
        <w:rPr>
          <w:rFonts w:hint="default" w:ascii="Times New Roman" w:hAnsi="Times New Roman" w:eastAsia="楷体_GB2312" w:cs="Times New Roman"/>
          <w:b/>
          <w:bCs/>
          <w:color w:val="auto"/>
          <w:kern w:val="0"/>
          <w:sz w:val="32"/>
          <w:szCs w:val="32"/>
          <w:highlight w:val="none"/>
          <w:shd w:val="clear" w:color="auto" w:fill="FFFFFF"/>
          <w:lang w:val="zh-CN" w:eastAsia="zh-CN" w:bidi="ar-SA"/>
        </w:rPr>
        <w:t>）</w:t>
      </w:r>
      <w:r>
        <w:rPr>
          <w:rFonts w:hint="eastAsia" w:ascii="Times New Roman" w:hAnsi="Times New Roman" w:eastAsia="楷体_GB2312" w:cs="Times New Roman"/>
          <w:b/>
          <w:bCs/>
          <w:color w:val="auto"/>
          <w:kern w:val="0"/>
          <w:sz w:val="32"/>
          <w:szCs w:val="32"/>
          <w:highlight w:val="none"/>
          <w:shd w:val="clear" w:color="auto" w:fill="FFFFFF"/>
          <w:lang w:val="zh-CN" w:eastAsia="zh-CN" w:bidi="ar-SA"/>
        </w:rPr>
        <w:t>支出情况</w:t>
      </w:r>
      <w:r>
        <w:rPr>
          <w:rFonts w:hint="default" w:ascii="Times New Roman" w:hAnsi="Times New Roman" w:eastAsia="楷体_GB2312" w:cs="Times New Roman"/>
          <w:b/>
          <w:bCs/>
          <w:color w:val="auto"/>
          <w:kern w:val="0"/>
          <w:sz w:val="32"/>
          <w:szCs w:val="32"/>
          <w:highlight w:val="none"/>
          <w:shd w:val="clear" w:color="auto" w:fill="FFFFFF"/>
          <w:lang w:val="zh-CN" w:eastAsia="zh-CN" w:bidi="ar-SA"/>
        </w:rPr>
        <w:t>。</w:t>
      </w:r>
      <w:r>
        <w:rPr>
          <w:rFonts w:hint="eastAsia" w:ascii="仿宋_GB2312" w:hAnsi="仿宋" w:eastAsia="仿宋_GB2312" w:cs="Times New Roman"/>
          <w:color w:val="auto"/>
          <w:kern w:val="2"/>
          <w:sz w:val="32"/>
          <w:szCs w:val="32"/>
          <w:lang w:val="en-US" w:eastAsia="zh-CN" w:bidi="ar-SA"/>
        </w:rPr>
        <w:t>黑水县公务服务中心本年度预算收入总数为1042.38万元，其中：一般公共服务支出为762.63万元，占比73.16%；文化旅游体育与传媒支出为152.54万元，占比14.63%；社会保障和就业支出为25.92万元，占比2.48%；卫生健康支出为9.22万元，占比0.88%；；住房保障支出为9.2万元，占比0.88%；</w:t>
      </w:r>
    </w:p>
    <w:p w14:paraId="6DC85CD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auto"/>
          <w:kern w:val="0"/>
          <w:szCs w:val="32"/>
          <w:highlight w:val="none"/>
          <w:shd w:val="clear" w:color="auto" w:fill="FFFFFF"/>
          <w:lang w:val="zh-CN" w:eastAsia="zh-CN"/>
        </w:rPr>
      </w:pPr>
      <w:r>
        <w:rPr>
          <w:rFonts w:hint="default" w:ascii="Times New Roman" w:hAnsi="Times New Roman" w:eastAsia="楷体_GB2312" w:cs="Times New Roman"/>
          <w:b/>
          <w:bCs/>
          <w:color w:val="auto"/>
          <w:kern w:val="0"/>
          <w:szCs w:val="32"/>
          <w:highlight w:val="none"/>
          <w:shd w:val="clear" w:color="auto" w:fill="FFFFFF"/>
          <w:lang w:val="zh-CN"/>
        </w:rPr>
        <w:t>（</w:t>
      </w:r>
      <w:r>
        <w:rPr>
          <w:rFonts w:hint="eastAsia" w:eastAsia="楷体_GB2312" w:cs="Times New Roman"/>
          <w:b/>
          <w:bCs/>
          <w:color w:val="auto"/>
          <w:kern w:val="0"/>
          <w:szCs w:val="32"/>
          <w:highlight w:val="none"/>
          <w:shd w:val="clear" w:color="auto" w:fill="FFFFFF"/>
          <w:lang w:val="zh-CN"/>
        </w:rPr>
        <w:t>三</w:t>
      </w:r>
      <w:r>
        <w:rPr>
          <w:rFonts w:hint="default" w:ascii="Times New Roman" w:hAnsi="Times New Roman" w:eastAsia="楷体_GB2312" w:cs="Times New Roman"/>
          <w:b/>
          <w:bCs/>
          <w:color w:val="auto"/>
          <w:kern w:val="0"/>
          <w:szCs w:val="32"/>
          <w:highlight w:val="none"/>
          <w:shd w:val="clear" w:color="auto" w:fill="FFFFFF"/>
          <w:lang w:val="zh-CN"/>
        </w:rPr>
        <w:t>）</w:t>
      </w:r>
      <w:r>
        <w:rPr>
          <w:rFonts w:hint="default" w:ascii="Times New Roman" w:hAnsi="Times New Roman" w:eastAsia="楷体_GB2312" w:cs="Times New Roman"/>
          <w:b/>
          <w:color w:val="auto"/>
          <w:szCs w:val="32"/>
        </w:rPr>
        <w:t>结余分配和结转结余情况</w:t>
      </w:r>
      <w:r>
        <w:rPr>
          <w:rFonts w:hint="eastAsia" w:ascii="Times New Roman" w:hAnsi="Times New Roman" w:eastAsia="楷体_GB2312" w:cs="Times New Roman"/>
          <w:b/>
          <w:color w:val="auto"/>
          <w:szCs w:val="32"/>
          <w:lang w:eastAsia="zh-CN"/>
        </w:rPr>
        <w:t>。</w:t>
      </w:r>
      <w:r>
        <w:rPr>
          <w:rFonts w:hint="eastAsia" w:ascii="仿宋_GB2312" w:hAnsi="仿宋" w:eastAsia="仿宋_GB2312" w:cs="Times New Roman"/>
          <w:color w:val="auto"/>
          <w:kern w:val="2"/>
          <w:sz w:val="32"/>
          <w:szCs w:val="32"/>
          <w:lang w:val="en-US" w:eastAsia="zh-CN" w:bidi="ar-SA"/>
        </w:rPr>
        <w:t>黑水县公务服务中心</w:t>
      </w:r>
      <w:r>
        <w:rPr>
          <w:rFonts w:hint="eastAsia" w:cs="Times New Roman"/>
          <w:color w:val="auto"/>
          <w:szCs w:val="32"/>
          <w:lang w:val="en-US" w:eastAsia="zh-CN"/>
        </w:rPr>
        <w:t>2023年</w:t>
      </w:r>
      <w:r>
        <w:rPr>
          <w:rFonts w:hint="eastAsia" w:ascii="Times New Roman" w:hAnsi="Times New Roman" w:cs="Times New Roman"/>
          <w:color w:val="auto"/>
          <w:szCs w:val="32"/>
          <w:lang w:val="en-US" w:eastAsia="zh-CN"/>
        </w:rPr>
        <w:t>决算报表</w:t>
      </w:r>
      <w:r>
        <w:rPr>
          <w:rFonts w:hint="eastAsia" w:cs="Times New Roman"/>
          <w:color w:val="auto"/>
          <w:szCs w:val="32"/>
          <w:lang w:val="en-US" w:eastAsia="zh-CN"/>
        </w:rPr>
        <w:t>无</w:t>
      </w:r>
      <w:r>
        <w:rPr>
          <w:rFonts w:hint="default" w:ascii="Times New Roman" w:hAnsi="Times New Roman" w:eastAsia="仿宋_GB2312" w:cs="Times New Roman"/>
          <w:b w:val="0"/>
          <w:bCs w:val="0"/>
          <w:color w:val="auto"/>
          <w:kern w:val="0"/>
          <w:szCs w:val="32"/>
          <w:highlight w:val="none"/>
          <w:shd w:val="clear" w:color="auto" w:fill="FFFFFF"/>
          <w:lang w:val="en-US" w:eastAsia="zh-CN"/>
        </w:rPr>
        <w:t>结转结余</w:t>
      </w:r>
      <w:r>
        <w:rPr>
          <w:rFonts w:hint="eastAsia" w:cs="Times New Roman"/>
          <w:b w:val="0"/>
          <w:bCs w:val="0"/>
          <w:color w:val="auto"/>
          <w:kern w:val="0"/>
          <w:szCs w:val="32"/>
          <w:highlight w:val="none"/>
          <w:shd w:val="clear" w:color="auto" w:fill="FFFFFF"/>
          <w:lang w:val="en-US" w:eastAsia="zh-CN"/>
        </w:rPr>
        <w:t>资金</w:t>
      </w:r>
      <w:r>
        <w:rPr>
          <w:rFonts w:hint="default" w:ascii="Times New Roman" w:hAnsi="Times New Roman" w:eastAsia="仿宋_GB2312" w:cs="Times New Roman"/>
          <w:b w:val="0"/>
          <w:bCs w:val="0"/>
          <w:color w:val="auto"/>
          <w:kern w:val="0"/>
          <w:szCs w:val="32"/>
          <w:highlight w:val="none"/>
          <w:shd w:val="clear" w:color="auto" w:fill="FFFFFF"/>
          <w:lang w:val="en-US" w:eastAsia="zh-CN"/>
        </w:rPr>
        <w:t>。</w:t>
      </w:r>
    </w:p>
    <w:p w14:paraId="0745C67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Cs w:val="32"/>
          <w:highlight w:val="none"/>
          <w:shd w:val="clear" w:color="auto" w:fill="FFFFFF"/>
        </w:rPr>
      </w:pPr>
      <w:r>
        <w:rPr>
          <w:rFonts w:hint="default" w:ascii="Times New Roman" w:hAnsi="Times New Roman" w:eastAsia="黑体" w:cs="Times New Roman"/>
          <w:color w:val="auto"/>
          <w:kern w:val="0"/>
          <w:szCs w:val="32"/>
          <w:highlight w:val="none"/>
          <w:shd w:val="clear" w:color="auto" w:fill="FFFFFF"/>
        </w:rPr>
        <w:t>三、</w:t>
      </w:r>
      <w:r>
        <w:rPr>
          <w:rFonts w:hint="default" w:ascii="Times New Roman" w:hAnsi="Times New Roman" w:eastAsia="黑体" w:cs="Times New Roman"/>
          <w:color w:val="auto"/>
          <w:kern w:val="0"/>
          <w:szCs w:val="32"/>
          <w:highlight w:val="none"/>
          <w:u w:val="none"/>
          <w:shd w:val="clear" w:color="auto" w:fill="FFFFFF"/>
        </w:rPr>
        <w:t>部门</w:t>
      </w:r>
      <w:r>
        <w:rPr>
          <w:rFonts w:hint="default" w:ascii="Times New Roman" w:hAnsi="Times New Roman" w:eastAsia="黑体" w:cs="Times New Roman"/>
          <w:color w:val="auto"/>
          <w:kern w:val="0"/>
          <w:szCs w:val="32"/>
          <w:highlight w:val="none"/>
          <w:u w:val="none"/>
          <w:shd w:val="clear" w:color="auto" w:fill="FFFFFF"/>
          <w:lang w:eastAsia="zh-CN"/>
        </w:rPr>
        <w:t>预算</w:t>
      </w:r>
      <w:r>
        <w:rPr>
          <w:rFonts w:hint="default" w:ascii="Times New Roman" w:hAnsi="Times New Roman" w:eastAsia="黑体" w:cs="Times New Roman"/>
          <w:color w:val="auto"/>
          <w:kern w:val="0"/>
          <w:szCs w:val="32"/>
          <w:highlight w:val="none"/>
          <w:u w:val="none"/>
          <w:shd w:val="clear" w:color="auto" w:fill="FFFFFF"/>
        </w:rPr>
        <w:t>绩效</w:t>
      </w:r>
      <w:r>
        <w:rPr>
          <w:rFonts w:hint="default" w:ascii="Times New Roman" w:hAnsi="Times New Roman" w:eastAsia="黑体" w:cs="Times New Roman"/>
          <w:color w:val="auto"/>
          <w:kern w:val="0"/>
          <w:szCs w:val="32"/>
          <w:highlight w:val="none"/>
          <w:u w:val="none"/>
          <w:shd w:val="clear" w:color="auto" w:fill="FFFFFF"/>
          <w:lang w:eastAsia="zh-CN"/>
        </w:rPr>
        <w:t>分析</w:t>
      </w:r>
    </w:p>
    <w:p w14:paraId="6856E75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（一）部门预算</w:t>
      </w:r>
      <w:r>
        <w:rPr>
          <w:rFonts w:hint="eastAsia" w:ascii="仿宋_GB2312" w:hAnsi="仿宋_GB2312" w:eastAsia="仿宋_GB2312" w:cs="仿宋_GB2312"/>
          <w:b/>
          <w:bCs/>
          <w:sz w:val="32"/>
          <w:szCs w:val="32"/>
          <w:lang w:eastAsia="zh-CN"/>
        </w:rPr>
        <w:t>总体绩效分析（</w:t>
      </w:r>
      <w:r>
        <w:rPr>
          <w:rFonts w:hint="eastAsia" w:ascii="仿宋_GB2312" w:hAnsi="仿宋_GB2312" w:eastAsia="仿宋_GB2312" w:cs="仿宋_GB2312"/>
          <w:b/>
          <w:bCs/>
          <w:sz w:val="32"/>
          <w:szCs w:val="32"/>
          <w:lang w:val="en-US" w:eastAsia="zh-CN"/>
        </w:rPr>
        <w:t>分值65分，自评得分6</w:t>
      </w:r>
      <w:r>
        <w:rPr>
          <w:rFonts w:hint="eastAsia" w:ascii="仿宋_GB2312" w:hAnsi="仿宋_GB2312" w:cs="仿宋_GB2312"/>
          <w:b/>
          <w:bCs/>
          <w:sz w:val="32"/>
          <w:szCs w:val="32"/>
          <w:lang w:val="en-US" w:eastAsia="zh-CN"/>
        </w:rPr>
        <w:t>2</w:t>
      </w:r>
      <w:r>
        <w:rPr>
          <w:rFonts w:hint="eastAsia" w:ascii="仿宋_GB2312" w:hAnsi="仿宋_GB2312" w:eastAsia="仿宋_GB2312" w:cs="仿宋_GB2312"/>
          <w:b/>
          <w:bCs/>
          <w:sz w:val="32"/>
          <w:szCs w:val="32"/>
          <w:lang w:val="en-US" w:eastAsia="zh-CN"/>
        </w:rPr>
        <w:t>分</w:t>
      </w:r>
      <w:r>
        <w:rPr>
          <w:rFonts w:hint="eastAsia" w:ascii="仿宋_GB2312" w:hAnsi="仿宋_GB2312" w:eastAsia="仿宋_GB2312" w:cs="仿宋_GB2312"/>
          <w:b/>
          <w:bCs/>
          <w:sz w:val="32"/>
          <w:szCs w:val="32"/>
          <w:lang w:eastAsia="zh-CN"/>
        </w:rPr>
        <w:t>）</w:t>
      </w:r>
    </w:p>
    <w:p w14:paraId="1B19224E">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cs="仿宋_GB2312"/>
          <w:sz w:val="32"/>
          <w:szCs w:val="32"/>
          <w:lang w:val="en-US" w:eastAsia="zh-CN"/>
        </w:rPr>
        <w:t>中心</w:t>
      </w:r>
      <w:r>
        <w:rPr>
          <w:rFonts w:hint="eastAsia" w:ascii="仿宋_GB2312" w:hAnsi="仿宋_GB2312" w:eastAsia="仿宋_GB2312" w:cs="仿宋_GB2312"/>
          <w:sz w:val="32"/>
          <w:szCs w:val="32"/>
        </w:rPr>
        <w:t>按照县级部门预算编制通知和有关要求，对</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rPr>
        <w:t>的各项收入及支出作了认真的清理，真实、准确、全面、及时的完成年度预、决算工作；认真对绩效目标的填报，对</w:t>
      </w:r>
      <w:r>
        <w:rPr>
          <w:rFonts w:hint="eastAsia" w:ascii="仿宋_GB2312" w:hAnsi="仿宋_GB2312" w:eastAsia="仿宋_GB2312" w:cs="仿宋_GB2312"/>
          <w:sz w:val="32"/>
          <w:szCs w:val="32"/>
          <w:lang w:eastAsia="zh-CN"/>
        </w:rPr>
        <w:t>特定</w:t>
      </w:r>
      <w:r>
        <w:rPr>
          <w:rFonts w:hint="eastAsia" w:ascii="仿宋_GB2312" w:hAnsi="仿宋_GB2312" w:eastAsia="仿宋_GB2312" w:cs="仿宋_GB2312"/>
          <w:sz w:val="32"/>
          <w:szCs w:val="32"/>
        </w:rPr>
        <w:t xml:space="preserve">专项预算进行分期、分批并结合实际提前细化，保障正常运行。 </w:t>
      </w:r>
    </w:p>
    <w:p w14:paraId="5D48B95E">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zh-CN"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1.</w:t>
      </w:r>
      <w:r>
        <w:rPr>
          <w:rFonts w:hint="eastAsia" w:ascii="仿宋_GB2312" w:hAnsi="仿宋_GB2312" w:eastAsia="仿宋_GB2312" w:cs="仿宋_GB2312"/>
          <w:b w:val="0"/>
          <w:bCs w:val="0"/>
          <w:color w:val="000000"/>
          <w:kern w:val="0"/>
          <w:sz w:val="32"/>
          <w:szCs w:val="32"/>
          <w:shd w:val="clear" w:color="auto" w:fill="FFFFFF"/>
          <w:lang w:val="zh-CN" w:eastAsia="zh-CN"/>
        </w:rPr>
        <w:t>履职效能（分值</w:t>
      </w:r>
      <w:r>
        <w:rPr>
          <w:rFonts w:hint="eastAsia" w:ascii="仿宋_GB2312" w:hAnsi="仿宋_GB2312" w:eastAsia="仿宋_GB2312" w:cs="仿宋_GB2312"/>
          <w:b w:val="0"/>
          <w:bCs w:val="0"/>
          <w:color w:val="000000"/>
          <w:kern w:val="0"/>
          <w:sz w:val="32"/>
          <w:szCs w:val="32"/>
          <w:shd w:val="clear" w:color="auto" w:fill="FFFFFF"/>
          <w:lang w:val="en-US" w:eastAsia="zh-CN"/>
        </w:rPr>
        <w:t>15分，自评得分15分）</w:t>
      </w:r>
    </w:p>
    <w:p w14:paraId="4F0951F5">
      <w:pPr>
        <w:spacing w:line="560" w:lineRule="exact"/>
        <w:ind w:firstLine="640" w:firstLineChars="200"/>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sz w:val="32"/>
          <w:szCs w:val="32"/>
          <w:lang w:val="en-US" w:eastAsia="zh-CN"/>
        </w:rPr>
        <w:t>我中心根据三定方案职责，职责一、</w:t>
      </w:r>
      <w:r>
        <w:rPr>
          <w:rFonts w:hint="eastAsia" w:ascii="仿宋_GB2312" w:eastAsia="仿宋_GB2312"/>
          <w:sz w:val="32"/>
          <w:szCs w:val="32"/>
        </w:rPr>
        <w:t>贯彻执行中央、省、州有关公务接待工作的规定，拟订全县公务接待办法。完成公务接待任务。加强县本级公务接待工作的规范管理，指导全县党政机关公务接待工作</w:t>
      </w:r>
      <w:r>
        <w:rPr>
          <w:rFonts w:hint="eastAsia" w:ascii="仿宋_GB2312"/>
          <w:sz w:val="32"/>
          <w:szCs w:val="32"/>
          <w:lang w:eastAsia="zh-CN"/>
        </w:rPr>
        <w:t>，</w:t>
      </w:r>
      <w:r>
        <w:rPr>
          <w:rFonts w:hint="eastAsia" w:ascii="仿宋_GB2312"/>
          <w:sz w:val="32"/>
          <w:szCs w:val="32"/>
          <w:lang w:val="en-US" w:eastAsia="zh-CN"/>
        </w:rPr>
        <w:t>得分3分；职责二：</w:t>
      </w:r>
      <w:r>
        <w:rPr>
          <w:rFonts w:hint="eastAsia" w:ascii="仿宋_GB2312" w:eastAsia="仿宋_GB2312"/>
          <w:sz w:val="32"/>
          <w:szCs w:val="32"/>
        </w:rPr>
        <w:t>负责机关伙食团人员选聘、物资采购、职工就餐等日常管理工作</w:t>
      </w:r>
      <w:r>
        <w:rPr>
          <w:rFonts w:hint="eastAsia" w:ascii="仿宋_GB2312"/>
          <w:sz w:val="32"/>
          <w:szCs w:val="32"/>
          <w:lang w:eastAsia="zh-CN"/>
        </w:rPr>
        <w:t>，</w:t>
      </w:r>
      <w:r>
        <w:rPr>
          <w:rFonts w:hint="eastAsia" w:ascii="仿宋_GB2312"/>
          <w:sz w:val="32"/>
          <w:szCs w:val="32"/>
          <w:lang w:val="en-US" w:eastAsia="zh-CN"/>
        </w:rPr>
        <w:t>得分3分；职责三：</w:t>
      </w:r>
      <w:r>
        <w:rPr>
          <w:rFonts w:hint="eastAsia" w:ascii="仿宋_GB2312" w:eastAsia="仿宋_GB2312"/>
          <w:sz w:val="32"/>
          <w:szCs w:val="32"/>
        </w:rPr>
        <w:t>负责全县行政机关和事业单位公务用车、执勤执法用车的编制、配备、更新的审批及日常管理工作，参与公务用车改革工作</w:t>
      </w:r>
      <w:r>
        <w:rPr>
          <w:rFonts w:hint="eastAsia" w:ascii="仿宋_GB2312"/>
          <w:sz w:val="32"/>
          <w:szCs w:val="32"/>
          <w:lang w:eastAsia="zh-CN"/>
        </w:rPr>
        <w:t>，</w:t>
      </w:r>
      <w:r>
        <w:rPr>
          <w:rFonts w:hint="eastAsia" w:ascii="仿宋_GB2312"/>
          <w:sz w:val="32"/>
          <w:szCs w:val="32"/>
          <w:lang w:val="en-US" w:eastAsia="zh-CN"/>
        </w:rPr>
        <w:t>得分3分；职责四：</w:t>
      </w:r>
      <w:r>
        <w:rPr>
          <w:rFonts w:hint="eastAsia" w:ascii="仿宋_GB2312" w:eastAsia="仿宋_GB2312"/>
          <w:sz w:val="32"/>
          <w:szCs w:val="32"/>
        </w:rPr>
        <w:t>负责县级机关周转房的分配和日常管理工作。负责县委、人大、政府、政协机关集中办公区域的物业管理与保障服务工作。</w:t>
      </w:r>
      <w:r>
        <w:rPr>
          <w:rFonts w:hint="eastAsia" w:ascii="仿宋_GB2312"/>
          <w:sz w:val="32"/>
          <w:szCs w:val="32"/>
          <w:lang w:val="en-US" w:eastAsia="zh-CN"/>
        </w:rPr>
        <w:t>得分3分；职责五：</w:t>
      </w:r>
      <w:r>
        <w:rPr>
          <w:rFonts w:hint="eastAsia" w:ascii="仿宋_GB2312" w:eastAsia="仿宋_GB2312"/>
          <w:sz w:val="32"/>
          <w:szCs w:val="32"/>
        </w:rPr>
        <w:t>负责制定全县机关统一的机关后勤服务管理制度，</w:t>
      </w:r>
      <w:bookmarkStart w:id="0" w:name="_GoBack"/>
      <w:r>
        <w:rPr>
          <w:rFonts w:hint="eastAsia" w:ascii="仿宋_GB2312" w:eastAsia="仿宋_GB2312"/>
          <w:color w:val="000000" w:themeColor="text1"/>
          <w:sz w:val="32"/>
          <w:szCs w:val="32"/>
          <w14:textFill>
            <w14:solidFill>
              <w14:schemeClr w14:val="tx1"/>
            </w14:solidFill>
          </w14:textFill>
        </w:rPr>
        <w:t>负责指导和管理县级机关后勤服务工作。</w:t>
      </w:r>
      <w:r>
        <w:rPr>
          <w:rFonts w:hint="eastAsia" w:ascii="仿宋_GB2312"/>
          <w:color w:val="000000" w:themeColor="text1"/>
          <w:sz w:val="32"/>
          <w:szCs w:val="32"/>
          <w:lang w:val="en-US" w:eastAsia="zh-CN"/>
          <w14:textFill>
            <w14:solidFill>
              <w14:schemeClr w14:val="tx1"/>
            </w14:solidFill>
          </w14:textFill>
        </w:rPr>
        <w:t>得分3分</w:t>
      </w:r>
    </w:p>
    <w:p w14:paraId="6E2F3F10">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themeColor="text1"/>
          <w:kern w:val="0"/>
          <w:sz w:val="32"/>
          <w:szCs w:val="32"/>
          <w:shd w:val="clear" w:color="auto" w:fill="FFFFFF"/>
          <w:lang w:val="zh-CN"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kern w:val="0"/>
          <w:sz w:val="32"/>
          <w:szCs w:val="32"/>
          <w:shd w:val="clear" w:color="auto" w:fill="FFFFFF"/>
          <w:lang w:val="zh-CN"/>
          <w14:textFill>
            <w14:solidFill>
              <w14:schemeClr w14:val="tx1"/>
            </w14:solidFill>
          </w14:textFill>
        </w:rPr>
        <w:t>预算管理</w:t>
      </w:r>
      <w:r>
        <w:rPr>
          <w:rFonts w:hint="eastAsia" w:ascii="仿宋_GB2312" w:hAnsi="仿宋_GB2312" w:eastAsia="仿宋_GB2312" w:cs="仿宋_GB2312"/>
          <w:b w:val="0"/>
          <w:bCs w:val="0"/>
          <w:color w:val="000000" w:themeColor="text1"/>
          <w:kern w:val="0"/>
          <w:sz w:val="32"/>
          <w:szCs w:val="32"/>
          <w:shd w:val="clear" w:color="auto" w:fill="FFFFFF"/>
          <w:lang w:val="zh-CN" w:eastAsia="zh-CN"/>
          <w14:textFill>
            <w14:solidFill>
              <w14:schemeClr w14:val="tx1"/>
            </w14:solidFill>
          </w14:textFill>
        </w:rPr>
        <w:t>（分值</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25分，自评得分</w:t>
      </w:r>
      <w:r>
        <w:rPr>
          <w:rFonts w:hint="eastAsia" w:ascii="仿宋_GB2312" w:hAnsi="仿宋_GB2312" w:cs="仿宋_GB2312"/>
          <w:b w:val="0"/>
          <w:bCs w:val="0"/>
          <w:color w:val="000000" w:themeColor="text1"/>
          <w:kern w:val="0"/>
          <w:sz w:val="32"/>
          <w:szCs w:val="32"/>
          <w:shd w:val="clear" w:color="auto" w:fill="FFFFFF"/>
          <w:lang w:val="en-US" w:eastAsia="zh-CN"/>
          <w14:textFill>
            <w14:solidFill>
              <w14:schemeClr w14:val="tx1"/>
            </w14:solidFill>
          </w14:textFill>
        </w:rPr>
        <w:t>22</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分）</w:t>
      </w:r>
    </w:p>
    <w:p w14:paraId="05963F03">
      <w:pPr>
        <w:keepNext w:val="0"/>
        <w:keepLines w:val="0"/>
        <w:pageBreakBefore w:val="0"/>
        <w:numPr>
          <w:ilvl w:val="0"/>
          <w:numId w:val="2"/>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预算编制质量</w:t>
      </w:r>
      <w:r>
        <w:rPr>
          <w:rFonts w:hint="eastAsia" w:ascii="仿宋_GB2312" w:hAnsi="仿宋_GB2312" w:eastAsia="仿宋_GB2312" w:cs="仿宋_GB2312"/>
          <w:b w:val="0"/>
          <w:bCs w:val="0"/>
          <w:color w:val="000000" w:themeColor="text1"/>
          <w:kern w:val="0"/>
          <w:sz w:val="32"/>
          <w:szCs w:val="32"/>
          <w:shd w:val="clear" w:color="auto" w:fill="FFFFFF"/>
          <w:lang w:val="zh-CN" w:eastAsia="zh-CN"/>
          <w14:textFill>
            <w14:solidFill>
              <w14:schemeClr w14:val="tx1"/>
            </w14:solidFill>
          </w14:textFill>
        </w:rPr>
        <w:t>（分值</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8分，自评得分</w:t>
      </w:r>
      <w:r>
        <w:rPr>
          <w:rFonts w:hint="eastAsia" w:ascii="仿宋_GB2312" w:hAnsi="仿宋_GB2312" w:cs="仿宋_GB2312"/>
          <w:b w:val="0"/>
          <w:bCs w:val="0"/>
          <w:color w:val="000000" w:themeColor="text1"/>
          <w:kern w:val="0"/>
          <w:sz w:val="32"/>
          <w:szCs w:val="32"/>
          <w:shd w:val="clear" w:color="auto" w:fill="FFFFFF"/>
          <w:lang w:val="en-US" w:eastAsia="zh-CN"/>
          <w14:textFill>
            <w14:solidFill>
              <w14:schemeClr w14:val="tx1"/>
            </w14:solidFill>
          </w14:textFill>
        </w:rPr>
        <w:t>7</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分）</w:t>
      </w:r>
    </w:p>
    <w:p w14:paraId="6AF6BC8B">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color w:val="000000" w:themeColor="text1"/>
          <w:lang w:val="en-US" w:eastAsia="zh-CN"/>
          <w14:textFill>
            <w14:solidFill>
              <w14:schemeClr w14:val="tx1"/>
            </w14:solidFill>
          </w14:textFill>
        </w:rPr>
      </w:pPr>
      <w:r>
        <w:rPr>
          <w:rFonts w:hint="eastAsia" w:ascii="仿宋_GB2312" w:hAnsi="仿宋_GB2312" w:cs="仿宋_GB2312"/>
          <w:b w:val="0"/>
          <w:bCs w:val="0"/>
          <w:color w:val="000000" w:themeColor="text1"/>
          <w:kern w:val="0"/>
          <w:sz w:val="32"/>
          <w:szCs w:val="32"/>
          <w:shd w:val="clear" w:color="auto" w:fill="FFFFFF"/>
          <w:lang w:val="en-US" w:eastAsia="zh-CN"/>
          <w14:textFill>
            <w14:solidFill>
              <w14:schemeClr w14:val="tx1"/>
            </w14:solidFill>
          </w14:textFill>
        </w:rPr>
        <w:t>黑水县公务服务中心</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能严格按要求编制年初部门预算，年初预算编制科学合理和准确性较高。</w:t>
      </w:r>
      <w:r>
        <w:rPr>
          <w:rFonts w:hint="eastAsia" w:ascii="仿宋_GB2312" w:hAnsi="仿宋" w:eastAsia="仿宋_GB2312" w:cs="Times New Roman"/>
          <w:color w:val="000000" w:themeColor="text1"/>
          <w:kern w:val="2"/>
          <w:sz w:val="32"/>
          <w:szCs w:val="32"/>
          <w:lang w:val="en-US" w:eastAsia="zh-CN" w:bidi="ar-SA"/>
          <w14:textFill>
            <w14:solidFill>
              <w14:schemeClr w14:val="tx1"/>
            </w14:solidFill>
          </w14:textFill>
        </w:rPr>
        <w:t>黑本年度预算收入总数为1042.38万元，</w:t>
      </w:r>
      <w:r>
        <w:rPr>
          <w:rFonts w:hint="eastAsia" w:ascii="仿宋_GB2312" w:hAnsi="仿宋" w:cs="Times New Roman"/>
          <w:color w:val="000000" w:themeColor="text1"/>
          <w:kern w:val="2"/>
          <w:sz w:val="32"/>
          <w:szCs w:val="32"/>
          <w:lang w:val="en-US" w:eastAsia="zh-CN" w:bidi="ar-SA"/>
          <w14:textFill>
            <w14:solidFill>
              <w14:schemeClr w14:val="tx1"/>
            </w14:solidFill>
          </w14:textFill>
        </w:rPr>
        <w:t>支出总数为1042.38万元，</w:t>
      </w:r>
      <w:r>
        <w:rPr>
          <w:rFonts w:ascii="仿宋_GB2312" w:eastAsia="仿宋_GB2312"/>
          <w:color w:val="000000" w:themeColor="text1"/>
          <w:sz w:val="32"/>
          <w:szCs w:val="32"/>
          <w14:textFill>
            <w14:solidFill>
              <w14:schemeClr w14:val="tx1"/>
            </w14:solidFill>
          </w14:textFill>
        </w:rPr>
        <w:t>截止2023年度我单位资金无结转结余。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该项指标得分8分</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w:t>
      </w:r>
    </w:p>
    <w:bookmarkEnd w:id="0"/>
    <w:p w14:paraId="77B05257">
      <w:pPr>
        <w:keepNext w:val="0"/>
        <w:keepLines w:val="0"/>
        <w:pageBreakBefore w:val="0"/>
        <w:numPr>
          <w:ilvl w:val="0"/>
          <w:numId w:val="2"/>
        </w:numPr>
        <w:kinsoku/>
        <w:wordWrap/>
        <w:overflowPunct/>
        <w:topLinePunct w:val="0"/>
        <w:autoSpaceDE/>
        <w:autoSpaceDN/>
        <w:bidi w:val="0"/>
        <w:spacing w:afterAutospacing="0" w:line="500" w:lineRule="exact"/>
        <w:ind w:left="0" w:leftChars="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单位收入统筹</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4分，自评得分4分）</w:t>
      </w:r>
    </w:p>
    <w:p w14:paraId="7E54BAAC">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default"/>
          <w:lang w:val="en-US" w:eastAsia="zh-CN"/>
        </w:rPr>
      </w:pPr>
      <w:r>
        <w:rPr>
          <w:rFonts w:hint="eastAsia" w:ascii="仿宋_GB2312" w:hAnsi="仿宋_GB2312" w:cs="仿宋_GB2312"/>
          <w:b w:val="0"/>
          <w:bCs w:val="0"/>
          <w:color w:val="000000"/>
          <w:kern w:val="0"/>
          <w:sz w:val="32"/>
          <w:szCs w:val="32"/>
          <w:shd w:val="clear" w:color="auto" w:fill="FFFFFF"/>
          <w:lang w:val="en-US" w:eastAsia="zh-CN"/>
        </w:rPr>
        <w:t>黑水县公务服务中心</w:t>
      </w:r>
      <w:r>
        <w:rPr>
          <w:rFonts w:hint="eastAsia" w:ascii="仿宋_GB2312" w:hAnsi="仿宋_GB2312" w:eastAsia="仿宋_GB2312" w:cs="仿宋_GB2312"/>
          <w:b w:val="0"/>
          <w:bCs w:val="0"/>
          <w:color w:val="000000"/>
          <w:kern w:val="0"/>
          <w:sz w:val="32"/>
          <w:szCs w:val="32"/>
          <w:shd w:val="clear" w:color="auto" w:fill="FFFFFF"/>
          <w:lang w:val="en-US" w:eastAsia="zh-CN"/>
        </w:rPr>
        <w:t>未有统筹自有收入。</w:t>
      </w:r>
      <w:r>
        <w:rPr>
          <w:rFonts w:hint="eastAsia" w:ascii="仿宋_GB2312" w:hAnsi="仿宋_GB2312" w:eastAsia="仿宋_GB2312" w:cs="仿宋_GB2312"/>
          <w:sz w:val="32"/>
          <w:szCs w:val="32"/>
          <w:lang w:val="en-US" w:eastAsia="zh-CN"/>
        </w:rPr>
        <w:t>该项指标得分4分</w:t>
      </w:r>
      <w:r>
        <w:rPr>
          <w:rFonts w:hint="eastAsia" w:ascii="仿宋_GB2312" w:hAnsi="仿宋_GB2312" w:eastAsia="仿宋_GB2312" w:cs="仿宋_GB2312"/>
          <w:b w:val="0"/>
          <w:bCs w:val="0"/>
          <w:color w:val="000000"/>
          <w:kern w:val="0"/>
          <w:sz w:val="32"/>
          <w:szCs w:val="32"/>
          <w:shd w:val="clear" w:color="auto" w:fill="FFFFFF"/>
          <w:lang w:val="en-US" w:eastAsia="zh-CN"/>
        </w:rPr>
        <w:t>。</w:t>
      </w:r>
    </w:p>
    <w:p w14:paraId="329936AA">
      <w:pPr>
        <w:keepNext w:val="0"/>
        <w:keepLines w:val="0"/>
        <w:pageBreakBefore w:val="0"/>
        <w:numPr>
          <w:ilvl w:val="0"/>
          <w:numId w:val="2"/>
        </w:numPr>
        <w:kinsoku/>
        <w:wordWrap/>
        <w:overflowPunct/>
        <w:topLinePunct w:val="0"/>
        <w:autoSpaceDE/>
        <w:autoSpaceDN/>
        <w:bidi w:val="0"/>
        <w:spacing w:afterAutospacing="0" w:line="500" w:lineRule="exact"/>
        <w:ind w:left="0" w:leftChars="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支出执行进度</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6分，自评得分</w:t>
      </w:r>
      <w:r>
        <w:rPr>
          <w:rFonts w:hint="eastAsia" w:ascii="仿宋_GB2312" w:hAnsi="仿宋_GB2312" w:cs="仿宋_GB2312"/>
          <w:b w:val="0"/>
          <w:bCs w:val="0"/>
          <w:color w:val="000000"/>
          <w:kern w:val="0"/>
          <w:sz w:val="32"/>
          <w:szCs w:val="32"/>
          <w:shd w:val="clear" w:color="auto" w:fill="FFFFFF"/>
          <w:lang w:val="en-US" w:eastAsia="zh-CN"/>
        </w:rPr>
        <w:t>4</w:t>
      </w:r>
      <w:r>
        <w:rPr>
          <w:rFonts w:hint="eastAsia" w:ascii="仿宋_GB2312" w:hAnsi="仿宋_GB2312" w:eastAsia="仿宋_GB2312" w:cs="仿宋_GB2312"/>
          <w:b w:val="0"/>
          <w:bCs w:val="0"/>
          <w:color w:val="000000"/>
          <w:kern w:val="0"/>
          <w:sz w:val="32"/>
          <w:szCs w:val="32"/>
          <w:shd w:val="clear" w:color="auto" w:fill="FFFFFF"/>
          <w:lang w:val="en-US" w:eastAsia="zh-CN"/>
        </w:rPr>
        <w:t>分）</w:t>
      </w:r>
    </w:p>
    <w:p w14:paraId="0FA4674C">
      <w:pPr>
        <w:keepNext w:val="0"/>
        <w:keepLines w:val="0"/>
        <w:pageBreakBefore w:val="0"/>
        <w:numPr>
          <w:ilvl w:val="0"/>
          <w:numId w:val="0"/>
        </w:numPr>
        <w:kinsoku/>
        <w:wordWrap/>
        <w:overflowPunct/>
        <w:topLinePunct w:val="0"/>
        <w:autoSpaceDE/>
        <w:autoSpaceDN/>
        <w:bidi w:val="0"/>
        <w:spacing w:afterAutospacing="0" w:line="500" w:lineRule="exact"/>
        <w:ind w:leftChars="20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cs="仿宋_GB2312"/>
          <w:b w:val="0"/>
          <w:bCs w:val="0"/>
          <w:color w:val="000000"/>
          <w:kern w:val="0"/>
          <w:sz w:val="32"/>
          <w:szCs w:val="32"/>
          <w:shd w:val="clear" w:color="auto" w:fill="FFFFFF"/>
          <w:lang w:val="en-US" w:eastAsia="zh-CN"/>
        </w:rPr>
        <w:t>黑水县公务服</w:t>
      </w:r>
      <w:r>
        <w:rPr>
          <w:rFonts w:hint="eastAsia" w:ascii="仿宋_GB2312" w:hAnsi="仿宋_GB2312" w:cs="仿宋_GB2312"/>
          <w:b w:val="0"/>
          <w:bCs w:val="0"/>
          <w:color w:val="000000" w:themeColor="text1"/>
          <w:kern w:val="0"/>
          <w:sz w:val="32"/>
          <w:szCs w:val="32"/>
          <w:shd w:val="clear" w:color="auto" w:fill="FFFFFF"/>
          <w:lang w:val="en-US" w:eastAsia="zh-CN"/>
          <w14:textFill>
            <w14:solidFill>
              <w14:schemeClr w14:val="tx1"/>
            </w14:solidFill>
          </w14:textFill>
        </w:rPr>
        <w:t>务中心1-12月</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预算执</w:t>
      </w:r>
      <w:r>
        <w:rPr>
          <w:rFonts w:hint="eastAsia" w:ascii="仿宋_GB2312" w:hAnsi="仿宋_GB2312" w:eastAsia="仿宋_GB2312" w:cs="仿宋_GB2312"/>
          <w:b w:val="0"/>
          <w:bCs w:val="0"/>
          <w:color w:val="000000"/>
          <w:kern w:val="0"/>
          <w:sz w:val="32"/>
          <w:szCs w:val="32"/>
          <w:shd w:val="clear" w:color="auto" w:fill="FFFFFF"/>
          <w:lang w:val="en-US" w:eastAsia="zh-CN"/>
        </w:rPr>
        <w:t>行按照实际要求及时支付，完成情况较好，有时由于资料未收集完整，导致拨付进度迟缓，</w:t>
      </w:r>
      <w:r>
        <w:rPr>
          <w:rFonts w:hint="eastAsia" w:ascii="仿宋_GB2312" w:hAnsi="仿宋_GB2312" w:eastAsia="仿宋_GB2312" w:cs="仿宋_GB2312"/>
          <w:sz w:val="32"/>
          <w:szCs w:val="32"/>
          <w:lang w:val="en-US" w:eastAsia="zh-CN"/>
        </w:rPr>
        <w:t>该项指标得分</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分</w:t>
      </w:r>
      <w:r>
        <w:rPr>
          <w:rFonts w:hint="eastAsia" w:ascii="仿宋_GB2312" w:hAnsi="仿宋_GB2312" w:eastAsia="仿宋_GB2312" w:cs="仿宋_GB2312"/>
          <w:b w:val="0"/>
          <w:bCs w:val="0"/>
          <w:color w:val="000000"/>
          <w:kern w:val="0"/>
          <w:sz w:val="32"/>
          <w:szCs w:val="32"/>
          <w:shd w:val="clear" w:color="auto" w:fill="FFFFFF"/>
          <w:lang w:val="en-US" w:eastAsia="zh-CN"/>
        </w:rPr>
        <w:t>。</w:t>
      </w:r>
    </w:p>
    <w:p w14:paraId="147AD16E">
      <w:pPr>
        <w:keepNext w:val="0"/>
        <w:keepLines w:val="0"/>
        <w:pageBreakBefore w:val="0"/>
        <w:numPr>
          <w:ilvl w:val="0"/>
          <w:numId w:val="2"/>
        </w:numPr>
        <w:kinsoku/>
        <w:wordWrap/>
        <w:overflowPunct/>
        <w:topLinePunct w:val="0"/>
        <w:autoSpaceDE/>
        <w:autoSpaceDN/>
        <w:bidi w:val="0"/>
        <w:spacing w:afterAutospacing="0" w:line="500" w:lineRule="exact"/>
        <w:ind w:left="0" w:leftChars="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预算年终结余</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2分，自评得分2分）</w:t>
      </w:r>
    </w:p>
    <w:p w14:paraId="47BA895D">
      <w:pPr>
        <w:keepNext w:val="0"/>
        <w:keepLines w:val="0"/>
        <w:pageBreakBefore w:val="0"/>
        <w:numPr>
          <w:ilvl w:val="0"/>
          <w:numId w:val="0"/>
        </w:numPr>
        <w:kinsoku/>
        <w:wordWrap/>
        <w:overflowPunct/>
        <w:topLinePunct w:val="0"/>
        <w:autoSpaceDE/>
        <w:autoSpaceDN/>
        <w:bidi w:val="0"/>
        <w:spacing w:afterAutospacing="0" w:line="500" w:lineRule="exact"/>
        <w:ind w:leftChars="20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cs="仿宋_GB2312"/>
          <w:b w:val="0"/>
          <w:bCs w:val="0"/>
          <w:color w:val="000000"/>
          <w:kern w:val="0"/>
          <w:sz w:val="32"/>
          <w:szCs w:val="32"/>
          <w:shd w:val="clear" w:color="auto" w:fill="FFFFFF"/>
          <w:lang w:val="en-US" w:eastAsia="zh-CN"/>
        </w:rPr>
        <w:t>黑水县公务服务中心</w:t>
      </w:r>
      <w:r>
        <w:rPr>
          <w:rFonts w:hint="eastAsia" w:ascii="仿宋_GB2312" w:hAnsi="仿宋_GB2312" w:eastAsia="仿宋_GB2312" w:cs="仿宋_GB2312"/>
          <w:b w:val="0"/>
          <w:bCs w:val="0"/>
          <w:color w:val="000000"/>
          <w:kern w:val="0"/>
          <w:sz w:val="32"/>
          <w:szCs w:val="32"/>
          <w:shd w:val="clear" w:color="auto" w:fill="FFFFFF"/>
          <w:lang w:val="en-US" w:eastAsia="zh-CN"/>
        </w:rPr>
        <w:t>在年底结余资金为0万元。</w:t>
      </w:r>
      <w:r>
        <w:rPr>
          <w:rFonts w:hint="eastAsia" w:ascii="仿宋_GB2312" w:hAnsi="仿宋_GB2312" w:eastAsia="仿宋_GB2312" w:cs="仿宋_GB2312"/>
          <w:sz w:val="32"/>
          <w:szCs w:val="32"/>
          <w:lang w:val="en-US" w:eastAsia="zh-CN"/>
        </w:rPr>
        <w:t>该项指标得分2分</w:t>
      </w:r>
      <w:r>
        <w:rPr>
          <w:rFonts w:hint="eastAsia" w:ascii="仿宋_GB2312" w:hAnsi="仿宋_GB2312" w:eastAsia="仿宋_GB2312" w:cs="仿宋_GB2312"/>
          <w:b w:val="0"/>
          <w:bCs w:val="0"/>
          <w:color w:val="000000"/>
          <w:kern w:val="0"/>
          <w:sz w:val="32"/>
          <w:szCs w:val="32"/>
          <w:shd w:val="clear" w:color="auto" w:fill="FFFFFF"/>
          <w:lang w:val="en-US" w:eastAsia="zh-CN"/>
        </w:rPr>
        <w:t>。</w:t>
      </w:r>
    </w:p>
    <w:p w14:paraId="69CFEE71">
      <w:pPr>
        <w:keepNext w:val="0"/>
        <w:keepLines w:val="0"/>
        <w:pageBreakBefore w:val="0"/>
        <w:numPr>
          <w:ilvl w:val="0"/>
          <w:numId w:val="2"/>
        </w:numPr>
        <w:kinsoku/>
        <w:wordWrap/>
        <w:overflowPunct/>
        <w:topLinePunct w:val="0"/>
        <w:autoSpaceDE/>
        <w:autoSpaceDN/>
        <w:bidi w:val="0"/>
        <w:spacing w:afterAutospacing="0" w:line="500" w:lineRule="exact"/>
        <w:ind w:left="0" w:leftChars="0"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严控一般性支出</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5分，自评得分5分）</w:t>
      </w:r>
    </w:p>
    <w:p w14:paraId="4A4ADED4">
      <w:pPr>
        <w:keepNext w:val="0"/>
        <w:keepLines w:val="0"/>
        <w:pageBreakBefore w:val="0"/>
        <w:numPr>
          <w:ilvl w:val="0"/>
          <w:numId w:val="0"/>
        </w:numPr>
        <w:kinsoku/>
        <w:wordWrap/>
        <w:overflowPunct/>
        <w:topLinePunct w:val="0"/>
        <w:autoSpaceDE/>
        <w:autoSpaceDN/>
        <w:bidi w:val="0"/>
        <w:spacing w:afterAutospacing="0" w:line="500" w:lineRule="exact"/>
        <w:ind w:leftChars="200" w:firstLine="640" w:firstLineChars="200"/>
        <w:textAlignment w:val="auto"/>
        <w:outlineLvl w:val="9"/>
        <w:rPr>
          <w:rFonts w:hint="default"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cs="仿宋_GB2312"/>
          <w:b w:val="0"/>
          <w:bCs w:val="0"/>
          <w:color w:val="000000"/>
          <w:kern w:val="0"/>
          <w:sz w:val="32"/>
          <w:szCs w:val="32"/>
          <w:shd w:val="clear" w:color="auto" w:fill="FFFFFF"/>
          <w:lang w:val="en-US" w:eastAsia="zh-CN"/>
        </w:rPr>
        <w:t>黑水县公务服务中心</w:t>
      </w:r>
      <w:r>
        <w:rPr>
          <w:rFonts w:hint="eastAsia" w:ascii="仿宋_GB2312" w:hAnsi="仿宋_GB2312" w:eastAsia="仿宋_GB2312" w:cs="仿宋_GB2312"/>
          <w:b w:val="0"/>
          <w:bCs w:val="0"/>
          <w:color w:val="000000"/>
          <w:kern w:val="0"/>
          <w:sz w:val="32"/>
          <w:szCs w:val="32"/>
          <w:shd w:val="clear" w:color="auto" w:fill="FFFFFF"/>
          <w:lang w:val="en-US" w:eastAsia="zh-CN"/>
        </w:rPr>
        <w:t>严控“三公”经费、会议费、培训费、差旅费、办公设备购置、信息网络及软件购置换新严格按照相关制度执行。</w:t>
      </w:r>
      <w:r>
        <w:rPr>
          <w:rFonts w:hint="eastAsia" w:ascii="仿宋_GB2312" w:hAnsi="仿宋_GB2312" w:eastAsia="仿宋_GB2312" w:cs="仿宋_GB2312"/>
          <w:sz w:val="32"/>
          <w:szCs w:val="32"/>
          <w:lang w:val="en-US" w:eastAsia="zh-CN"/>
        </w:rPr>
        <w:t>该项指标得分5分</w:t>
      </w:r>
      <w:r>
        <w:rPr>
          <w:rFonts w:hint="eastAsia" w:ascii="仿宋_GB2312" w:hAnsi="仿宋_GB2312" w:eastAsia="仿宋_GB2312" w:cs="仿宋_GB2312"/>
          <w:b w:val="0"/>
          <w:bCs w:val="0"/>
          <w:color w:val="000000"/>
          <w:kern w:val="0"/>
          <w:sz w:val="32"/>
          <w:szCs w:val="32"/>
          <w:shd w:val="clear" w:color="auto" w:fill="FFFFFF"/>
          <w:lang w:val="en-US" w:eastAsia="zh-CN"/>
        </w:rPr>
        <w:t>。</w:t>
      </w:r>
    </w:p>
    <w:p w14:paraId="02BD293F">
      <w:pPr>
        <w:keepNext w:val="0"/>
        <w:keepLines w:val="0"/>
        <w:pageBreakBefore w:val="0"/>
        <w:kinsoku/>
        <w:wordWrap/>
        <w:overflowPunct/>
        <w:topLinePunct w:val="0"/>
        <w:autoSpaceDE/>
        <w:autoSpaceDN/>
        <w:bidi w:val="0"/>
        <w:spacing w:afterAutospacing="0" w:line="500" w:lineRule="exact"/>
        <w:ind w:firstLine="800" w:firstLineChars="250"/>
        <w:textAlignment w:val="auto"/>
        <w:outlineLvl w:val="9"/>
        <w:rPr>
          <w:rFonts w:hint="eastAsia" w:ascii="仿宋_GB2312" w:hAnsi="仿宋_GB2312" w:eastAsia="仿宋_GB2312" w:cs="仿宋_GB2312"/>
          <w:b w:val="0"/>
          <w:bCs w:val="0"/>
          <w:color w:val="000000"/>
          <w:kern w:val="0"/>
          <w:sz w:val="32"/>
          <w:szCs w:val="32"/>
          <w:shd w:val="clear" w:color="auto" w:fill="FFFFFF"/>
          <w:lang w:val="zh-CN"/>
        </w:rPr>
      </w:pPr>
      <w:r>
        <w:rPr>
          <w:rFonts w:hint="eastAsia" w:ascii="仿宋_GB2312" w:hAnsi="仿宋_GB2312" w:eastAsia="仿宋_GB2312" w:cs="仿宋_GB2312"/>
          <w:b w:val="0"/>
          <w:bCs w:val="0"/>
          <w:color w:val="000000"/>
          <w:kern w:val="0"/>
          <w:sz w:val="32"/>
          <w:szCs w:val="32"/>
          <w:shd w:val="clear" w:color="auto" w:fill="FFFFFF"/>
          <w:lang w:val="zh-CN"/>
        </w:rPr>
        <w:t>3</w:t>
      </w:r>
      <w:r>
        <w:rPr>
          <w:rFonts w:hint="eastAsia" w:ascii="仿宋_GB2312" w:hAnsi="仿宋_GB2312" w:eastAsia="仿宋_GB2312" w:cs="仿宋_GB2312"/>
          <w:b w:val="0"/>
          <w:bCs w:val="0"/>
          <w:color w:val="000000"/>
          <w:kern w:val="0"/>
          <w:sz w:val="32"/>
          <w:szCs w:val="32"/>
          <w:shd w:val="clear" w:color="auto" w:fill="FFFFFF"/>
          <w:lang w:val="en-US" w:eastAsia="zh-CN"/>
        </w:rPr>
        <w:t>.</w:t>
      </w:r>
      <w:r>
        <w:rPr>
          <w:rFonts w:hint="eastAsia" w:ascii="仿宋_GB2312" w:hAnsi="仿宋_GB2312" w:eastAsia="仿宋_GB2312" w:cs="仿宋_GB2312"/>
          <w:b w:val="0"/>
          <w:bCs w:val="0"/>
          <w:color w:val="000000"/>
          <w:kern w:val="0"/>
          <w:sz w:val="32"/>
          <w:szCs w:val="32"/>
          <w:shd w:val="clear" w:color="auto" w:fill="FFFFFF"/>
          <w:lang w:val="zh-CN"/>
        </w:rPr>
        <w:t>账务管理</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10分，自评得分10分）</w:t>
      </w:r>
    </w:p>
    <w:p w14:paraId="3CAB6245">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（1）财务管理制度</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4分，自评得分4分）</w:t>
      </w:r>
    </w:p>
    <w:p w14:paraId="2CE1D854">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资金管理办法等管理制度体系健全完善，不存在管理制度缺失、管理办法过期情况。</w:t>
      </w:r>
      <w:r>
        <w:rPr>
          <w:rFonts w:hint="eastAsia" w:ascii="仿宋_GB2312" w:hAnsi="仿宋_GB2312" w:eastAsia="仿宋_GB2312" w:cs="仿宋_GB2312"/>
          <w:sz w:val="32"/>
          <w:szCs w:val="32"/>
          <w:lang w:val="en-US" w:eastAsia="zh-CN"/>
        </w:rPr>
        <w:t>该项指标得分4分。</w:t>
      </w:r>
    </w:p>
    <w:p w14:paraId="4258A845">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lang w:val="en-US" w:eastAsia="zh-CN"/>
        </w:rPr>
      </w:pPr>
      <w:r>
        <w:rPr>
          <w:rFonts w:hint="eastAsia" w:ascii="仿宋_GB2312" w:hAnsi="仿宋_GB2312" w:eastAsia="仿宋_GB2312" w:cs="仿宋_GB2312"/>
          <w:sz w:val="32"/>
          <w:szCs w:val="32"/>
          <w:lang w:val="en-US" w:eastAsia="zh-CN"/>
        </w:rPr>
        <w:t>（2）财务岗位设置</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2分，自评得分2分）</w:t>
      </w:r>
    </w:p>
    <w:p w14:paraId="7BABF875">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财务岗位设置严格按照内控设置，符合相关财务制度要求，合理设置财务工作岗位，明确职责权限，并严格实行不相容岗位分离。</w:t>
      </w:r>
      <w:r>
        <w:rPr>
          <w:rFonts w:hint="eastAsia" w:ascii="仿宋_GB2312" w:hAnsi="仿宋_GB2312" w:eastAsia="仿宋_GB2312" w:cs="仿宋_GB2312"/>
          <w:sz w:val="32"/>
          <w:szCs w:val="32"/>
          <w:lang w:val="en-US" w:eastAsia="zh-CN"/>
        </w:rPr>
        <w:t>该项指标得分2分。</w:t>
      </w:r>
    </w:p>
    <w:p w14:paraId="00B0A61E">
      <w:pPr>
        <w:keepNext w:val="0"/>
        <w:keepLines w:val="0"/>
        <w:pageBreakBefore w:val="0"/>
        <w:widowControl w:val="0"/>
        <w:numPr>
          <w:ilvl w:val="0"/>
          <w:numId w:val="3"/>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资金使用规范</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4分，自评得分4分）</w:t>
      </w:r>
    </w:p>
    <w:p w14:paraId="26CCC198">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黑水县公务服务中心</w:t>
      </w:r>
      <w:r>
        <w:rPr>
          <w:rFonts w:hint="eastAsia" w:ascii="仿宋_GB2312" w:hAnsi="仿宋_GB2312" w:eastAsia="仿宋_GB2312" w:cs="仿宋_GB2312"/>
          <w:sz w:val="32"/>
          <w:szCs w:val="32"/>
          <w:lang w:val="en-US" w:eastAsia="zh-CN"/>
        </w:rPr>
        <w:t>部门资金使用</w:t>
      </w:r>
      <w:r>
        <w:rPr>
          <w:rFonts w:hint="eastAsia" w:ascii="仿宋_GB2312" w:hAnsi="仿宋_GB2312" w:cs="仿宋_GB2312"/>
          <w:sz w:val="32"/>
          <w:szCs w:val="32"/>
          <w:lang w:val="en-US" w:eastAsia="zh-CN"/>
        </w:rPr>
        <w:t>严格按照</w:t>
      </w:r>
      <w:r>
        <w:rPr>
          <w:rFonts w:hint="eastAsia" w:ascii="仿宋_GB2312" w:hAnsi="仿宋_GB2312" w:eastAsia="仿宋_GB2312" w:cs="仿宋_GB2312"/>
          <w:sz w:val="32"/>
          <w:szCs w:val="32"/>
          <w:lang w:val="en-US" w:eastAsia="zh-CN"/>
        </w:rPr>
        <w:t>财务管理制度规定</w:t>
      </w:r>
      <w:r>
        <w:rPr>
          <w:rFonts w:hint="eastAsia" w:ascii="仿宋_GB2312" w:hAnsi="仿宋_GB2312" w:cs="仿宋_GB2312"/>
          <w:sz w:val="32"/>
          <w:szCs w:val="32"/>
          <w:lang w:val="en-US" w:eastAsia="zh-CN"/>
        </w:rPr>
        <w:t>、根据各项专项费用使用范围，专款专用</w:t>
      </w:r>
      <w:r>
        <w:rPr>
          <w:rFonts w:hint="eastAsia" w:ascii="仿宋_GB2312" w:hAnsi="仿宋_GB2312" w:eastAsia="仿宋_GB2312" w:cs="仿宋_GB2312"/>
          <w:sz w:val="32"/>
          <w:szCs w:val="32"/>
          <w:lang w:val="en-US" w:eastAsia="zh-CN"/>
        </w:rPr>
        <w:t>。该项指标得分4分。</w:t>
      </w:r>
    </w:p>
    <w:p w14:paraId="0C2E7311">
      <w:pPr>
        <w:keepNext w:val="0"/>
        <w:keepLines w:val="0"/>
        <w:pageBreakBefore w:val="0"/>
        <w:numPr>
          <w:ilvl w:val="0"/>
          <w:numId w:val="0"/>
        </w:numPr>
        <w:kinsoku/>
        <w:wordWrap/>
        <w:overflowPunct/>
        <w:topLinePunct w:val="0"/>
        <w:autoSpaceDE/>
        <w:autoSpaceDN/>
        <w:bidi w:val="0"/>
        <w:spacing w:afterAutospacing="0" w:line="500" w:lineRule="exact"/>
        <w:ind w:leftChars="250"/>
        <w:textAlignment w:val="auto"/>
        <w:outlineLvl w:val="9"/>
        <w:rPr>
          <w:rFonts w:hint="eastAsia" w:ascii="仿宋_GB2312" w:hAnsi="仿宋_GB2312" w:eastAsia="仿宋_GB2312" w:cs="仿宋_GB2312"/>
          <w:b w:val="0"/>
          <w:bCs w:val="0"/>
          <w:color w:val="000000"/>
          <w:kern w:val="0"/>
          <w:sz w:val="32"/>
          <w:szCs w:val="32"/>
          <w:shd w:val="clear" w:color="auto" w:fill="FFFFFF"/>
          <w:lang w:val="zh-CN"/>
        </w:rPr>
      </w:pPr>
      <w:r>
        <w:rPr>
          <w:rFonts w:hint="eastAsia" w:ascii="仿宋_GB2312" w:hAnsi="仿宋_GB2312" w:cs="仿宋_GB2312"/>
          <w:b w:val="0"/>
          <w:bCs w:val="0"/>
          <w:color w:val="000000"/>
          <w:kern w:val="0"/>
          <w:sz w:val="32"/>
          <w:szCs w:val="32"/>
          <w:shd w:val="clear" w:color="auto" w:fill="FFFFFF"/>
          <w:lang w:val="en-US" w:eastAsia="zh-CN"/>
        </w:rPr>
        <w:t>4.</w:t>
      </w:r>
      <w:r>
        <w:rPr>
          <w:rFonts w:hint="eastAsia" w:ascii="仿宋_GB2312" w:hAnsi="仿宋_GB2312" w:eastAsia="仿宋_GB2312" w:cs="仿宋_GB2312"/>
          <w:b w:val="0"/>
          <w:bCs w:val="0"/>
          <w:color w:val="000000"/>
          <w:kern w:val="0"/>
          <w:sz w:val="32"/>
          <w:szCs w:val="32"/>
          <w:shd w:val="clear" w:color="auto" w:fill="FFFFFF"/>
          <w:lang w:val="zh-CN"/>
        </w:rPr>
        <w:t>资产管理。</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9分，自评得分9分）</w:t>
      </w:r>
    </w:p>
    <w:p w14:paraId="604C576D">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zh-CN"/>
        </w:rPr>
      </w:pPr>
      <w:r>
        <w:rPr>
          <w:rFonts w:hint="eastAsia" w:ascii="仿宋_GB2312" w:hAnsi="仿宋_GB2312" w:eastAsia="仿宋_GB2312" w:cs="仿宋_GB2312"/>
          <w:b w:val="0"/>
          <w:bCs w:val="0"/>
          <w:color w:val="000000"/>
          <w:kern w:val="0"/>
          <w:sz w:val="32"/>
          <w:szCs w:val="32"/>
          <w:shd w:val="clear" w:color="auto" w:fill="FFFFFF"/>
          <w:lang w:val="zh-CN"/>
        </w:rPr>
        <w:t>（</w:t>
      </w:r>
      <w:r>
        <w:rPr>
          <w:rFonts w:hint="eastAsia" w:ascii="仿宋_GB2312" w:hAnsi="仿宋_GB2312" w:eastAsia="仿宋_GB2312" w:cs="仿宋_GB2312"/>
          <w:b w:val="0"/>
          <w:bCs w:val="0"/>
          <w:color w:val="000000"/>
          <w:kern w:val="0"/>
          <w:sz w:val="32"/>
          <w:szCs w:val="32"/>
          <w:shd w:val="clear" w:color="auto" w:fill="FFFFFF"/>
          <w:lang w:val="en-US" w:eastAsia="zh-CN"/>
        </w:rPr>
        <w:t>1</w:t>
      </w:r>
      <w:r>
        <w:rPr>
          <w:rFonts w:hint="eastAsia" w:ascii="仿宋_GB2312" w:hAnsi="仿宋_GB2312" w:eastAsia="仿宋_GB2312" w:cs="仿宋_GB2312"/>
          <w:b w:val="0"/>
          <w:bCs w:val="0"/>
          <w:color w:val="000000"/>
          <w:kern w:val="0"/>
          <w:sz w:val="32"/>
          <w:szCs w:val="32"/>
          <w:shd w:val="clear" w:color="auto" w:fill="FFFFFF"/>
          <w:lang w:val="zh-CN"/>
        </w:rPr>
        <w:t>）人均资产变化率</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3分，自评得分3分）</w:t>
      </w:r>
    </w:p>
    <w:p w14:paraId="536E5013">
      <w:pPr>
        <w:spacing w:line="360" w:lineRule="auto"/>
        <w:ind w:firstLine="640" w:firstLineChars="200"/>
        <w:rPr>
          <w:rFonts w:hint="default" w:ascii="楷体_GB2312" w:eastAsia="楷体_GB2312" w:cs="楷体_GB2312"/>
          <w:color w:val="000000"/>
          <w:kern w:val="0"/>
          <w:szCs w:val="32"/>
          <w:highlight w:val="none"/>
          <w:shd w:val="clear" w:color="auto" w:fill="FFFFFF"/>
          <w:lang w:val="en-US"/>
        </w:rPr>
      </w:pPr>
      <w:r>
        <w:rPr>
          <w:rFonts w:hint="eastAsia" w:ascii="Times New Roman" w:hAnsi="Times New Roman" w:cs="Times New Roman"/>
          <w:color w:val="000000"/>
          <w:kern w:val="0"/>
          <w:szCs w:val="32"/>
          <w:highlight w:val="none"/>
          <w:shd w:val="clear" w:color="auto" w:fill="FFFFFF"/>
          <w:lang w:val="zh-CN"/>
        </w:rPr>
        <w:t>人均资产变化率</w:t>
      </w:r>
      <w:r>
        <w:rPr>
          <w:rFonts w:hint="eastAsia" w:cs="Times New Roman"/>
          <w:color w:val="000000"/>
          <w:kern w:val="0"/>
          <w:szCs w:val="32"/>
          <w:highlight w:val="none"/>
          <w:shd w:val="clear" w:color="auto" w:fill="FFFFFF"/>
          <w:lang w:val="en-US" w:eastAsia="zh-CN"/>
        </w:rPr>
        <w:t>=(期末人均资产-期初人均资产)/期初人均资产*100%。均符合相关规定，低于规定值。</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14:paraId="11AA19E3">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（2）资产利用率</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3分，自评得分3分）</w:t>
      </w:r>
    </w:p>
    <w:p w14:paraId="48CCB7C2">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zh-CN"/>
        </w:rPr>
      </w:pPr>
      <w:r>
        <w:rPr>
          <w:rFonts w:hint="eastAsia" w:ascii="仿宋_GB2312" w:eastAsia="仿宋_GB2312" w:cs="仿宋_GB2312"/>
          <w:sz w:val="32"/>
          <w:szCs w:val="32"/>
        </w:rPr>
        <w:t>固定资产在用率。截止</w:t>
      </w:r>
      <w:r>
        <w:rPr>
          <w:rFonts w:ascii="仿宋_GB2312" w:eastAsia="仿宋_GB2312" w:cs="仿宋_GB2312"/>
          <w:sz w:val="32"/>
          <w:szCs w:val="32"/>
        </w:rPr>
        <w:t>202</w:t>
      </w:r>
      <w:r>
        <w:rPr>
          <w:rFonts w:hint="eastAsia" w:ascii="仿宋_GB2312" w:cs="仿宋_GB2312"/>
          <w:sz w:val="32"/>
          <w:szCs w:val="32"/>
          <w:lang w:val="en-US" w:eastAsia="zh-CN"/>
        </w:rPr>
        <w:t>3</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31</w:t>
      </w:r>
      <w:r>
        <w:rPr>
          <w:rFonts w:hint="eastAsia" w:ascii="仿宋_GB2312" w:eastAsia="仿宋_GB2312" w:cs="仿宋_GB2312"/>
          <w:sz w:val="32"/>
          <w:szCs w:val="32"/>
        </w:rPr>
        <w:t>日，固定资产总计</w:t>
      </w:r>
      <w:r>
        <w:rPr>
          <w:rFonts w:hint="eastAsia" w:ascii="仿宋_GB2312" w:cs="仿宋_GB2312"/>
          <w:color w:val="0000FF"/>
          <w:sz w:val="32"/>
          <w:szCs w:val="32"/>
          <w:lang w:val="en-US" w:eastAsia="zh-CN"/>
        </w:rPr>
        <w:t>120.41</w:t>
      </w:r>
      <w:r>
        <w:rPr>
          <w:rFonts w:hint="eastAsia" w:ascii="仿宋_GB2312" w:eastAsia="仿宋_GB2312" w:cs="仿宋_GB2312"/>
          <w:sz w:val="32"/>
          <w:szCs w:val="32"/>
        </w:rPr>
        <w:t>万元，在用的固定资产总计</w:t>
      </w:r>
      <w:r>
        <w:rPr>
          <w:rFonts w:hint="eastAsia" w:ascii="仿宋_GB2312" w:cs="仿宋_GB2312"/>
          <w:sz w:val="32"/>
          <w:szCs w:val="32"/>
          <w:lang w:val="en-US" w:eastAsia="zh-CN"/>
        </w:rPr>
        <w:t>120.41万</w:t>
      </w:r>
      <w:r>
        <w:rPr>
          <w:rFonts w:hint="eastAsia" w:ascii="仿宋_GB2312" w:eastAsia="仿宋_GB2312" w:cs="仿宋_GB2312"/>
          <w:sz w:val="32"/>
          <w:szCs w:val="32"/>
        </w:rPr>
        <w:t>元，固定资产在用率达</w:t>
      </w:r>
      <w:r>
        <w:rPr>
          <w:rFonts w:ascii="仿宋_GB2312" w:eastAsia="仿宋_GB2312" w:cs="仿宋_GB2312"/>
          <w:sz w:val="32"/>
          <w:szCs w:val="32"/>
        </w:rPr>
        <w:t>100%</w:t>
      </w:r>
      <w:r>
        <w:rPr>
          <w:rFonts w:hint="eastAsia" w:ascii="仿宋_GB2312" w:eastAsia="仿宋_GB2312" w:cs="仿宋_GB2312"/>
          <w:sz w:val="32"/>
          <w:szCs w:val="32"/>
        </w:rPr>
        <w:t>。</w:t>
      </w:r>
      <w:r>
        <w:rPr>
          <w:rFonts w:hint="eastAsia" w:ascii="仿宋_GB2312" w:hAnsi="仿宋_GB2312" w:eastAsia="仿宋_GB2312" w:cs="仿宋_GB2312"/>
          <w:b w:val="0"/>
          <w:bCs w:val="0"/>
          <w:color w:val="000000"/>
          <w:kern w:val="0"/>
          <w:sz w:val="32"/>
          <w:szCs w:val="32"/>
          <w:shd w:val="clear" w:color="auto" w:fill="FFFFFF"/>
          <w:lang w:val="zh-CN"/>
        </w:rPr>
        <w:t>。</w:t>
      </w:r>
      <w:r>
        <w:rPr>
          <w:rFonts w:hint="eastAsia" w:ascii="仿宋_GB2312" w:hAnsi="仿宋_GB2312" w:eastAsia="仿宋_GB2312" w:cs="仿宋_GB2312"/>
          <w:sz w:val="32"/>
          <w:szCs w:val="32"/>
          <w:lang w:val="en-US" w:eastAsia="zh-CN"/>
        </w:rPr>
        <w:t>该项指标得分3分。</w:t>
      </w:r>
    </w:p>
    <w:p w14:paraId="72FFB2D0">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（3）资产盘活率</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3分，自评得分3分）</w:t>
      </w:r>
    </w:p>
    <w:p w14:paraId="36B8D120">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cs="仿宋_GB2312"/>
          <w:sz w:val="32"/>
          <w:szCs w:val="32"/>
          <w:lang w:eastAsia="zh-CN"/>
        </w:rPr>
        <w:t>资产闲置</w:t>
      </w:r>
      <w:r>
        <w:rPr>
          <w:rFonts w:hint="eastAsia" w:ascii="仿宋_GB2312" w:cs="仿宋_GB2312"/>
          <w:sz w:val="32"/>
          <w:szCs w:val="32"/>
          <w:lang w:val="en-US" w:eastAsia="zh-CN"/>
        </w:rPr>
        <w:t>0万元，</w:t>
      </w:r>
      <w:r>
        <w:rPr>
          <w:rFonts w:hint="eastAsia" w:ascii="仿宋_GB2312" w:cs="仿宋_GB2312"/>
          <w:sz w:val="32"/>
          <w:szCs w:val="32"/>
          <w:lang w:eastAsia="zh-CN"/>
        </w:rPr>
        <w:t>资产盘活率达</w:t>
      </w:r>
      <w:r>
        <w:rPr>
          <w:rFonts w:hint="eastAsia" w:ascii="仿宋_GB2312" w:cs="仿宋_GB2312"/>
          <w:sz w:val="32"/>
          <w:szCs w:val="32"/>
          <w:lang w:val="en-US" w:eastAsia="zh-CN"/>
        </w:rPr>
        <w:t>100%</w:t>
      </w:r>
      <w:r>
        <w:rPr>
          <w:rFonts w:hint="eastAsia" w:ascii="仿宋_GB2312" w:hAnsi="仿宋_GB2312" w:eastAsia="仿宋_GB2312" w:cs="仿宋_GB2312"/>
          <w:b w:val="0"/>
          <w:bCs w:val="0"/>
          <w:color w:val="000000"/>
          <w:kern w:val="0"/>
          <w:sz w:val="32"/>
          <w:szCs w:val="32"/>
          <w:shd w:val="clear" w:color="auto" w:fill="FFFFFF"/>
          <w:lang w:val="en-US" w:eastAsia="zh-CN"/>
        </w:rPr>
        <w:t>。</w:t>
      </w:r>
      <w:r>
        <w:rPr>
          <w:rFonts w:hint="eastAsia" w:ascii="仿宋_GB2312" w:hAnsi="仿宋_GB2312" w:eastAsia="仿宋_GB2312" w:cs="仿宋_GB2312"/>
          <w:sz w:val="32"/>
          <w:szCs w:val="32"/>
          <w:lang w:val="en-US" w:eastAsia="zh-CN"/>
        </w:rPr>
        <w:t>该项指标得分3分。</w:t>
      </w:r>
    </w:p>
    <w:p w14:paraId="42198918">
      <w:pPr>
        <w:keepNext w:val="0"/>
        <w:keepLines w:val="0"/>
        <w:pageBreakBefore w:val="0"/>
        <w:numPr>
          <w:ilvl w:val="0"/>
          <w:numId w:val="4"/>
        </w:numPr>
        <w:kinsoku/>
        <w:wordWrap/>
        <w:overflowPunct/>
        <w:topLinePunct w:val="0"/>
        <w:autoSpaceDE/>
        <w:autoSpaceDN/>
        <w:bidi w:val="0"/>
        <w:spacing w:afterAutospacing="0" w:line="500" w:lineRule="exact"/>
        <w:ind w:left="0" w:leftChars="0" w:firstLine="800" w:firstLineChars="25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采购管理</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6分，自评得分6分）</w:t>
      </w:r>
    </w:p>
    <w:p w14:paraId="0E069CFC">
      <w:pPr>
        <w:keepNext w:val="0"/>
        <w:keepLines w:val="0"/>
        <w:pageBreakBefore w:val="0"/>
        <w:numPr>
          <w:ilvl w:val="0"/>
          <w:numId w:val="5"/>
        </w:numPr>
        <w:kinsoku/>
        <w:wordWrap/>
        <w:overflowPunct/>
        <w:topLinePunct w:val="0"/>
        <w:autoSpaceDE/>
        <w:autoSpaceDN/>
        <w:bidi w:val="0"/>
        <w:spacing w:afterAutospacing="0" w:line="500" w:lineRule="exact"/>
        <w:ind w:leftChars="250"/>
        <w:textAlignment w:val="auto"/>
        <w:outlineLvl w:val="9"/>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支持中小企业发展</w:t>
      </w:r>
      <w:r>
        <w:rPr>
          <w:rFonts w:hint="eastAsia" w:ascii="仿宋_GB2312" w:hAnsi="仿宋_GB2312" w:eastAsia="仿宋_GB2312" w:cs="仿宋_GB2312"/>
          <w:b w:val="0"/>
          <w:bCs w:val="0"/>
          <w:color w:val="000000"/>
          <w:kern w:val="0"/>
          <w:sz w:val="32"/>
          <w:szCs w:val="32"/>
          <w:shd w:val="clear" w:color="auto" w:fill="FFFFFF"/>
          <w:lang w:val="zh-CN" w:eastAsia="zh-CN"/>
        </w:rPr>
        <w:t>（分值</w:t>
      </w:r>
      <w:r>
        <w:rPr>
          <w:rFonts w:hint="eastAsia" w:ascii="仿宋_GB2312" w:hAnsi="仿宋_GB2312" w:eastAsia="仿宋_GB2312" w:cs="仿宋_GB2312"/>
          <w:b w:val="0"/>
          <w:bCs w:val="0"/>
          <w:color w:val="000000"/>
          <w:kern w:val="0"/>
          <w:sz w:val="32"/>
          <w:szCs w:val="32"/>
          <w:shd w:val="clear" w:color="auto" w:fill="FFFFFF"/>
          <w:lang w:val="en-US" w:eastAsia="zh-CN"/>
        </w:rPr>
        <w:t>3分，自评得分3分）</w:t>
      </w:r>
    </w:p>
    <w:p w14:paraId="7FDE78EC">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eastAsia="仿宋_GB2312" w:cs="仿宋_GB2312"/>
          <w:sz w:val="32"/>
          <w:szCs w:val="32"/>
          <w:highlight w:val="none"/>
        </w:rPr>
        <w:t>采购执行率</w:t>
      </w:r>
      <w:r>
        <w:rPr>
          <w:rFonts w:hint="eastAsia" w:ascii="仿宋_GB2312" w:cs="仿宋_GB2312"/>
          <w:sz w:val="32"/>
          <w:szCs w:val="32"/>
          <w:highlight w:val="none"/>
          <w:lang w:eastAsia="zh-CN"/>
        </w:rPr>
        <w:t>：</w:t>
      </w:r>
      <w:r>
        <w:rPr>
          <w:rFonts w:hint="eastAsia" w:ascii="仿宋_GB2312" w:eastAsia="仿宋_GB2312" w:cs="仿宋_GB2312"/>
          <w:sz w:val="32"/>
          <w:szCs w:val="32"/>
          <w:highlight w:val="none"/>
        </w:rPr>
        <w:t>采购</w:t>
      </w:r>
      <w:r>
        <w:rPr>
          <w:rFonts w:hint="eastAsia" w:ascii="仿宋_GB2312" w:cs="仿宋_GB2312"/>
          <w:sz w:val="32"/>
          <w:szCs w:val="32"/>
          <w:highlight w:val="none"/>
          <w:lang w:eastAsia="zh-CN"/>
        </w:rPr>
        <w:t>执行</w:t>
      </w:r>
      <w:r>
        <w:rPr>
          <w:rFonts w:hint="eastAsia" w:ascii="仿宋_GB2312" w:eastAsia="仿宋_GB2312" w:cs="仿宋_GB2312"/>
          <w:sz w:val="32"/>
          <w:szCs w:val="32"/>
          <w:highlight w:val="none"/>
        </w:rPr>
        <w:t>规范性</w:t>
      </w:r>
      <w:r>
        <w:rPr>
          <w:rFonts w:hint="eastAsia" w:ascii="仿宋_GB2312" w:cs="仿宋_GB2312"/>
          <w:sz w:val="32"/>
          <w:szCs w:val="32"/>
          <w:highlight w:val="none"/>
          <w:lang w:eastAsia="zh-CN"/>
        </w:rPr>
        <w:t>，</w:t>
      </w:r>
      <w:r>
        <w:rPr>
          <w:rFonts w:hint="eastAsia" w:ascii="仿宋_GB2312" w:cs="仿宋_GB2312"/>
          <w:sz w:val="32"/>
          <w:szCs w:val="32"/>
          <w:highlight w:val="none"/>
          <w:lang w:val="en-US" w:eastAsia="zh-CN"/>
        </w:rPr>
        <w:t>2023年</w:t>
      </w:r>
      <w:r>
        <w:rPr>
          <w:rFonts w:hint="eastAsia" w:ascii="仿宋_GB2312" w:eastAsia="仿宋_GB2312" w:cs="仿宋_GB2312"/>
          <w:sz w:val="32"/>
          <w:szCs w:val="32"/>
          <w:highlight w:val="none"/>
        </w:rPr>
        <w:t>度政府采购货物支出</w:t>
      </w:r>
      <w:r>
        <w:rPr>
          <w:rFonts w:hint="eastAsia" w:ascii="仿宋_GB2312" w:cs="仿宋_GB2312"/>
          <w:sz w:val="32"/>
          <w:szCs w:val="32"/>
          <w:highlight w:val="none"/>
          <w:lang w:val="en-US" w:eastAsia="zh-CN"/>
        </w:rPr>
        <w:t>136.86</w:t>
      </w:r>
      <w:r>
        <w:rPr>
          <w:rFonts w:hint="eastAsia" w:ascii="仿宋_GB2312" w:eastAsia="仿宋_GB2312" w:cs="仿宋_GB2312"/>
          <w:sz w:val="32"/>
          <w:szCs w:val="32"/>
          <w:highlight w:val="none"/>
        </w:rPr>
        <w:t>万元，政府采购工程支出</w:t>
      </w:r>
      <w:r>
        <w:rPr>
          <w:rFonts w:hint="eastAsia" w:ascii="仿宋_GB2312" w:cs="仿宋_GB2312"/>
          <w:sz w:val="32"/>
          <w:szCs w:val="32"/>
          <w:highlight w:val="none"/>
          <w:lang w:val="en-US" w:eastAsia="zh-CN"/>
        </w:rPr>
        <w:t>167.31万元</w:t>
      </w:r>
      <w:r>
        <w:rPr>
          <w:rFonts w:hint="eastAsia" w:ascii="仿宋_GB2312" w:eastAsia="仿宋_GB2312" w:cs="仿宋_GB2312"/>
          <w:sz w:val="32"/>
          <w:szCs w:val="32"/>
          <w:highlight w:val="none"/>
        </w:rPr>
        <w:t>，政府采购服务支出</w:t>
      </w:r>
      <w:r>
        <w:rPr>
          <w:rFonts w:hint="eastAsia" w:ascii="仿宋_GB2312" w:cs="仿宋_GB2312"/>
          <w:sz w:val="32"/>
          <w:szCs w:val="32"/>
          <w:highlight w:val="none"/>
          <w:lang w:val="en-US" w:eastAsia="zh-CN"/>
        </w:rPr>
        <w:t>194.5</w:t>
      </w:r>
      <w:r>
        <w:rPr>
          <w:rFonts w:hint="eastAsia" w:ascii="仿宋_GB2312" w:eastAsia="仿宋_GB2312" w:cs="仿宋_GB2312"/>
          <w:sz w:val="32"/>
          <w:szCs w:val="32"/>
          <w:highlight w:val="none"/>
        </w:rPr>
        <w:t>万元。</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促进中小企业发展相关管理办法。该项指标得分3分。</w:t>
      </w:r>
    </w:p>
    <w:p w14:paraId="2BF11970">
      <w:pPr>
        <w:keepNext w:val="0"/>
        <w:keepLines w:val="0"/>
        <w:pageBreakBefore w:val="0"/>
        <w:numPr>
          <w:ilvl w:val="0"/>
          <w:numId w:val="0"/>
        </w:numPr>
        <w:kinsoku/>
        <w:wordWrap/>
        <w:overflowPunct/>
        <w:topLinePunct w:val="0"/>
        <w:autoSpaceDE/>
        <w:autoSpaceDN/>
        <w:bidi w:val="0"/>
        <w:spacing w:afterAutospacing="0" w:line="500" w:lineRule="exact"/>
        <w:ind w:firstLine="640" w:firstLineChars="200"/>
        <w:textAlignment w:val="auto"/>
        <w:outlineLvl w:val="9"/>
        <w:rPr>
          <w:rFonts w:hint="default"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（2）采购执行率部门政府采购项目能及时按比例支付资金。</w:t>
      </w:r>
      <w:r>
        <w:rPr>
          <w:rFonts w:hint="eastAsia" w:ascii="仿宋_GB2312" w:hAnsi="仿宋_GB2312" w:eastAsia="仿宋_GB2312" w:cs="仿宋_GB2312"/>
          <w:sz w:val="32"/>
          <w:szCs w:val="32"/>
          <w:lang w:val="en-US" w:eastAsia="zh-CN"/>
        </w:rPr>
        <w:t>该项指标得分3分。</w:t>
      </w:r>
    </w:p>
    <w:p w14:paraId="40D35D1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r>
        <w:rPr>
          <w:rFonts w:hint="eastAsia"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35分，自评得分35分。</w:t>
      </w:r>
    </w:p>
    <w:p w14:paraId="08B6321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4</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513.97</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14:paraId="07A50E7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阶段</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一次性</w:t>
      </w:r>
      <w:r>
        <w:rPr>
          <w:rFonts w:hint="eastAsia" w:cs="Times New Roman"/>
          <w:color w:val="000000"/>
          <w:kern w:val="0"/>
          <w:szCs w:val="32"/>
          <w:highlight w:val="none"/>
          <w:shd w:val="clear" w:color="auto" w:fill="FFFFFF"/>
          <w:lang w:val="en-US" w:eastAsia="zh-CN"/>
        </w:rPr>
        <w:t>）</w:t>
      </w:r>
      <w:r>
        <w:rPr>
          <w:rFonts w:cs="Times New Roman"/>
          <w:color w:val="000000"/>
          <w:kern w:val="0"/>
          <w:szCs w:val="32"/>
          <w:highlight w:val="none"/>
          <w:shd w:val="clear" w:color="auto" w:fill="FFFFFF"/>
          <w:lang w:val="en-US" w:eastAsia="zh-CN"/>
        </w:rPr>
        <w:t>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5</w:t>
      </w:r>
      <w:r>
        <w:rPr>
          <w:rFonts w:cs="Times New Roman"/>
          <w:color w:val="000000"/>
          <w:kern w:val="0"/>
          <w:szCs w:val="32"/>
          <w:highlight w:val="none"/>
          <w:shd w:val="clear" w:color="auto" w:fill="FFFFFF"/>
          <w:lang w:val="zh-CN" w:eastAsia="zh-CN"/>
        </w:rPr>
        <w:t>个，涉及预算总金额</w:t>
      </w:r>
      <w:r>
        <w:rPr>
          <w:rFonts w:hint="eastAsia" w:cs="Times New Roman"/>
          <w:color w:val="000000"/>
          <w:kern w:val="0"/>
          <w:szCs w:val="32"/>
          <w:highlight w:val="none"/>
          <w:shd w:val="clear" w:color="auto" w:fill="FFFFFF"/>
          <w:lang w:val="en-US" w:eastAsia="zh-CN"/>
        </w:rPr>
        <w:t>329.26</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zh-CN" w:eastAsia="zh-CN"/>
        </w:rPr>
        <w:t>个。</w:t>
      </w:r>
    </w:p>
    <w:p w14:paraId="5EB6F615">
      <w:pPr>
        <w:snapToGrid w:val="0"/>
        <w:spacing w:line="360" w:lineRule="auto"/>
        <w:ind w:left="0" w:firstLine="640" w:firstLineChars="200"/>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14:paraId="78C7A07A">
      <w:pPr>
        <w:snapToGrid w:val="0"/>
        <w:spacing w:line="360" w:lineRule="auto"/>
        <w:ind w:firstLine="640" w:firstLineChars="200"/>
        <w:rPr>
          <w:rFonts w:hint="eastAsia" w:ascii="仿宋_GB2312" w:eastAsia="仿宋_GB2312"/>
        </w:rPr>
      </w:pPr>
      <w:r>
        <w:rPr>
          <w:rFonts w:hint="eastAsia" w:ascii="Times New Roman" w:hAnsi="Times New Roman" w:eastAsia="仿宋_GB2312" w:cs="Times New Roman"/>
          <w:color w:val="000000"/>
          <w:kern w:val="0"/>
          <w:sz w:val="32"/>
          <w:szCs w:val="32"/>
          <w:highlight w:val="none"/>
          <w:shd w:val="clear" w:color="auto" w:fill="FFFFFF"/>
          <w:lang w:val="en-US" w:eastAsia="zh-CN" w:bidi="ar-SA"/>
        </w:rPr>
        <w:t>决策程序</w:t>
      </w:r>
      <w:r>
        <w:rPr>
          <w:rFonts w:hint="eastAsia" w:cs="Times New Roman"/>
          <w:color w:val="000000"/>
          <w:kern w:val="0"/>
          <w:sz w:val="32"/>
          <w:szCs w:val="32"/>
          <w:highlight w:val="none"/>
          <w:shd w:val="clear" w:color="auto" w:fill="FFFFFF"/>
          <w:lang w:val="en-US" w:eastAsia="zh-CN" w:bidi="ar-SA"/>
        </w:rPr>
        <w:t>;</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我</w:t>
      </w:r>
      <w:r>
        <w:rPr>
          <w:rFonts w:hint="eastAsia" w:cs="Times New Roman"/>
          <w:color w:val="000000"/>
          <w:kern w:val="0"/>
          <w:sz w:val="32"/>
          <w:szCs w:val="32"/>
          <w:highlight w:val="none"/>
          <w:shd w:val="clear" w:color="auto" w:fill="FFFFFF"/>
          <w:lang w:val="en-US" w:eastAsia="zh-CN" w:bidi="ar-SA"/>
        </w:rPr>
        <w:t>中心</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从项目立项必要性、投入经济性、目标合理性、实施可行性、筹资合规性。</w:t>
      </w:r>
      <w:r>
        <w:rPr>
          <w:rFonts w:hint="eastAsia" w:ascii="仿宋_GB2312" w:eastAsia="仿宋_GB2312"/>
        </w:rPr>
        <w:t>按照厉行节约的要求，结合项目开支情况结合实际需求、相关费用标准及市场价格水平，重点对</w:t>
      </w:r>
      <w:r>
        <w:rPr>
          <w:rFonts w:hint="eastAsia" w:ascii="仿宋_GB2312"/>
          <w:lang w:eastAsia="zh-CN"/>
        </w:rPr>
        <w:t>目标</w:t>
      </w:r>
      <w:r>
        <w:rPr>
          <w:rFonts w:hint="eastAsia" w:ascii="仿宋_GB2312" w:eastAsia="仿宋_GB2312"/>
        </w:rPr>
        <w:t>数量是否合理、投入是否经济、预算测算是否准确、测算过程是否详细、测算依据是否充分等方面进行了</w:t>
      </w:r>
      <w:r>
        <w:rPr>
          <w:rFonts w:hint="eastAsia" w:ascii="仿宋_GB2312"/>
          <w:lang w:eastAsia="zh-CN"/>
        </w:rPr>
        <w:t>分析</w:t>
      </w:r>
      <w:r>
        <w:rPr>
          <w:rFonts w:hint="eastAsia" w:ascii="仿宋_GB2312" w:eastAsia="仿宋_GB2312"/>
        </w:rPr>
        <w:t>。</w:t>
      </w:r>
      <w:r>
        <w:rPr>
          <w:rFonts w:hint="eastAsia" w:ascii="仿宋_GB2312" w:cs="仿宋"/>
          <w:sz w:val="32"/>
          <w:szCs w:val="32"/>
          <w:lang w:val="zh-CN" w:eastAsia="zh-CN" w:bidi="ar-SA"/>
        </w:rPr>
        <w:t>确定项目实施。</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06992F5E">
      <w:pPr>
        <w:snapToGrid w:val="0"/>
        <w:spacing w:line="360" w:lineRule="auto"/>
        <w:ind w:firstLine="640" w:firstLineChars="200"/>
        <w:rPr>
          <w:rFonts w:hint="eastAsia" w:eastAsia="仿宋_GB2312"/>
          <w:lang w:eastAsia="zh-CN"/>
        </w:rPr>
      </w:pPr>
      <w:r>
        <w:rPr>
          <w:rFonts w:hint="eastAsia" w:ascii="仿宋_GB2312" w:eastAsia="仿宋_GB2312"/>
        </w:rPr>
        <w:t>项目入库</w:t>
      </w:r>
      <w:r>
        <w:rPr>
          <w:rFonts w:hint="eastAsia" w:ascii="仿宋_GB2312"/>
          <w:lang w:eastAsia="zh-CN"/>
        </w:rPr>
        <w:t>；</w:t>
      </w:r>
      <w:r>
        <w:rPr>
          <w:rFonts w:hint="eastAsia" w:ascii="仿宋_GB2312"/>
          <w:color w:val="000000" w:themeColor="text1"/>
          <w:lang w:eastAsia="zh-CN"/>
          <w14:textFill>
            <w14:solidFill>
              <w14:schemeClr w14:val="tx1"/>
            </w14:solidFill>
          </w14:textFill>
        </w:rPr>
        <w:t>我</w:t>
      </w:r>
      <w:r>
        <w:rPr>
          <w:rFonts w:hint="eastAsia" w:ascii="仿宋_GB2312"/>
          <w:color w:val="000000" w:themeColor="text1"/>
          <w:lang w:val="en-US" w:eastAsia="zh-CN"/>
          <w14:textFill>
            <w14:solidFill>
              <w14:schemeClr w14:val="tx1"/>
            </w14:solidFill>
          </w14:textFill>
        </w:rPr>
        <w:t>中心</w:t>
      </w:r>
      <w:r>
        <w:rPr>
          <w:rFonts w:hint="eastAsia" w:ascii="仿宋_GB2312"/>
          <w:lang w:eastAsia="zh-CN"/>
        </w:rPr>
        <w:t>按照项目建设要求在规定时间完成项目入库。</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304C5D79">
      <w:pPr>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lang w:val="zh-CN" w:eastAsia="zh-CN"/>
        </w:rPr>
        <w:t>目标设置</w:t>
      </w:r>
      <w:r>
        <w:rPr>
          <w:rFonts w:hint="eastAsia" w:ascii="仿宋_GB2312"/>
          <w:sz w:val="32"/>
          <w:szCs w:val="32"/>
          <w:lang w:val="en-US" w:eastAsia="zh-CN"/>
        </w:rPr>
        <w:t>:</w:t>
      </w:r>
      <w:r>
        <w:rPr>
          <w:rFonts w:hint="eastAsia" w:ascii="仿宋_GB2312" w:eastAsia="仿宋_GB2312"/>
          <w:sz w:val="32"/>
          <w:szCs w:val="32"/>
          <w:lang w:val="zh-CN" w:eastAsia="zh-CN"/>
        </w:rPr>
        <w:t>申报的</w:t>
      </w:r>
      <w:r>
        <w:rPr>
          <w:rFonts w:hint="eastAsia" w:ascii="仿宋_GB2312" w:eastAsia="仿宋_GB2312"/>
          <w:sz w:val="32"/>
          <w:szCs w:val="32"/>
        </w:rPr>
        <w:t>资金项目内容</w:t>
      </w:r>
      <w:r>
        <w:rPr>
          <w:rFonts w:hint="eastAsia" w:ascii="仿宋_GB2312" w:eastAsia="仿宋_GB2312"/>
          <w:sz w:val="32"/>
          <w:szCs w:val="32"/>
          <w:lang w:val="zh-CN" w:eastAsia="zh-CN"/>
        </w:rPr>
        <w:t>与具体实施内容相符的、申报目标是合理可行</w:t>
      </w:r>
      <w:r>
        <w:rPr>
          <w:rFonts w:hint="eastAsia" w:ascii="仿宋_GB2312" w:eastAsia="仿宋_GB2312" w:cs="仿宋"/>
          <w:sz w:val="32"/>
          <w:szCs w:val="32"/>
          <w:lang w:val="zh-CN" w:eastAsia="zh-CN" w:bidi="ar-SA"/>
        </w:rPr>
        <w:t>。</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09603D7C">
      <w:pPr>
        <w:ind w:left="0" w:firstLine="640" w:firstLineChars="200"/>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12</w:t>
      </w:r>
      <w:r>
        <w:rPr>
          <w:rFonts w:ascii="楷体_GB2312" w:eastAsia="楷体_GB2312" w:cs="楷体_GB2312"/>
          <w:color w:val="000000"/>
          <w:kern w:val="0"/>
          <w:szCs w:val="32"/>
          <w:highlight w:val="none"/>
          <w:shd w:val="clear" w:color="auto" w:fill="FFFFFF"/>
          <w:lang w:val="zh-CN"/>
        </w:rPr>
        <w:t>分。</w:t>
      </w:r>
    </w:p>
    <w:p w14:paraId="184B9D0C">
      <w:pPr>
        <w:ind w:left="0" w:firstLine="640" w:firstLineChars="200"/>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执行同向</w:t>
      </w:r>
      <w:r>
        <w:rPr>
          <w:rFonts w:hint="eastAsia" w:ascii="仿宋_GB2312" w:cs="Times New Roman"/>
          <w:kern w:val="2"/>
          <w:sz w:val="32"/>
          <w:szCs w:val="32"/>
          <w:lang w:val="en-US" w:eastAsia="zh-CN" w:bidi="ar-SA"/>
        </w:rPr>
        <w:t>：各项目实际列支内容是否与绩效目标设置方向相符。</w:t>
      </w:r>
      <w:r>
        <w:rPr>
          <w:rFonts w:hint="eastAsia" w:ascii="仿宋_GB2312" w:eastAsia="仿宋_GB2312" w:cs="Times New Roman"/>
          <w:kern w:val="2"/>
          <w:sz w:val="32"/>
          <w:szCs w:val="32"/>
          <w:lang w:val="en-US" w:eastAsia="zh-CN" w:bidi="ar-SA"/>
        </w:rPr>
        <w:t>项目组织管理架构及具体实施流程，包括机构设置、监管措施、执行相关管理制度等符合相关规定。</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0F5767B6">
      <w:pPr>
        <w:ind w:left="0" w:firstLine="640" w:firstLineChars="200"/>
        <w:rPr>
          <w:rFonts w:hint="eastAsia" w:ascii="仿宋_GB2312" w:eastAsia="仿宋_GB2312"/>
          <w:b w:val="0"/>
          <w:sz w:val="32"/>
          <w:szCs w:val="32"/>
          <w:lang w:val="zh-CN" w:eastAsia="zh-CN"/>
        </w:rPr>
      </w:pPr>
      <w:r>
        <w:rPr>
          <w:rFonts w:hint="eastAsia" w:ascii="仿宋_GB2312" w:eastAsia="仿宋_GB2312" w:cs="Times New Roman"/>
          <w:kern w:val="2"/>
          <w:sz w:val="32"/>
          <w:szCs w:val="32"/>
          <w:lang w:val="en-US" w:eastAsia="zh-CN" w:bidi="ar-SA"/>
        </w:rPr>
        <w:t>项目调整</w:t>
      </w:r>
      <w:r>
        <w:rPr>
          <w:rFonts w:hint="eastAsia" w:ascii="仿宋_GB2312" w:cs="Times New Roman"/>
          <w:kern w:val="2"/>
          <w:sz w:val="32"/>
          <w:szCs w:val="32"/>
          <w:lang w:val="en-US" w:eastAsia="zh-CN" w:bidi="ar-SA"/>
        </w:rPr>
        <w:t>：按照县委资金分配，设立项目，未调整。</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16E96CC8">
      <w:pPr>
        <w:ind w:left="0"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执行结果</w:t>
      </w:r>
      <w:r>
        <w:rPr>
          <w:rFonts w:hint="eastAsia" w:ascii="仿宋_GB2312" w:cs="Times New Roman"/>
          <w:kern w:val="2"/>
          <w:sz w:val="32"/>
          <w:szCs w:val="32"/>
          <w:lang w:val="en-US" w:eastAsia="zh-CN" w:bidi="ar-SA"/>
        </w:rPr>
        <w:t>：</w:t>
      </w:r>
      <w:r>
        <w:rPr>
          <w:rFonts w:hint="eastAsia" w:ascii="仿宋_GB2312" w:eastAsia="仿宋_GB2312" w:cs="Times New Roman"/>
          <w:kern w:val="2"/>
          <w:sz w:val="32"/>
          <w:szCs w:val="32"/>
          <w:lang w:val="en-US" w:eastAsia="zh-CN" w:bidi="ar-SA"/>
        </w:rPr>
        <w:t>资金开支范围、标准及支付进度，支付依据合规合法，资金支付与预算相符。</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5B81489A">
      <w:pPr>
        <w:keepNext w:val="0"/>
        <w:keepLines w:val="0"/>
        <w:pageBreakBefore w:val="0"/>
        <w:widowControl w:val="0"/>
        <w:kinsoku/>
        <w:wordWrap/>
        <w:overflowPunct/>
        <w:topLinePunct w:val="0"/>
        <w:autoSpaceDE/>
        <w:autoSpaceDN/>
        <w:bidi w:val="0"/>
        <w:adjustRightInd w:val="0"/>
        <w:snapToGrid w:val="0"/>
        <w:spacing w:line="578" w:lineRule="exact"/>
        <w:ind w:left="640" w:leftChars="200"/>
        <w:contextualSpacing/>
        <w:jc w:val="left"/>
        <w:textAlignment w:val="auto"/>
        <w:outlineLvl w:val="9"/>
        <w:rPr>
          <w:rFonts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w:t>
      </w:r>
      <w:r>
        <w:rPr>
          <w:rFonts w:ascii="楷体_GB2312" w:eastAsia="楷体_GB2312" w:cs="楷体_GB2312"/>
          <w:color w:val="000000"/>
          <w:kern w:val="0"/>
          <w:szCs w:val="32"/>
          <w:highlight w:val="none"/>
          <w:shd w:val="clear" w:color="auto" w:fill="FFFFFF"/>
          <w:lang w:val="zh-CN"/>
        </w:rPr>
        <w:t>指标分值</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分，自评得分</w:t>
      </w:r>
      <w:r>
        <w:rPr>
          <w:rFonts w:hint="eastAsia" w:ascii="楷体_GB2312" w:eastAsia="楷体_GB2312" w:cs="楷体_GB2312"/>
          <w:color w:val="000000"/>
          <w:kern w:val="0"/>
          <w:szCs w:val="32"/>
          <w:highlight w:val="none"/>
          <w:shd w:val="clear" w:color="auto" w:fill="FFFFFF"/>
          <w:lang w:val="en-US" w:eastAsia="zh-CN"/>
        </w:rPr>
        <w:t>11</w:t>
      </w:r>
      <w:r>
        <w:rPr>
          <w:rFonts w:ascii="楷体_GB2312" w:eastAsia="楷体_GB2312" w:cs="楷体_GB2312"/>
          <w:color w:val="000000"/>
          <w:kern w:val="0"/>
          <w:szCs w:val="32"/>
          <w:highlight w:val="none"/>
          <w:shd w:val="clear" w:color="auto" w:fill="FFFFFF"/>
          <w:lang w:val="zh-CN"/>
        </w:rPr>
        <w:t>分。</w:t>
      </w:r>
    </w:p>
    <w:p w14:paraId="6795F3FB">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目标完成</w:t>
      </w:r>
      <w:r>
        <w:rPr>
          <w:rFonts w:hint="eastAsia" w:cs="Times New Roman"/>
          <w:color w:val="000000"/>
          <w:kern w:val="0"/>
          <w:szCs w:val="32"/>
          <w:highlight w:val="none"/>
          <w:shd w:val="clear" w:color="auto" w:fill="FFFFFF"/>
          <w:lang w:val="zh-CN"/>
        </w:rPr>
        <w:t>：</w:t>
      </w:r>
      <w:r>
        <w:rPr>
          <w:rFonts w:hint="eastAsia" w:ascii="Times New Roman" w:hAnsi="Times New Roman" w:cs="Times New Roman"/>
          <w:color w:val="000000"/>
          <w:kern w:val="0"/>
          <w:szCs w:val="32"/>
          <w:highlight w:val="none"/>
          <w:shd w:val="clear" w:color="auto" w:fill="FFFFFF"/>
          <w:lang w:val="zh-CN"/>
        </w:rPr>
        <w:t>项目从经济、社会、生态、可持续效益以及服务对象满意度等方面</w:t>
      </w:r>
      <w:r>
        <w:rPr>
          <w:rFonts w:hint="eastAsia" w:cs="Times New Roman"/>
          <w:color w:val="000000"/>
          <w:kern w:val="0"/>
          <w:szCs w:val="32"/>
          <w:highlight w:val="none"/>
          <w:shd w:val="clear" w:color="auto" w:fill="FFFFFF"/>
          <w:lang w:val="zh-CN"/>
        </w:rPr>
        <w:t>科学制定目标任务</w:t>
      </w:r>
      <w:r>
        <w:rPr>
          <w:rFonts w:hint="eastAsia" w:ascii="Times New Roman" w:hAnsi="Times New Roman" w:cs="Times New Roman"/>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截止</w:t>
      </w:r>
      <w:r>
        <w:rPr>
          <w:rFonts w:hint="eastAsia" w:cs="Times New Roman"/>
          <w:color w:val="000000"/>
          <w:kern w:val="0"/>
          <w:szCs w:val="32"/>
          <w:highlight w:val="none"/>
          <w:shd w:val="clear" w:color="auto" w:fill="FFFFFF"/>
          <w:lang w:val="en-US" w:eastAsia="zh-CN"/>
        </w:rPr>
        <w:t>2023年年底</w:t>
      </w:r>
      <w:r>
        <w:rPr>
          <w:rFonts w:hint="eastAsia" w:ascii="Times New Roman" w:hAnsi="Times New Roman" w:cs="Times New Roman"/>
          <w:color w:val="000000"/>
          <w:kern w:val="0"/>
          <w:szCs w:val="32"/>
          <w:highlight w:val="none"/>
          <w:shd w:val="clear" w:color="auto" w:fill="FFFFFF"/>
          <w:lang w:val="zh-CN"/>
        </w:rPr>
        <w:t>项目</w:t>
      </w:r>
      <w:r>
        <w:rPr>
          <w:rFonts w:hint="eastAsia" w:cs="Times New Roman"/>
          <w:color w:val="000000"/>
          <w:kern w:val="0"/>
          <w:szCs w:val="32"/>
          <w:highlight w:val="none"/>
          <w:shd w:val="clear" w:color="auto" w:fill="FFFFFF"/>
          <w:lang w:val="zh-CN"/>
        </w:rPr>
        <w:t>按照目标任务</w:t>
      </w:r>
      <w:r>
        <w:rPr>
          <w:rFonts w:hint="eastAsia" w:ascii="Times New Roman" w:hAnsi="Times New Roman" w:cs="Times New Roman"/>
          <w:color w:val="000000"/>
          <w:kern w:val="0"/>
          <w:szCs w:val="32"/>
          <w:highlight w:val="none"/>
          <w:shd w:val="clear" w:color="auto" w:fill="FFFFFF"/>
          <w:lang w:val="zh-CN"/>
        </w:rPr>
        <w:t>完成数量、质量、时效、成本等计划完成目标。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3CF5C70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ascii="Times New Roman" w:hAnsi="Times New Roman" w:cs="Times New Roman"/>
          <w:color w:val="000000"/>
          <w:kern w:val="0"/>
          <w:szCs w:val="32"/>
          <w:highlight w:val="none"/>
          <w:shd w:val="clear" w:color="auto" w:fill="FFFFFF"/>
          <w:lang w:val="zh-CN"/>
        </w:rPr>
        <w:t>目标偏离</w:t>
      </w:r>
      <w:r>
        <w:rPr>
          <w:rFonts w:hint="eastAsia" w:cs="Times New Roman"/>
          <w:color w:val="000000"/>
          <w:kern w:val="0"/>
          <w:szCs w:val="32"/>
          <w:highlight w:val="none"/>
          <w:shd w:val="clear" w:color="auto" w:fill="FFFFFF"/>
          <w:lang w:val="zh-CN"/>
        </w:rPr>
        <w:t>：预算项目绩效目标数量指标实现程度与预期目标的无偏离情况。各项目实际工作中达到预期的目标或标准，与设定的绩效目标之间不存在差异。</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4</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4</w:t>
      </w:r>
      <w:r>
        <w:rPr>
          <w:rFonts w:hint="eastAsia" w:ascii="仿宋_GB2312" w:eastAsia="仿宋_GB2312"/>
          <w:b w:val="0"/>
          <w:sz w:val="32"/>
          <w:szCs w:val="32"/>
          <w:lang w:val="zh-CN" w:eastAsia="zh-CN"/>
        </w:rPr>
        <w:t>分。</w:t>
      </w:r>
    </w:p>
    <w:p w14:paraId="44D7AEC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zh-CN"/>
        </w:rPr>
      </w:pPr>
      <w:r>
        <w:rPr>
          <w:rFonts w:hint="eastAsia" w:cs="Times New Roman"/>
          <w:color w:val="000000"/>
          <w:kern w:val="0"/>
          <w:szCs w:val="32"/>
          <w:highlight w:val="none"/>
          <w:shd w:val="clear" w:color="auto" w:fill="FFFFFF"/>
          <w:lang w:val="zh-CN"/>
        </w:rPr>
        <w:t>实现效果：加快构建全方位、全过程、全覆盖预算绩效管理体系，财政资源配置效率和资金使用效益实现“双提升”。</w:t>
      </w:r>
      <w:r>
        <w:rPr>
          <w:rFonts w:hint="eastAsia" w:ascii="仿宋_GB2312" w:eastAsia="仿宋_GB2312"/>
          <w:b w:val="0"/>
          <w:sz w:val="32"/>
          <w:szCs w:val="32"/>
          <w:lang w:val="zh-CN" w:eastAsia="zh-CN"/>
        </w:rPr>
        <w:t>指标分值</w:t>
      </w:r>
      <w:r>
        <w:rPr>
          <w:rFonts w:hint="eastAsia" w:ascii="仿宋_GB2312"/>
          <w:b w:val="0"/>
          <w:sz w:val="32"/>
          <w:szCs w:val="32"/>
          <w:lang w:val="en-US" w:eastAsia="zh-CN"/>
        </w:rPr>
        <w:t>3</w:t>
      </w:r>
      <w:r>
        <w:rPr>
          <w:rFonts w:hint="eastAsia" w:ascii="仿宋_GB2312" w:eastAsia="仿宋_GB2312"/>
          <w:b w:val="0"/>
          <w:sz w:val="32"/>
          <w:szCs w:val="32"/>
          <w:lang w:val="zh-CN" w:eastAsia="zh-CN"/>
        </w:rPr>
        <w:t>分，自评得分</w:t>
      </w:r>
      <w:r>
        <w:rPr>
          <w:rFonts w:hint="eastAsia" w:ascii="仿宋_GB2312"/>
          <w:b w:val="0"/>
          <w:sz w:val="32"/>
          <w:szCs w:val="32"/>
          <w:lang w:val="en-US" w:eastAsia="zh-CN"/>
        </w:rPr>
        <w:t>3</w:t>
      </w:r>
      <w:r>
        <w:rPr>
          <w:rFonts w:hint="eastAsia" w:ascii="仿宋_GB2312" w:eastAsia="仿宋_GB2312"/>
          <w:b w:val="0"/>
          <w:sz w:val="32"/>
          <w:szCs w:val="32"/>
          <w:lang w:val="zh-CN" w:eastAsia="zh-CN"/>
        </w:rPr>
        <w:t>分。</w:t>
      </w:r>
    </w:p>
    <w:p w14:paraId="56EC9632">
      <w:pPr>
        <w:pageBreakBefore w:val="0"/>
        <w:widowControl w:val="0"/>
        <w:kinsoku/>
        <w:wordWrap/>
        <w:overflowPunct/>
        <w:topLinePunct w:val="0"/>
        <w:autoSpaceDE/>
        <w:autoSpaceDN/>
        <w:bidi w:val="0"/>
        <w:adjustRightInd/>
        <w:snapToGrid/>
        <w:spacing w:line="578" w:lineRule="exact"/>
        <w:ind w:firstLine="640" w:firstLineChars="200"/>
        <w:textAlignment w:val="auto"/>
        <w:rPr>
          <w:rFonts w:ascii="Times New Roman" w:hAnsi="Times New Roman" w:eastAsia="楷体_GB2312" w:cs="Times New Roman"/>
          <w:color w:val="333333"/>
          <w:sz w:val="32"/>
          <w:szCs w:val="32"/>
          <w:highlight w:val="none"/>
          <w:u w:val="none"/>
          <w:shd w:val="clear" w:color="auto" w:fill="auto"/>
        </w:rPr>
      </w:pPr>
      <w:r>
        <w:rPr>
          <w:rFonts w:hint="eastAsia" w:cs="Times New Roman"/>
          <w:sz w:val="32"/>
          <w:szCs w:val="32"/>
          <w:u w:val="none"/>
          <w:lang w:eastAsia="zh-CN"/>
        </w:rPr>
        <w:t>我单位不涉及</w:t>
      </w:r>
      <w:r>
        <w:rPr>
          <w:rFonts w:hint="eastAsia" w:ascii="Times New Roman" w:hAnsi="Times New Roman" w:eastAsia="仿宋_GB2312" w:cs="Times New Roman"/>
          <w:sz w:val="32"/>
          <w:szCs w:val="32"/>
          <w:u w:val="none"/>
          <w:lang w:val="en-US" w:eastAsia="zh-CN"/>
        </w:rPr>
        <w:t>2023年度</w:t>
      </w:r>
      <w:r>
        <w:rPr>
          <w:rFonts w:ascii="Times New Roman" w:hAnsi="Times New Roman" w:eastAsia="仿宋_GB2312" w:cs="Times New Roman"/>
          <w:sz w:val="32"/>
          <w:szCs w:val="32"/>
          <w:u w:val="none"/>
        </w:rPr>
        <w:t>国有资</w:t>
      </w:r>
      <w:r>
        <w:rPr>
          <w:rFonts w:ascii="Times New Roman" w:hAnsi="Times New Roman" w:eastAsia="仿宋_GB2312" w:cs="Times New Roman"/>
          <w:sz w:val="32"/>
          <w:szCs w:val="32"/>
          <w:highlight w:val="none"/>
          <w:u w:val="none"/>
        </w:rPr>
        <w:t>本经营预算、社会保险基金预算。</w:t>
      </w:r>
    </w:p>
    <w:p w14:paraId="7D245D41">
      <w:pPr>
        <w:pageBreakBefore w:val="0"/>
        <w:widowControl w:val="0"/>
        <w:kinsoku/>
        <w:wordWrap/>
        <w:overflowPunct/>
        <w:topLinePunct w:val="0"/>
        <w:autoSpaceDE/>
        <w:autoSpaceDN/>
        <w:bidi w:val="0"/>
        <w:adjustRightInd/>
        <w:snapToGrid/>
        <w:spacing w:line="578" w:lineRule="exact"/>
        <w:ind w:firstLine="643" w:firstLineChars="200"/>
        <w:textAlignment w:val="auto"/>
        <w:rPr>
          <w:rFonts w:ascii="Times New Roman" w:hAnsi="Times New Roman" w:eastAsia="楷体_GB2312" w:cs="Times New Roman"/>
          <w:color w:val="333333"/>
          <w:sz w:val="32"/>
          <w:szCs w:val="32"/>
          <w:highlight w:val="none"/>
          <w:u w:val="none"/>
          <w:shd w:val="clear" w:color="auto" w:fill="auto"/>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color w:val="000000"/>
          <w:kern w:val="0"/>
          <w:szCs w:val="32"/>
          <w:highlight w:val="none"/>
          <w:shd w:val="clear" w:color="auto" w:fill="FFFFFF"/>
          <w:lang w:val="zh-CN" w:eastAsia="zh-CN"/>
        </w:rPr>
        <w:t>重点领域</w:t>
      </w:r>
      <w:r>
        <w:rPr>
          <w:rFonts w:ascii="Times New Roman" w:hAnsi="Times New Roman" w:eastAsia="楷体_GB2312" w:cs="Times New Roman"/>
          <w:b/>
          <w:bCs/>
          <w:color w:val="000000"/>
          <w:kern w:val="0"/>
          <w:szCs w:val="32"/>
          <w:highlight w:val="none"/>
          <w:shd w:val="clear" w:color="auto" w:fill="FFFFFF"/>
          <w:lang w:val="zh-CN"/>
        </w:rPr>
        <w:t>绩效分析</w:t>
      </w:r>
      <w:r>
        <w:rPr>
          <w:rFonts w:ascii="Times New Roman" w:hAnsi="Times New Roman" w:eastAsia="楷体_GB2312" w:cs="Times New Roman"/>
          <w:b/>
          <w:bCs/>
          <w:color w:val="000000"/>
          <w:kern w:val="0"/>
          <w:szCs w:val="32"/>
          <w:highlight w:val="none"/>
          <w:shd w:val="clear" w:color="auto" w:fill="FFFFFF"/>
          <w:lang w:val="zh-CN" w:eastAsia="zh-CN"/>
        </w:rPr>
        <w:t>。</w:t>
      </w:r>
      <w:r>
        <w:rPr>
          <w:rFonts w:hint="eastAsia" w:cs="Times New Roman"/>
          <w:sz w:val="32"/>
          <w:szCs w:val="32"/>
          <w:u w:val="none"/>
          <w:lang w:eastAsia="zh-CN"/>
        </w:rPr>
        <w:t>我单位不涉及</w:t>
      </w:r>
      <w:r>
        <w:rPr>
          <w:rFonts w:hint="eastAsia" w:ascii="Times New Roman" w:hAnsi="Times New Roman" w:eastAsia="仿宋_GB2312" w:cs="Times New Roman"/>
          <w:sz w:val="32"/>
          <w:szCs w:val="32"/>
          <w:u w:val="none"/>
          <w:lang w:val="en-US" w:eastAsia="zh-CN"/>
        </w:rPr>
        <w:t>2023年度</w:t>
      </w:r>
      <w:r>
        <w:rPr>
          <w:rFonts w:hint="eastAsia" w:cs="Times New Roman"/>
          <w:color w:val="000000" w:themeColor="text1"/>
          <w:sz w:val="32"/>
          <w:szCs w:val="32"/>
          <w:u w:val="none"/>
          <w:lang w:val="en-US" w:eastAsia="zh-CN"/>
          <w14:textFill>
            <w14:solidFill>
              <w14:schemeClr w14:val="tx1"/>
            </w14:solidFill>
          </w14:textFill>
        </w:rPr>
        <w:t>不</w:t>
      </w:r>
      <w:r>
        <w:rPr>
          <w:rFonts w:ascii="Times New Roman" w:hAnsi="Times New Roman" w:eastAsia="仿宋_GB2312" w:cs="Times New Roman"/>
          <w:sz w:val="32"/>
          <w:szCs w:val="32"/>
          <w:u w:val="none"/>
        </w:rPr>
        <w:t>涉及国有资</w:t>
      </w:r>
      <w:r>
        <w:rPr>
          <w:rFonts w:ascii="Times New Roman" w:hAnsi="Times New Roman" w:eastAsia="仿宋_GB2312" w:cs="Times New Roman"/>
          <w:sz w:val="32"/>
          <w:szCs w:val="32"/>
          <w:highlight w:val="none"/>
          <w:u w:val="none"/>
        </w:rPr>
        <w:t>本经营预算、社会保险基金预算。</w:t>
      </w:r>
    </w:p>
    <w:p w14:paraId="6E9F17AA">
      <w:pPr>
        <w:snapToGrid w:val="0"/>
        <w:spacing w:line="360" w:lineRule="auto"/>
        <w:ind w:firstLine="640" w:firstLineChars="200"/>
        <w:rPr>
          <w:rFonts w:ascii="仿宋_GB2312" w:eastAsia="仿宋_GB2312" w:cs="仿宋_GB2312"/>
          <w:sz w:val="32"/>
          <w:szCs w:val="32"/>
        </w:rPr>
      </w:pPr>
      <w:r>
        <w:rPr>
          <w:rFonts w:hint="eastAsia" w:ascii="仿宋_GB2312" w:cs="仿宋_GB2312"/>
          <w:sz w:val="32"/>
          <w:szCs w:val="32"/>
          <w:lang w:val="en-US" w:eastAsia="zh-CN"/>
        </w:rPr>
        <w:t>2023年</w:t>
      </w:r>
      <w:r>
        <w:rPr>
          <w:rFonts w:hint="eastAsia" w:ascii="仿宋_GB2312" w:eastAsia="仿宋_GB2312" w:cs="仿宋_GB2312"/>
          <w:sz w:val="32"/>
          <w:szCs w:val="32"/>
        </w:rPr>
        <w:t>年度政府采购货物支出</w:t>
      </w:r>
      <w:r>
        <w:rPr>
          <w:rFonts w:hint="eastAsia" w:ascii="仿宋_GB2312" w:cs="仿宋_GB2312"/>
          <w:sz w:val="32"/>
          <w:szCs w:val="32"/>
          <w:lang w:val="en-US" w:eastAsia="zh-CN"/>
        </w:rPr>
        <w:t>136.86</w:t>
      </w:r>
      <w:r>
        <w:rPr>
          <w:rFonts w:hint="eastAsia" w:ascii="仿宋_GB2312" w:eastAsia="仿宋_GB2312" w:cs="仿宋_GB2312"/>
          <w:sz w:val="32"/>
          <w:szCs w:val="32"/>
        </w:rPr>
        <w:t>万元，政府采购工程支出</w:t>
      </w:r>
      <w:r>
        <w:rPr>
          <w:rFonts w:hint="eastAsia" w:ascii="仿宋_GB2312" w:cs="仿宋_GB2312"/>
          <w:sz w:val="32"/>
          <w:szCs w:val="32"/>
          <w:lang w:val="en-US" w:eastAsia="zh-CN"/>
        </w:rPr>
        <w:t>167.31万元</w:t>
      </w:r>
      <w:r>
        <w:rPr>
          <w:rFonts w:hint="eastAsia" w:ascii="仿宋_GB2312" w:eastAsia="仿宋_GB2312" w:cs="仿宋_GB2312"/>
          <w:sz w:val="32"/>
          <w:szCs w:val="32"/>
        </w:rPr>
        <w:t>，政府采购服务支出</w:t>
      </w:r>
      <w:r>
        <w:rPr>
          <w:rFonts w:hint="eastAsia" w:ascii="仿宋_GB2312" w:cs="仿宋_GB2312"/>
          <w:sz w:val="32"/>
          <w:szCs w:val="32"/>
          <w:lang w:val="en-US" w:eastAsia="zh-CN"/>
        </w:rPr>
        <w:t>194.5</w:t>
      </w:r>
      <w:r>
        <w:rPr>
          <w:rFonts w:hint="eastAsia" w:ascii="仿宋_GB2312" w:eastAsia="仿宋_GB2312" w:cs="仿宋_GB2312"/>
          <w:sz w:val="32"/>
          <w:szCs w:val="32"/>
        </w:rPr>
        <w:t>万元。</w:t>
      </w:r>
    </w:p>
    <w:p w14:paraId="47B444FC">
      <w:pPr>
        <w:snapToGrid w:val="0"/>
        <w:spacing w:line="360" w:lineRule="auto"/>
        <w:ind w:firstLine="640" w:firstLineChars="200"/>
        <w:rPr>
          <w:rFonts w:ascii="Times New Roman" w:hAnsi="Times New Roman" w:cs="Times New Roman"/>
          <w:color w:val="000000"/>
          <w:kern w:val="0"/>
          <w:szCs w:val="32"/>
          <w:highlight w:val="none"/>
          <w:shd w:val="clear" w:color="auto" w:fill="FFFFFF"/>
          <w:lang w:val="en-US" w:eastAsia="zh-CN"/>
        </w:rPr>
      </w:pPr>
      <w:r>
        <w:rPr>
          <w:rFonts w:hint="eastAsia" w:ascii="仿宋_GB2312" w:eastAsia="仿宋_GB2312" w:cs="仿宋_GB2312"/>
          <w:sz w:val="32"/>
          <w:szCs w:val="32"/>
        </w:rPr>
        <w:t>政府采购授予中小企业合同金额</w:t>
      </w:r>
      <w:r>
        <w:rPr>
          <w:rFonts w:hint="eastAsia" w:ascii="仿宋_GB2312" w:cs="仿宋_GB2312"/>
          <w:sz w:val="32"/>
          <w:szCs w:val="32"/>
          <w:lang w:val="en-US" w:eastAsia="zh-CN"/>
        </w:rPr>
        <w:t>498.67</w:t>
      </w:r>
      <w:r>
        <w:rPr>
          <w:rFonts w:hint="eastAsia" w:ascii="仿宋_GB2312" w:eastAsia="仿宋_GB2312" w:cs="仿宋_GB2312"/>
          <w:sz w:val="32"/>
          <w:szCs w:val="32"/>
        </w:rPr>
        <w:t>万元，其中：授予小微企业合同金额</w:t>
      </w:r>
      <w:r>
        <w:rPr>
          <w:rFonts w:ascii="仿宋_GB2312" w:eastAsia="仿宋_GB2312" w:cs="仿宋_GB2312"/>
          <w:sz w:val="32"/>
          <w:szCs w:val="32"/>
        </w:rPr>
        <w:t>0</w:t>
      </w:r>
      <w:r>
        <w:rPr>
          <w:rFonts w:hint="eastAsia" w:ascii="仿宋_GB2312" w:eastAsia="仿宋_GB2312" w:cs="仿宋_GB2312"/>
          <w:sz w:val="32"/>
          <w:szCs w:val="32"/>
        </w:rPr>
        <w:t>万元。</w:t>
      </w:r>
    </w:p>
    <w:p w14:paraId="38842A14">
      <w:pPr>
        <w:keepNext w:val="0"/>
        <w:keepLines w:val="0"/>
        <w:pageBreakBefore w:val="0"/>
        <w:widowControl w:val="0"/>
        <w:numPr>
          <w:ilvl w:val="0"/>
          <w:numId w:val="6"/>
        </w:numPr>
        <w:kinsoku/>
        <w:wordWrap/>
        <w:overflowPunct/>
        <w:topLinePunct w:val="0"/>
        <w:autoSpaceDE/>
        <w:autoSpaceDN/>
        <w:bidi w:val="0"/>
        <w:snapToGrid w:val="0"/>
        <w:spacing w:line="600" w:lineRule="exact"/>
        <w:ind w:left="0" w:firstLine="643" w:firstLineChars="200"/>
        <w:textAlignment w:val="auto"/>
        <w:rPr>
          <w:rFonts w:hint="eastAsia" w:ascii="Times New Roman" w:hAnsi="Times New Roman" w:eastAsia="楷体_GB2312" w:cs="Times New Roman"/>
          <w:b/>
          <w:bCs/>
          <w:szCs w:val="32"/>
          <w:lang w:val="zh-CN"/>
        </w:rPr>
      </w:pPr>
      <w:r>
        <w:rPr>
          <w:rFonts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14:paraId="77E18EA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我单位</w:t>
      </w:r>
      <w:r>
        <w:rPr>
          <w:rFonts w:hint="eastAsia" w:cs="Times New Roman"/>
          <w:color w:val="000000"/>
          <w:kern w:val="0"/>
          <w:szCs w:val="32"/>
          <w:highlight w:val="none"/>
          <w:shd w:val="clear" w:color="auto" w:fill="FFFFFF"/>
          <w:lang w:val="en-US" w:eastAsia="zh-CN"/>
        </w:rPr>
        <w:t>按要求在规定时间内</w:t>
      </w:r>
      <w:r>
        <w:rPr>
          <w:rFonts w:hint="eastAsia" w:ascii="Times New Roman" w:hAnsi="Times New Roman" w:cs="Times New Roman"/>
          <w:color w:val="000000"/>
          <w:kern w:val="0"/>
          <w:szCs w:val="32"/>
          <w:highlight w:val="none"/>
          <w:shd w:val="clear" w:color="auto" w:fill="FFFFFF"/>
          <w:lang w:val="zh-CN" w:eastAsia="zh-CN"/>
        </w:rPr>
        <w:t>在黑水县人民政府信息公开网站上公开了《</w:t>
      </w:r>
      <w:r>
        <w:rPr>
          <w:rFonts w:hint="eastAsia" w:cs="Times New Roman"/>
          <w:color w:val="000000"/>
          <w:kern w:val="0"/>
          <w:szCs w:val="32"/>
          <w:highlight w:val="none"/>
          <w:shd w:val="clear" w:color="auto" w:fill="FFFFFF"/>
          <w:lang w:val="en-US" w:eastAsia="zh-CN"/>
        </w:rPr>
        <w:t>黑水县公务服务中心</w:t>
      </w:r>
      <w:r>
        <w:rPr>
          <w:rFonts w:hint="eastAsia" w:ascii="Times New Roman" w:hAnsi="Times New Roman" w:cs="Times New Roman"/>
          <w:color w:val="000000"/>
          <w:kern w:val="0"/>
          <w:szCs w:val="32"/>
          <w:highlight w:val="none"/>
          <w:shd w:val="clear" w:color="auto" w:fill="FFFFFF"/>
          <w:lang w:val="zh-CN" w:eastAsia="zh-CN"/>
        </w:rPr>
        <w:t>2023年预算编制说明》</w:t>
      </w:r>
      <w:r>
        <w:rPr>
          <w:rFonts w:hint="eastAsia" w:cs="Times New Roman"/>
          <w:color w:val="000000"/>
          <w:kern w:val="0"/>
          <w:szCs w:val="32"/>
          <w:highlight w:val="none"/>
          <w:shd w:val="clear" w:color="auto" w:fill="FFFFFF"/>
          <w:lang w:val="zh-CN" w:eastAsia="zh-CN"/>
        </w:rPr>
        <w:t>、</w:t>
      </w:r>
      <w:r>
        <w:rPr>
          <w:rFonts w:hint="eastAsia" w:ascii="Times New Roman" w:hAnsi="Times New Roman" w:cs="Times New Roman"/>
          <w:color w:val="000000"/>
          <w:kern w:val="0"/>
          <w:szCs w:val="32"/>
          <w:highlight w:val="none"/>
          <w:shd w:val="clear" w:color="auto" w:fill="FFFFFF"/>
          <w:lang w:val="zh-CN" w:eastAsia="zh-CN"/>
        </w:rPr>
        <w:t>《</w:t>
      </w:r>
      <w:r>
        <w:rPr>
          <w:rFonts w:hint="eastAsia" w:cs="Times New Roman"/>
          <w:color w:val="000000"/>
          <w:kern w:val="0"/>
          <w:szCs w:val="32"/>
          <w:highlight w:val="none"/>
          <w:shd w:val="clear" w:color="auto" w:fill="FFFFFF"/>
          <w:lang w:val="en-US" w:eastAsia="zh-CN"/>
        </w:rPr>
        <w:t>黑水县公务服务中心</w:t>
      </w:r>
      <w:r>
        <w:rPr>
          <w:rFonts w:hint="eastAsia" w:ascii="Times New Roman" w:hAnsi="Times New Roman" w:cs="Times New Roman"/>
          <w:color w:val="000000"/>
          <w:kern w:val="0"/>
          <w:szCs w:val="32"/>
          <w:highlight w:val="none"/>
          <w:shd w:val="clear" w:color="auto" w:fill="FFFFFF"/>
          <w:lang w:val="zh-CN" w:eastAsia="zh-CN"/>
        </w:rPr>
        <w:t>202</w:t>
      </w: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年预算编制说明》</w:t>
      </w:r>
      <w:r>
        <w:rPr>
          <w:rFonts w:hint="eastAsia" w:cs="Times New Roman"/>
          <w:color w:val="000000"/>
          <w:kern w:val="0"/>
          <w:szCs w:val="32"/>
          <w:highlight w:val="none"/>
          <w:shd w:val="clear" w:color="auto" w:fill="FFFFFF"/>
          <w:lang w:val="zh-CN" w:eastAsia="zh-CN"/>
        </w:rPr>
        <w:t>。</w:t>
      </w:r>
      <w:r>
        <w:rPr>
          <w:rFonts w:hint="eastAsia" w:ascii="Times New Roman" w:hAnsi="Times New Roman" w:cs="Times New Roman"/>
          <w:color w:val="000000"/>
          <w:kern w:val="0"/>
          <w:szCs w:val="32"/>
          <w:highlight w:val="none"/>
          <w:shd w:val="clear" w:color="auto" w:fill="FFFFFF"/>
          <w:lang w:val="zh-CN" w:eastAsia="zh-CN"/>
        </w:rPr>
        <w:t>由于202</w:t>
      </w:r>
      <w:r>
        <w:rPr>
          <w:rFonts w:hint="eastAsia" w:cs="Times New Roman"/>
          <w:color w:val="000000"/>
          <w:kern w:val="0"/>
          <w:szCs w:val="32"/>
          <w:highlight w:val="none"/>
          <w:shd w:val="clear" w:color="auto" w:fill="FFFFFF"/>
          <w:lang w:val="en-US" w:eastAsia="zh-CN"/>
        </w:rPr>
        <w:t>4</w:t>
      </w:r>
      <w:r>
        <w:rPr>
          <w:rFonts w:hint="eastAsia" w:ascii="Times New Roman" w:hAnsi="Times New Roman" w:cs="Times New Roman"/>
          <w:color w:val="000000"/>
          <w:kern w:val="0"/>
          <w:szCs w:val="32"/>
          <w:highlight w:val="none"/>
          <w:shd w:val="clear" w:color="auto" w:fill="FFFFFF"/>
          <w:lang w:val="zh-CN" w:eastAsia="zh-CN"/>
        </w:rPr>
        <w:t>年尚未进行决算批复，无法决算公开。</w:t>
      </w:r>
    </w:p>
    <w:p w14:paraId="47C64F85">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绩效信息公开</w:t>
      </w:r>
    </w:p>
    <w:p w14:paraId="4124EDB0">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Times New Roman"/>
          <w:b/>
          <w:bCs w:val="0"/>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t>我单位在黑水县政府信息公开网站上公开了《202</w:t>
      </w: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w:t>
      </w:r>
      <w:r>
        <w:rPr>
          <w:rFonts w:hint="eastAsia" w:cs="Times New Roman"/>
          <w:color w:val="000000"/>
          <w:kern w:val="0"/>
          <w:szCs w:val="32"/>
          <w:highlight w:val="none"/>
          <w:shd w:val="clear" w:color="auto" w:fill="FFFFFF"/>
          <w:lang w:val="en-US" w:eastAsia="zh-CN"/>
        </w:rPr>
        <w:t>黑水县公务服务中心</w:t>
      </w:r>
      <w:r>
        <w:rPr>
          <w:rFonts w:hint="eastAsia" w:ascii="Times New Roman" w:hAnsi="Times New Roman" w:cs="Times New Roman"/>
          <w:color w:val="000000"/>
          <w:kern w:val="0"/>
          <w:szCs w:val="32"/>
          <w:highlight w:val="none"/>
          <w:shd w:val="clear" w:color="auto" w:fill="FFFFFF"/>
          <w:lang w:val="zh-CN" w:eastAsia="zh-CN"/>
        </w:rPr>
        <w:t>部门决算编制说明》，说明中公开了预算绩效管理工作开展情况，并公开了202</w:t>
      </w: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zh-CN" w:eastAsia="zh-CN"/>
        </w:rPr>
        <w:t>年整体支出绩效报告。</w:t>
      </w:r>
    </w:p>
    <w:p w14:paraId="67D038B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14:paraId="054D51CA">
      <w:pPr>
        <w:spacing w:line="580" w:lineRule="exact"/>
        <w:ind w:firstLine="643" w:firstLineChars="200"/>
        <w:rPr>
          <w:rFonts w:ascii="仿宋" w:eastAsia="仿宋" w:cs="??_GB2312"/>
          <w:szCs w:val="32"/>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 w:eastAsia="仿宋" w:cs="??_GB2312"/>
          <w:color w:val="000000" w:themeColor="text1"/>
          <w:szCs w:val="32"/>
          <w14:textFill>
            <w14:solidFill>
              <w14:schemeClr w14:val="tx1"/>
            </w14:solidFill>
          </w14:textFill>
        </w:rPr>
        <w:t>我</w:t>
      </w:r>
      <w:r>
        <w:rPr>
          <w:rFonts w:hint="eastAsia" w:ascii="仿宋" w:eastAsia="仿宋" w:cs="??_GB2312"/>
          <w:color w:val="000000" w:themeColor="text1"/>
          <w:szCs w:val="32"/>
          <w:lang w:val="en-US" w:eastAsia="zh-CN"/>
          <w14:textFill>
            <w14:solidFill>
              <w14:schemeClr w14:val="tx1"/>
            </w14:solidFill>
          </w14:textFill>
        </w:rPr>
        <w:t>中心</w:t>
      </w:r>
      <w:r>
        <w:rPr>
          <w:rFonts w:hint="eastAsia" w:ascii="仿宋" w:eastAsia="仿宋" w:cs="??_GB2312"/>
          <w:color w:val="000000" w:themeColor="text1"/>
          <w:szCs w:val="32"/>
          <w14:textFill>
            <w14:solidFill>
              <w14:schemeClr w14:val="tx1"/>
            </w14:solidFill>
          </w14:textFill>
        </w:rPr>
        <w:t>严</w:t>
      </w:r>
      <w:r>
        <w:rPr>
          <w:rFonts w:hint="eastAsia" w:ascii="仿宋" w:eastAsia="仿宋" w:cs="??_GB2312"/>
          <w:szCs w:val="32"/>
        </w:rPr>
        <w:t>格对照评分标准，</w:t>
      </w:r>
      <w:r>
        <w:rPr>
          <w:rFonts w:ascii="仿宋" w:eastAsia="仿宋" w:cs="??_GB2312"/>
          <w:szCs w:val="32"/>
        </w:rPr>
        <w:t>202</w:t>
      </w:r>
      <w:r>
        <w:rPr>
          <w:rFonts w:hint="eastAsia" w:ascii="仿宋" w:eastAsia="仿宋" w:cs="??_GB2312"/>
          <w:szCs w:val="32"/>
          <w:lang w:val="en-US" w:eastAsia="zh-CN"/>
        </w:rPr>
        <w:t>3</w:t>
      </w:r>
      <w:r>
        <w:rPr>
          <w:rFonts w:hint="eastAsia" w:ascii="仿宋" w:eastAsia="仿宋" w:cs="??_GB2312"/>
          <w:szCs w:val="32"/>
        </w:rPr>
        <w:t>年度财政局部门整体支出绩效评价自评分数为</w:t>
      </w:r>
      <w:r>
        <w:rPr>
          <w:rFonts w:hint="eastAsia" w:ascii="仿宋" w:eastAsia="仿宋" w:cs="??_GB2312"/>
          <w:szCs w:val="32"/>
          <w:lang w:val="en-US" w:eastAsia="zh-CN"/>
        </w:rPr>
        <w:t>97</w:t>
      </w:r>
      <w:r>
        <w:rPr>
          <w:rFonts w:hint="eastAsia" w:ascii="仿宋" w:eastAsia="仿宋" w:cs="??_GB2312"/>
          <w:szCs w:val="32"/>
        </w:rPr>
        <w:t>分（详情见附件）。</w:t>
      </w:r>
    </w:p>
    <w:p w14:paraId="65F3897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（二）存在问题。</w:t>
      </w:r>
    </w:p>
    <w:p w14:paraId="4EBE4D1C">
      <w:pPr>
        <w:spacing w:line="580" w:lineRule="exact"/>
        <w:ind w:firstLine="640" w:firstLineChars="200"/>
        <w:rPr>
          <w:rFonts w:hint="eastAsia" w:ascii="仿宋" w:eastAsia="仿宋" w:cs="??_GB2312"/>
          <w:szCs w:val="32"/>
          <w:lang w:val="zh-CN"/>
        </w:rPr>
      </w:pPr>
      <w:r>
        <w:rPr>
          <w:rFonts w:hint="eastAsia" w:ascii="仿宋" w:eastAsia="仿宋" w:cs="??_GB2312"/>
          <w:szCs w:val="32"/>
          <w:lang w:val="zh-CN"/>
        </w:rPr>
        <w:t>1、预算编制不够精确，财政资金紧张，存在中期调整取消资金的情况。</w:t>
      </w:r>
    </w:p>
    <w:p w14:paraId="2F377D0D">
      <w:pPr>
        <w:spacing w:line="580" w:lineRule="exact"/>
        <w:ind w:firstLine="640" w:firstLineChars="200"/>
        <w:rPr>
          <w:rFonts w:hint="eastAsia" w:ascii="仿宋" w:eastAsia="仿宋" w:cs="??_GB2312"/>
          <w:szCs w:val="32"/>
          <w:lang w:val="zh-CN"/>
        </w:rPr>
      </w:pPr>
      <w:r>
        <w:rPr>
          <w:rFonts w:hint="eastAsia" w:ascii="仿宋" w:eastAsia="仿宋" w:cs="??_GB2312"/>
          <w:szCs w:val="32"/>
          <w:lang w:val="zh-CN"/>
        </w:rPr>
        <w:t>2、因本部门整体支出预算资金的安排及使用上有不可预见性。</w:t>
      </w:r>
    </w:p>
    <w:p w14:paraId="396CC540">
      <w:pPr>
        <w:keepNext w:val="0"/>
        <w:keepLines w:val="0"/>
        <w:pageBreakBefore w:val="0"/>
        <w:widowControl w:val="0"/>
        <w:kinsoku/>
        <w:wordWrap/>
        <w:overflowPunct/>
        <w:topLinePunct w:val="0"/>
        <w:autoSpaceDE/>
        <w:autoSpaceDN/>
        <w:bidi w:val="0"/>
        <w:spacing w:line="578" w:lineRule="exact"/>
        <w:ind w:firstLine="643" w:firstLineChars="200"/>
        <w:contextualSpacing/>
        <w:textAlignment w:val="auto"/>
        <w:outlineLvl w:val="9"/>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（三）改进建议。</w:t>
      </w:r>
    </w:p>
    <w:p w14:paraId="44E5AA94">
      <w:pPr>
        <w:spacing w:line="580" w:lineRule="exact"/>
        <w:ind w:firstLine="640" w:firstLineChars="200"/>
        <w:rPr>
          <w:rFonts w:hint="eastAsia" w:ascii="仿宋" w:eastAsia="仿宋" w:cs="??_GB2312"/>
          <w:szCs w:val="32"/>
          <w:lang w:val="en-US" w:eastAsia="zh-CN"/>
        </w:rPr>
      </w:pPr>
      <w:r>
        <w:rPr>
          <w:rFonts w:hint="eastAsia" w:ascii="仿宋" w:eastAsia="仿宋" w:cs="??_GB2312"/>
          <w:szCs w:val="32"/>
          <w:lang w:val="en-US" w:eastAsia="zh-CN"/>
        </w:rPr>
        <w:t>一是重视绩效管理，切实履行好职责。努力提升工作绩效，围绕财政项目计划安排，合理使用财政资金，让财政监督职责发挥作用。</w:t>
      </w:r>
    </w:p>
    <w:p w14:paraId="7DE59AC0">
      <w:pPr>
        <w:spacing w:line="580" w:lineRule="exact"/>
        <w:ind w:firstLine="640" w:firstLineChars="200"/>
        <w:rPr>
          <w:rFonts w:hint="eastAsia" w:ascii="仿宋" w:eastAsia="仿宋" w:cs="??_GB2312"/>
          <w:szCs w:val="32"/>
          <w:lang w:val="en-US" w:eastAsia="zh-CN"/>
        </w:rPr>
      </w:pPr>
      <w:r>
        <w:rPr>
          <w:rFonts w:hint="eastAsia" w:ascii="仿宋" w:eastAsia="仿宋" w:cs="??_GB2312"/>
          <w:szCs w:val="32"/>
          <w:lang w:val="en-US" w:eastAsia="zh-CN"/>
        </w:rPr>
        <w:t>二是建立长效机制。把绩效评价作为部门内控的日常工作，建立绩效评价管理工作考核长效机制。科学设定绩效目标，加强预算执行管理。</w:t>
      </w:r>
    </w:p>
    <w:p w14:paraId="71D9E573">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75885C88">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5E7138D0">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19972CFD">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3B41813B">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6F9B947F">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6E46921A">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221B1072">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2813D0CB">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07B8A10F">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3C02852C">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4C5F57ED">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54EA373E">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15D4EF4F">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462BEC40">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1339DF81">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72F364FB">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2A1B8F34">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190C59D2">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cs="Times New Roman"/>
          <w:color w:val="000000"/>
          <w:kern w:val="0"/>
          <w:szCs w:val="32"/>
          <w:highlight w:val="none"/>
          <w:shd w:val="clear" w:color="auto" w:fill="FFFFFF"/>
          <w:lang w:val="en-US" w:eastAsia="zh-CN"/>
        </w:rPr>
      </w:pPr>
    </w:p>
    <w:p w14:paraId="0A75513B">
      <w:pPr>
        <w:keepNext w:val="0"/>
        <w:keepLines w:val="0"/>
        <w:pageBreakBefore w:val="0"/>
        <w:kinsoku/>
        <w:wordWrap/>
        <w:overflowPunct/>
        <w:topLinePunct w:val="0"/>
        <w:autoSpaceDE/>
        <w:autoSpaceDN/>
        <w:bidi w:val="0"/>
        <w:spacing w:line="578" w:lineRule="exact"/>
        <w:ind w:firstLine="640" w:firstLineChars="200"/>
        <w:textAlignment w:val="auto"/>
        <w:rPr>
          <w:rFonts w:hint="default"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p>
    <w:tbl>
      <w:tblPr>
        <w:tblStyle w:val="13"/>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7DF3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4C0926D5">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18E1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7D2CC4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（2023年度）</w:t>
            </w:r>
          </w:p>
        </w:tc>
      </w:tr>
      <w:tr w14:paraId="5B8F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2B948D72">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45D1A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F27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5EDE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黑水县公务服务中心</w:t>
            </w:r>
          </w:p>
        </w:tc>
      </w:tr>
      <w:tr w14:paraId="1ED2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650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8207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9FF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7287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30254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36A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61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1042.38</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6D6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1042.38</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97CB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p>
        </w:tc>
      </w:tr>
      <w:tr w14:paraId="6B73C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A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0D7410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CB168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一）进一步加强公有住房管理：严格按照《黑水县县级机关公有住房管理暂行办法》，切实加强公有住房管理，充分发挥国有资产效益，公平、公正、公开的及时对各部门对腾退公房进行分配，避免公房闲置时间过长，加强对物业的管理，不断优化改善服务环境，督促各单位对本单位公房情况基本了解，联合纪委监委、组织部、公安局因不定时对公房居住情况进行清查，并督促住房职工按时缴纳房租、物管费，对违规使用公房的情况进行通报并严肃处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二）进一步强办公用房管理。严格按照中央关于办公用房管理的政策要求，督促全县党政机关按新标准规范使用办公用房，严格办公用房管理，及时研究制定腾空办公用房的处置意见，加大办公用房的统筹利用力度，推进办公区域的相对集中和后勤资源的统筹共享。强化机关办公用房的统一集中管理，建立办公用房数据库，力争实现办公用房的数字化管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（三）进一步加强公务用车管理工作。严格按照州公车领导小组要求，切实做到公车报废更新调剂等工作，及时形成一套程序和模板，扎实开展好党政机关公务用车统计报告工作。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四）进一步推进节能工作。继续深入贯彻落实习近平生态文明思想，积极对接州机关事务管理局工作安排，加强全县各单位的节能意识和业务水平，督促各单位能耗票据填报工作，有效提高一体化平台的熟悉度。增强各下属单位节能降耗负责人工作责任心和业务水平，持续加大宣传力度，加强业务培训活动，争取自主填报意识和填报效率双提升。积极推进绩效考评各项相关工作。抓紧创建新的能耗监测站相关事宜，协调组织各单位高标准、高质量完成节能降耗数据收集工作，进一步加大宣传工作力度，引导广大干部职工切实增强节能观念、自觉养成节能良好习惯，绿色生态可持续发展出一份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五）进一步强化服务保障工作。一是突出公务接待保障，着力做好县重大会议（活动）及中央、省州领导及各级代表团来指导、检查和考察等接待服务工作。二是突出干部职工周转房服务保障，强化卫生保洁管理，提升服务质量。三是突出会务服务保障，细致周到，争取做到零差错。</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六）进一步加强后勤自身建设。一是认真贯彻落实国务院《机关事务管理条例》和《四川省机关事务管理办法》，继续深化“法治后勤”建设，建立和完善后勤服务标准和保障制度体系，依法开展后勤服务、保障和管理工作，切实运用法治思维和法治方式解决后勤发展中的难题。二是继续把党建和党风廉政建设放在突出重要的位置，加强党的组织建设。</w:t>
            </w:r>
          </w:p>
        </w:tc>
      </w:tr>
      <w:tr w14:paraId="1151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14:paraId="5039C43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年度主要任务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743AA">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B43E683">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主要内容</w:t>
            </w:r>
          </w:p>
        </w:tc>
      </w:tr>
      <w:tr w14:paraId="0EA7D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1309" w:type="dxa"/>
            <w:vMerge w:val="continue"/>
            <w:tcBorders>
              <w:left w:val="single" w:color="000000" w:sz="4" w:space="0"/>
              <w:right w:val="single" w:color="000000" w:sz="4" w:space="0"/>
            </w:tcBorders>
            <w:shd w:val="clear" w:color="auto" w:fill="auto"/>
            <w:vAlign w:val="center"/>
          </w:tcPr>
          <w:p w14:paraId="01104153">
            <w:pPr>
              <w:jc w:val="center"/>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83302">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 xml:space="preserve">    基本支出：在职人员工资保险</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40ECE0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 xml:space="preserve">在职人员10人工资、保险    </w:t>
            </w:r>
          </w:p>
        </w:tc>
      </w:tr>
      <w:tr w14:paraId="23E5B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39BF0B6E">
            <w:pPr>
              <w:jc w:val="center"/>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D09B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基本支出：定额经费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5CADB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1.2023年定额公用经费237500元（10在职人员×237500元），其中：手续费5000元；车运行维护费10000元；办公费132500元；差旅费90000元。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2.公车定额经费.47500元。  </w:t>
            </w:r>
          </w:p>
        </w:tc>
      </w:tr>
      <w:tr w14:paraId="6E01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1B6D7461">
            <w:pPr>
              <w:jc w:val="center"/>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3D0FA">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项目支出：接待费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0872F0B">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我单位负责全县公务接待及商务接待。</w:t>
            </w:r>
          </w:p>
        </w:tc>
      </w:tr>
      <w:tr w14:paraId="339F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bottom w:val="single" w:color="000000" w:sz="4" w:space="0"/>
              <w:right w:val="single" w:color="000000" w:sz="4" w:space="0"/>
            </w:tcBorders>
            <w:shd w:val="clear" w:color="auto" w:fill="auto"/>
            <w:vAlign w:val="center"/>
          </w:tcPr>
          <w:p w14:paraId="34ADD489">
            <w:pPr>
              <w:jc w:val="center"/>
              <w:rPr>
                <w:rFonts w:hint="default" w:ascii="Times New Roman" w:hAnsi="Times New Roman" w:eastAsia="宋体" w:cs="Times New Roman"/>
                <w:i w:val="0"/>
                <w:color w:val="000000"/>
                <w:sz w:val="24"/>
                <w:szCs w:val="24"/>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CEBA3">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项目支出：劳务费</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4FC777E">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全县4个职工食堂招聘人员及森公半岛办公区清洁人员、保安，全年工资。</w:t>
            </w:r>
          </w:p>
        </w:tc>
      </w:tr>
      <w:tr w14:paraId="5CAA0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122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年度绩效</w:t>
            </w:r>
          </w:p>
          <w:p w14:paraId="5FF812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FDF9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年度绩效指标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E40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一级指标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55A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二级指标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ABAA9">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三级指标</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A5BA">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绩效指标性质</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47B0">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绩效指标值</w:t>
            </w:r>
          </w:p>
        </w:tc>
        <w:tc>
          <w:tcPr>
            <w:tcW w:w="926" w:type="dxa"/>
            <w:tcBorders>
              <w:top w:val="single" w:color="000000" w:sz="4" w:space="0"/>
              <w:left w:val="single" w:color="000000" w:sz="4" w:space="0"/>
              <w:bottom w:val="single" w:color="000000" w:sz="4" w:space="0"/>
            </w:tcBorders>
            <w:shd w:val="clear" w:color="auto" w:fill="auto"/>
            <w:vAlign w:val="center"/>
          </w:tcPr>
          <w:p w14:paraId="22AB5FAD">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绩效度量单位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51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2C50D2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7730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379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1E097">
            <w:pPr>
              <w:jc w:val="center"/>
              <w:rPr>
                <w:rFonts w:hint="default" w:ascii="Times New Roman" w:hAnsi="Times New Roman" w:eastAsia="宋体" w:cs="Times New Roman"/>
                <w:i w:val="0"/>
                <w:color w:val="000000"/>
                <w:sz w:val="24"/>
                <w:szCs w:val="24"/>
                <w:u w:val="none"/>
              </w:rPr>
            </w:pP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33545">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B1295">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数量指标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6EF66">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发放职工工资保险人数</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2811">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E967">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D36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1113" w:type="dxa"/>
            <w:tcBorders>
              <w:left w:val="single" w:color="000000" w:sz="4" w:space="0"/>
              <w:bottom w:val="single" w:color="000000" w:sz="4" w:space="0"/>
              <w:right w:val="single" w:color="000000" w:sz="4" w:space="0"/>
            </w:tcBorders>
            <w:shd w:val="clear" w:color="auto" w:fill="auto"/>
            <w:vAlign w:val="center"/>
          </w:tcPr>
          <w:p w14:paraId="482DB3C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10人</w:t>
            </w:r>
          </w:p>
        </w:tc>
      </w:tr>
      <w:tr w14:paraId="15ADC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953C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9EF0">
            <w:pPr>
              <w:jc w:val="center"/>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8FBC4">
            <w:pPr>
              <w:jc w:val="left"/>
              <w:rPr>
                <w:rFonts w:hint="default" w:ascii="Times New Roman" w:hAnsi="Times New Roman" w:eastAsia="宋体" w:cs="Times New Roman"/>
                <w:i w:val="0"/>
                <w:color w:val="000000"/>
                <w:sz w:val="24"/>
                <w:szCs w:val="24"/>
                <w:u w:val="none"/>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84160">
            <w:pPr>
              <w:jc w:val="left"/>
              <w:rPr>
                <w:rFonts w:hint="default" w:ascii="宋体" w:hAnsi="宋体" w:eastAsia="宋体" w:cs="宋体"/>
                <w:i w:val="0"/>
                <w:iCs w:val="0"/>
                <w:color w:val="000000"/>
                <w:kern w:val="2"/>
                <w:sz w:val="18"/>
                <w:szCs w:val="18"/>
                <w:u w:val="none"/>
                <w:lang w:val="en-US" w:eastAsia="zh-CN" w:bidi="ar-SA"/>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6B1FE">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职工人数</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611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DD62">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E33A">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180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10人</w:t>
            </w:r>
          </w:p>
        </w:tc>
      </w:tr>
      <w:tr w14:paraId="1B227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0D76">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A3310">
            <w:pPr>
              <w:jc w:val="center"/>
              <w:rPr>
                <w:rFonts w:hint="default" w:ascii="Times New Roman" w:hAnsi="Times New Roman" w:eastAsia="宋体" w:cs="Times New Roman"/>
                <w:i w:val="0"/>
                <w:color w:val="000000"/>
                <w:sz w:val="24"/>
                <w:szCs w:val="24"/>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355C0">
            <w:pPr>
              <w:jc w:val="left"/>
              <w:rPr>
                <w:rFonts w:hint="default" w:ascii="宋体" w:hAnsi="宋体" w:eastAsia="宋体" w:cs="宋体"/>
                <w:i w:val="0"/>
                <w:iCs w:val="0"/>
                <w:color w:val="000000"/>
                <w:kern w:val="2"/>
                <w:sz w:val="18"/>
                <w:szCs w:val="18"/>
                <w:u w:val="none"/>
                <w:lang w:val="en-US" w:eastAsia="zh-CN" w:bidi="ar-SA"/>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238A">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时效指标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CB481">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工资保险完成时间及项目完成时间</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9EDD">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F40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7D9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167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12月</w:t>
            </w:r>
          </w:p>
        </w:tc>
      </w:tr>
      <w:tr w14:paraId="03C8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4D0C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7F009">
            <w:pPr>
              <w:jc w:val="center"/>
              <w:rPr>
                <w:rFonts w:hint="default" w:ascii="Times New Roman" w:hAnsi="Times New Roman" w:eastAsia="宋体" w:cs="Times New Roman"/>
                <w:i w:val="0"/>
                <w:color w:val="000000"/>
                <w:sz w:val="24"/>
                <w:szCs w:val="24"/>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1148">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4F1F">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社会效益指标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87FB5">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提升职工工作效率、营造良好工作环境</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ABF0">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21A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3336">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人</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EBEF">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优</w:t>
            </w:r>
          </w:p>
        </w:tc>
      </w:tr>
      <w:tr w14:paraId="34A1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905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3BCEB">
            <w:pPr>
              <w:jc w:val="center"/>
              <w:rPr>
                <w:rFonts w:hint="default" w:ascii="宋体" w:hAnsi="宋体" w:eastAsia="宋体" w:cs="宋体"/>
                <w:i w:val="0"/>
                <w:iCs w:val="0"/>
                <w:color w:val="000000"/>
                <w:kern w:val="2"/>
                <w:sz w:val="18"/>
                <w:szCs w:val="18"/>
                <w:u w:val="none"/>
                <w:lang w:val="en-US" w:eastAsia="zh-CN" w:bidi="ar-SA"/>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FA4C">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985B">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满意度指标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1286A">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惠及职工干部满意度</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2F9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E39F">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F190">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493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14:paraId="77D5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043C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92295">
            <w:pPr>
              <w:jc w:val="center"/>
              <w:rPr>
                <w:rFonts w:hint="default" w:ascii="宋体" w:hAnsi="宋体" w:eastAsia="宋体" w:cs="宋体"/>
                <w:i w:val="0"/>
                <w:iCs w:val="0"/>
                <w:color w:val="000000"/>
                <w:kern w:val="2"/>
                <w:sz w:val="18"/>
                <w:szCs w:val="18"/>
                <w:u w:val="none"/>
                <w:lang w:val="en-US" w:eastAsia="zh-CN" w:bidi="ar-SA"/>
              </w:rPr>
            </w:pPr>
          </w:p>
        </w:tc>
        <w:tc>
          <w:tcPr>
            <w:tcW w:w="1273" w:type="dxa"/>
            <w:tcBorders>
              <w:top w:val="single" w:color="000000" w:sz="4" w:space="0"/>
              <w:left w:val="single" w:color="000000" w:sz="4" w:space="0"/>
              <w:right w:val="single" w:color="000000" w:sz="4" w:space="0"/>
            </w:tcBorders>
            <w:shd w:val="clear" w:color="auto" w:fill="auto"/>
            <w:vAlign w:val="center"/>
          </w:tcPr>
          <w:p w14:paraId="1804698F">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成本指标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C6E5">
            <w:pPr>
              <w:keepNext w:val="0"/>
              <w:keepLines w:val="0"/>
              <w:widowControl/>
              <w:suppressLineNumbers w:val="0"/>
              <w:jc w:val="left"/>
              <w:textAlignment w:val="center"/>
              <w:rPr>
                <w:rFonts w:hint="default"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经济成本指标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94BA4">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预算金额</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3B0B">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89E2">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sz w:val="18"/>
                <w:szCs w:val="18"/>
                <w:u w:val="none"/>
                <w:lang w:val="en-US" w:eastAsia="zh-CN"/>
              </w:rPr>
              <w:t>1042.38</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4455">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万</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863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1042.38万元</w:t>
            </w:r>
          </w:p>
        </w:tc>
      </w:tr>
    </w:tbl>
    <w:p w14:paraId="7AE23014">
      <w:pPr>
        <w:pStyle w:val="12"/>
        <w:ind w:left="0" w:leftChars="0" w:firstLine="0" w:firstLineChars="0"/>
        <w:rPr>
          <w:rFonts w:hint="default" w:ascii="Times New Roman" w:hAnsi="Times New Roman" w:eastAsia="黑体" w:cs="Times New Roman"/>
          <w:sz w:val="24"/>
          <w:szCs w:val="24"/>
          <w:highlight w:val="none"/>
          <w:lang w:val="en-US" w:eastAsia="zh-CN"/>
        </w:rPr>
      </w:pPr>
    </w:p>
    <w:p w14:paraId="6CFEC8AF">
      <w:pPr>
        <w:pStyle w:val="12"/>
        <w:ind w:left="0" w:leftChars="0" w:firstLine="0" w:firstLineChars="0"/>
        <w:rPr>
          <w:rFonts w:hint="default" w:ascii="Times New Roman" w:hAnsi="Times New Roman" w:eastAsia="黑体" w:cs="Times New Roman"/>
          <w:color w:val="auto"/>
          <w:sz w:val="24"/>
          <w:szCs w:val="24"/>
          <w:highlight w:val="none"/>
          <w:lang w:val="en-US" w:eastAsia="zh-CN"/>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Wingdings 2">
    <w:altName w:val="Wingdings"/>
    <w:panose1 w:val="05020102010507070707"/>
    <w:charset w:val="00"/>
    <w:family w:val="auto"/>
    <w:pitch w:val="default"/>
    <w:sig w:usb0="00000000" w:usb1="00000000" w:usb2="00000000" w:usb3="00000000" w:csb0="80000000"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F03FB">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21A7D">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934729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321A7D">
                    <w:pPr>
                      <w:pStyle w:val="8"/>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9347293"/>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420DF">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878266"/>
    <w:multiLevelType w:val="singleLevel"/>
    <w:tmpl w:val="B1878266"/>
    <w:lvl w:ilvl="0" w:tentative="0">
      <w:start w:val="1"/>
      <w:numFmt w:val="decimal"/>
      <w:suff w:val="nothing"/>
      <w:lvlText w:val="（%1）"/>
      <w:lvlJc w:val="left"/>
    </w:lvl>
  </w:abstractNum>
  <w:abstractNum w:abstractNumId="1">
    <w:nsid w:val="C1C09F39"/>
    <w:multiLevelType w:val="singleLevel"/>
    <w:tmpl w:val="C1C09F39"/>
    <w:lvl w:ilvl="0" w:tentative="0">
      <w:start w:val="3"/>
      <w:numFmt w:val="decimal"/>
      <w:suff w:val="nothing"/>
      <w:lvlText w:val="（%1）"/>
      <w:lvlJc w:val="left"/>
    </w:lvl>
  </w:abstractNum>
  <w:abstractNum w:abstractNumId="2">
    <w:nsid w:val="F81BE95F"/>
    <w:multiLevelType w:val="singleLevel"/>
    <w:tmpl w:val="F81BE95F"/>
    <w:lvl w:ilvl="0" w:tentative="0">
      <w:start w:val="1"/>
      <w:numFmt w:val="decimal"/>
      <w:suff w:val="nothing"/>
      <w:lvlText w:val="（%1）"/>
      <w:lvlJc w:val="left"/>
    </w:lvl>
  </w:abstractNum>
  <w:abstractNum w:abstractNumId="3">
    <w:nsid w:val="15F95833"/>
    <w:multiLevelType w:val="singleLevel"/>
    <w:tmpl w:val="15F95833"/>
    <w:lvl w:ilvl="0" w:tentative="0">
      <w:start w:val="3"/>
      <w:numFmt w:val="chineseCounting"/>
      <w:suff w:val="nothing"/>
      <w:lvlText w:val="（%1）"/>
      <w:lvlJc w:val="left"/>
      <w:rPr>
        <w:rFonts w:hint="eastAsia"/>
      </w:rPr>
    </w:lvl>
  </w:abstractNum>
  <w:abstractNum w:abstractNumId="4">
    <w:nsid w:val="52710CDF"/>
    <w:multiLevelType w:val="singleLevel"/>
    <w:tmpl w:val="52710CDF"/>
    <w:lvl w:ilvl="0" w:tentative="0">
      <w:start w:val="4"/>
      <w:numFmt w:val="chineseCounting"/>
      <w:suff w:val="nothing"/>
      <w:lvlText w:val="（%1）"/>
      <w:lvlJc w:val="left"/>
      <w:pPr>
        <w:ind w:left="0" w:firstLine="0"/>
      </w:pPr>
      <w:rPr>
        <w:rFonts w:hint="eastAsia"/>
      </w:rPr>
    </w:lvl>
  </w:abstractNum>
  <w:abstractNum w:abstractNumId="5">
    <w:nsid w:val="63BD28DD"/>
    <w:multiLevelType w:val="singleLevel"/>
    <w:tmpl w:val="63BD28DD"/>
    <w:lvl w:ilvl="0" w:tentative="0">
      <w:start w:val="1"/>
      <w:numFmt w:val="decimal"/>
      <w:lvlText w:val="%1."/>
      <w:lvlJc w:val="left"/>
      <w:pPr>
        <w:tabs>
          <w:tab w:val="left" w:pos="312"/>
        </w:tabs>
      </w:p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lZThmZjA0MjE3ZTZhNWRlZDc5ODUyM2IwZmU5ZWE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77153A"/>
    <w:rsid w:val="05511382"/>
    <w:rsid w:val="065A6EF1"/>
    <w:rsid w:val="0BFF0DEA"/>
    <w:rsid w:val="0DC31556"/>
    <w:rsid w:val="134D0507"/>
    <w:rsid w:val="15C745A0"/>
    <w:rsid w:val="17AA5F28"/>
    <w:rsid w:val="1A3D6143"/>
    <w:rsid w:val="1A7B3BAB"/>
    <w:rsid w:val="1C013801"/>
    <w:rsid w:val="1DFD8D3B"/>
    <w:rsid w:val="1FB79DC9"/>
    <w:rsid w:val="1FBFC3F2"/>
    <w:rsid w:val="1FFFE033"/>
    <w:rsid w:val="24257FA7"/>
    <w:rsid w:val="26794097"/>
    <w:rsid w:val="269976A8"/>
    <w:rsid w:val="27F352A6"/>
    <w:rsid w:val="2BFF63EA"/>
    <w:rsid w:val="2D527252"/>
    <w:rsid w:val="2DDC1740"/>
    <w:rsid w:val="2EAE55F2"/>
    <w:rsid w:val="2EDF4302"/>
    <w:rsid w:val="2EFE1A04"/>
    <w:rsid w:val="35BBF80F"/>
    <w:rsid w:val="373158C6"/>
    <w:rsid w:val="3B736F08"/>
    <w:rsid w:val="3BE3D531"/>
    <w:rsid w:val="3D431A40"/>
    <w:rsid w:val="3EFF42CA"/>
    <w:rsid w:val="3F6FCA38"/>
    <w:rsid w:val="3FD5AF3D"/>
    <w:rsid w:val="3FFED8BE"/>
    <w:rsid w:val="3FFF43BB"/>
    <w:rsid w:val="423B0817"/>
    <w:rsid w:val="433DCF8E"/>
    <w:rsid w:val="45FF973D"/>
    <w:rsid w:val="47550EBA"/>
    <w:rsid w:val="497C2822"/>
    <w:rsid w:val="4BF7E09D"/>
    <w:rsid w:val="4FFFFC3E"/>
    <w:rsid w:val="50A56CB1"/>
    <w:rsid w:val="51542485"/>
    <w:rsid w:val="525C7843"/>
    <w:rsid w:val="53BB74FC"/>
    <w:rsid w:val="54C33BA9"/>
    <w:rsid w:val="55FDDF92"/>
    <w:rsid w:val="55FFBC03"/>
    <w:rsid w:val="56222B52"/>
    <w:rsid w:val="56CDA72E"/>
    <w:rsid w:val="576F5916"/>
    <w:rsid w:val="577FDAE2"/>
    <w:rsid w:val="57FBE2C7"/>
    <w:rsid w:val="5B335734"/>
    <w:rsid w:val="5B7F322F"/>
    <w:rsid w:val="5BCAB023"/>
    <w:rsid w:val="5DDA9B94"/>
    <w:rsid w:val="5EAB810D"/>
    <w:rsid w:val="5EFF9DA6"/>
    <w:rsid w:val="5F7751B9"/>
    <w:rsid w:val="5F9F7232"/>
    <w:rsid w:val="5F9F9588"/>
    <w:rsid w:val="5FBD32D2"/>
    <w:rsid w:val="5FD450B0"/>
    <w:rsid w:val="5FEF60CD"/>
    <w:rsid w:val="5FFB203D"/>
    <w:rsid w:val="5FFB8CF9"/>
    <w:rsid w:val="63DBAF21"/>
    <w:rsid w:val="64DB0A9B"/>
    <w:rsid w:val="6553087C"/>
    <w:rsid w:val="6636451A"/>
    <w:rsid w:val="664F4C93"/>
    <w:rsid w:val="67DE80AA"/>
    <w:rsid w:val="697E3B47"/>
    <w:rsid w:val="69BF132E"/>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0275001"/>
    <w:rsid w:val="71397E03"/>
    <w:rsid w:val="71FB5B08"/>
    <w:rsid w:val="73D9089C"/>
    <w:rsid w:val="73F66220"/>
    <w:rsid w:val="73FB87D9"/>
    <w:rsid w:val="744A3547"/>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4">
    <w:name w:val="Document Map"/>
    <w:basedOn w:val="1"/>
    <w:link w:val="19"/>
    <w:qFormat/>
    <w:uiPriority w:val="0"/>
    <w:rPr>
      <w:rFonts w:ascii="宋体" w:eastAsia="宋体"/>
      <w:sz w:val="18"/>
      <w:szCs w:val="18"/>
    </w:rPr>
  </w:style>
  <w:style w:type="paragraph" w:styleId="5">
    <w:name w:val="Body Text"/>
    <w:basedOn w:val="1"/>
    <w:next w:val="1"/>
    <w:qFormat/>
    <w:uiPriority w:val="0"/>
    <w:pPr>
      <w:spacing w:after="120"/>
    </w:pPr>
  </w:style>
  <w:style w:type="paragraph" w:styleId="6">
    <w:name w:val="Body Text Indent"/>
    <w:basedOn w:val="1"/>
    <w:qFormat/>
    <w:uiPriority w:val="0"/>
    <w:pPr>
      <w:spacing w:after="120"/>
      <w:ind w:leftChars="200"/>
    </w:pPr>
    <w:rPr>
      <w:rFonts w:ascii="仿宋_GB2312"/>
      <w:szCs w:val="32"/>
    </w:rPr>
  </w:style>
  <w:style w:type="paragraph" w:styleId="7">
    <w:name w:val="Balloon Text"/>
    <w:basedOn w:val="1"/>
    <w:semiHidden/>
    <w:qFormat/>
    <w:uiPriority w:val="0"/>
    <w:rPr>
      <w:sz w:val="18"/>
      <w:szCs w:val="18"/>
    </w:rPr>
  </w:style>
  <w:style w:type="paragraph" w:styleId="8">
    <w:name w:val="footer"/>
    <w:basedOn w:val="1"/>
    <w:next w:val="1"/>
    <w:link w:val="21"/>
    <w:qFormat/>
    <w:uiPriority w:val="99"/>
    <w:pPr>
      <w:tabs>
        <w:tab w:val="center" w:pos="4153"/>
        <w:tab w:val="right" w:pos="8306"/>
      </w:tabs>
      <w:snapToGrid w:val="0"/>
      <w:jc w:val="left"/>
    </w:pPr>
    <w:rPr>
      <w:rFonts w:eastAsia="宋体"/>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0">
    <w:name w:val="toc 1"/>
    <w:basedOn w:val="1"/>
    <w:next w:val="1"/>
    <w:qFormat/>
    <w:uiPriority w:val="0"/>
  </w:style>
  <w:style w:type="paragraph" w:styleId="11">
    <w:name w:val="table of figures"/>
    <w:basedOn w:val="1"/>
    <w:next w:val="1"/>
    <w:qFormat/>
    <w:uiPriority w:val="99"/>
    <w:pPr>
      <w:widowControl w:val="0"/>
      <w:ind w:left="200" w:leftChars="200" w:hanging="200" w:hangingChars="200"/>
      <w:jc w:val="both"/>
    </w:pPr>
    <w:rPr>
      <w:rFonts w:ascii="Calibri" w:hAnsi="Calibri" w:eastAsia="宋体" w:cs="Times New Roman"/>
      <w:kern w:val="2"/>
      <w:sz w:val="21"/>
      <w:szCs w:val="24"/>
      <w:lang w:val="en-US" w:eastAsia="zh-CN" w:bidi="ar-SA"/>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四号正文"/>
    <w:basedOn w:val="1"/>
    <w:link w:val="18"/>
    <w:qFormat/>
    <w:uiPriority w:val="0"/>
    <w:pPr>
      <w:spacing w:line="360" w:lineRule="auto"/>
    </w:pPr>
    <w:rPr>
      <w:rFonts w:ascii="??" w:hAnsi="??" w:eastAsia="宋体" w:cs="宋体"/>
      <w:color w:val="000000"/>
      <w:kern w:val="0"/>
      <w:sz w:val="28"/>
      <w:szCs w:val="21"/>
    </w:rPr>
  </w:style>
  <w:style w:type="character" w:customStyle="1" w:styleId="18">
    <w:name w:val="四号正文 Char"/>
    <w:basedOn w:val="15"/>
    <w:link w:val="17"/>
    <w:qFormat/>
    <w:uiPriority w:val="0"/>
    <w:rPr>
      <w:rFonts w:ascii="??" w:hAnsi="??" w:eastAsia="宋体" w:cs="宋体"/>
      <w:color w:val="000000"/>
      <w:sz w:val="28"/>
      <w:szCs w:val="21"/>
      <w:lang w:val="en-US" w:eastAsia="zh-CN" w:bidi="ar-SA"/>
    </w:rPr>
  </w:style>
  <w:style w:type="character" w:customStyle="1" w:styleId="19">
    <w:name w:val="文档结构图 Char"/>
    <w:basedOn w:val="15"/>
    <w:link w:val="4"/>
    <w:qFormat/>
    <w:uiPriority w:val="0"/>
    <w:rPr>
      <w:rFonts w:ascii="宋体"/>
      <w:kern w:val="2"/>
      <w:sz w:val="18"/>
      <w:szCs w:val="18"/>
    </w:rPr>
  </w:style>
  <w:style w:type="paragraph" w:customStyle="1" w:styleId="20">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脚 Char"/>
    <w:basedOn w:val="15"/>
    <w:link w:val="8"/>
    <w:qFormat/>
    <w:uiPriority w:val="99"/>
    <w:rPr>
      <w:kern w:val="2"/>
      <w:sz w:val="18"/>
      <w:szCs w:val="18"/>
    </w:rPr>
  </w:style>
  <w:style w:type="character" w:customStyle="1" w:styleId="22">
    <w:name w:val="font31"/>
    <w:basedOn w:val="15"/>
    <w:qFormat/>
    <w:uiPriority w:val="0"/>
    <w:rPr>
      <w:rFonts w:hint="eastAsia" w:ascii="宋体" w:hAnsi="宋体" w:eastAsia="宋体" w:cs="宋体"/>
      <w:color w:val="000000"/>
      <w:sz w:val="24"/>
      <w:szCs w:val="24"/>
      <w:u w:val="none"/>
    </w:rPr>
  </w:style>
  <w:style w:type="character" w:customStyle="1" w:styleId="23">
    <w:name w:val="font51"/>
    <w:basedOn w:val="15"/>
    <w:qFormat/>
    <w:uiPriority w:val="0"/>
    <w:rPr>
      <w:rFonts w:hint="default" w:ascii="Wingdings 2" w:hAnsi="Wingdings 2" w:eastAsia="Wingdings 2" w:cs="Wingdings 2"/>
      <w:color w:val="000000"/>
      <w:sz w:val="18"/>
      <w:szCs w:val="18"/>
      <w:u w:val="none"/>
    </w:rPr>
  </w:style>
  <w:style w:type="character" w:customStyle="1" w:styleId="24">
    <w:name w:val="font01"/>
    <w:basedOn w:val="15"/>
    <w:qFormat/>
    <w:uiPriority w:val="0"/>
    <w:rPr>
      <w:rFonts w:ascii="宋体" w:hAnsi="宋体" w:eastAsia="宋体" w:cs="宋体"/>
      <w:color w:val="000000"/>
      <w:sz w:val="18"/>
      <w:szCs w:val="18"/>
      <w:u w:val="none"/>
    </w:rPr>
  </w:style>
  <w:style w:type="character" w:customStyle="1" w:styleId="25">
    <w:name w:val="font41"/>
    <w:basedOn w:val="15"/>
    <w:qFormat/>
    <w:uiPriority w:val="0"/>
    <w:rPr>
      <w:rFonts w:ascii="宋体" w:hAnsi="宋体" w:eastAsia="宋体" w:cs="宋体"/>
      <w:color w:val="000000"/>
      <w:sz w:val="18"/>
      <w:szCs w:val="18"/>
      <w:u w:val="none"/>
    </w:rPr>
  </w:style>
  <w:style w:type="paragraph" w:customStyle="1" w:styleId="26">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12</Pages>
  <Words>5537</Words>
  <Characters>5849</Characters>
  <Lines>2</Lines>
  <Paragraphs>1</Paragraphs>
  <TotalTime>19</TotalTime>
  <ScaleCrop>false</ScaleCrop>
  <LinksUpToDate>false</LinksUpToDate>
  <CharactersWithSpaces>5864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2019-05-28T19:06:00Z</dcterms:created>
  <dc:creator>陈萍</dc:creator>
  <cp:lastModifiedBy>Administrator</cp:lastModifiedBy>
  <cp:lastPrinted>2016-02-15T08:25:00Z</cp:lastPrinted>
  <dcterms:modified xsi:type="dcterms:W3CDTF">2024-10-17T02:25:35Z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A51A36801428E9B041879466C62AECE8</vt:lpwstr>
  </property>
</Properties>
</file>