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0"/>
        <w:jc w:val="center"/>
        <w:textAlignment w:val="auto"/>
        <w:rPr>
          <w:rFonts w:ascii="方正小标宋_GBK" w:eastAsia="方正小标宋_GBK" w:cs="方正小标宋_GBK" w:hint="eastAsia"/>
          <w:kern w:val="0"/>
          <w:sz w:val="44"/>
          <w:szCs w:val="44"/>
          <w:lang w:val="en-US" w:eastAsia="zh-CN"/>
        </w:rPr>
      </w:pPr>
      <w:r>
        <w:rPr>
          <w:rFonts w:ascii="方正小标宋_GBK" w:eastAsia="方正小标宋_GBK" w:cs="方正小标宋_GBK" w:hint="eastAsia"/>
          <w:kern w:val="0"/>
          <w:sz w:val="44"/>
          <w:szCs w:val="44"/>
        </w:rPr>
        <w:t>黑水县</w:t>
      </w:r>
      <w:r>
        <w:rPr>
          <w:rFonts w:ascii="方正小标宋_GBK" w:eastAsia="方正小标宋_GBK" w:cs="方正小标宋_GBK" w:hint="eastAsia"/>
          <w:kern w:val="0"/>
          <w:sz w:val="44"/>
          <w:szCs w:val="44"/>
          <w:lang w:val="en-US" w:eastAsia="zh-CN"/>
        </w:rPr>
        <w:t>公务服务中心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0"/>
        <w:jc w:val="center"/>
        <w:textAlignment w:val="auto"/>
        <w:rPr>
          <w:rFonts w:ascii="方正小标宋_GBK" w:eastAsia="方正小标宋_GBK" w:cs="方正小标宋_GBK" w:hint="eastAsia"/>
          <w:kern w:val="0"/>
          <w:sz w:val="44"/>
          <w:szCs w:val="44"/>
        </w:rPr>
      </w:pPr>
      <w:r>
        <w:rPr>
          <w:rFonts w:ascii="方正小标宋_GBK" w:eastAsia="方正小标宋_GBK" w:cs="方正小标宋_GBK" w:hint="eastAsia"/>
          <w:kern w:val="0"/>
          <w:sz w:val="44"/>
          <w:szCs w:val="44"/>
        </w:rPr>
        <w:t>关于“三公”经费</w:t>
      </w:r>
      <w:r>
        <w:rPr>
          <w:rFonts w:ascii="方正小标宋_GBK" w:eastAsia="方正小标宋_GBK" w:cs="方正小标宋_GBK" w:hint="eastAsia"/>
          <w:kern w:val="0"/>
          <w:sz w:val="44"/>
          <w:szCs w:val="44"/>
          <w:lang w:eastAsia="zh-CN"/>
        </w:rPr>
        <w:t>202</w:t>
      </w:r>
      <w:r>
        <w:rPr>
          <w:rFonts w:ascii="方正小标宋_GBK" w:eastAsia="方正小标宋_GBK" w:cs="方正小标宋_GBK" w:hint="eastAsia"/>
          <w:kern w:val="0"/>
          <w:sz w:val="44"/>
          <w:szCs w:val="44"/>
          <w:lang w:val="en-US" w:eastAsia="zh-CN"/>
        </w:rPr>
        <w:t>4</w:t>
      </w:r>
      <w:r>
        <w:rPr>
          <w:rFonts w:ascii="方正小标宋_GBK" w:eastAsia="方正小标宋_GBK" w:cs="方正小标宋_GBK" w:hint="eastAsia"/>
          <w:kern w:val="0"/>
          <w:sz w:val="44"/>
          <w:szCs w:val="44"/>
        </w:rPr>
        <w:t>年决算情况说明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0"/>
        <w:textAlignment w:val="auto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Chars="218" w:firstLine="698"/>
        <w:textAlignment w:val="auto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我单位 “三公”经费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年决算情况如下：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0"/>
        <w:textAlignment w:val="auto"/>
        <w:rPr>
          <w:rFonts w:ascii="黑体" w:eastAsia="黑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　　</w:t>
      </w:r>
      <w:r>
        <w:rPr>
          <w:rFonts w:ascii="黑体" w:eastAsia="黑体" w:cs="宋体" w:hint="eastAsia"/>
          <w:color w:val="333333"/>
          <w:kern w:val="0"/>
          <w:sz w:val="32"/>
          <w:szCs w:val="32"/>
        </w:rPr>
        <w:t>一、因公出国（境）经费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textAlignment w:val="auto"/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　　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年决算支出0万元,较上年度决算持平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Chars="200" w:firstLine="640"/>
        <w:textAlignment w:val="auto"/>
        <w:rPr>
          <w:rFonts w:ascii="黑体" w:eastAsia="黑体" w:cs="宋体"/>
          <w:color w:val="333333"/>
          <w:kern w:val="0"/>
          <w:sz w:val="32"/>
          <w:szCs w:val="32"/>
        </w:rPr>
      </w:pPr>
      <w:r>
        <w:rPr>
          <w:rFonts w:ascii="黑体" w:eastAsia="黑体" w:cs="宋体" w:hint="eastAsia"/>
          <w:color w:val="333333"/>
          <w:kern w:val="0"/>
          <w:sz w:val="32"/>
          <w:szCs w:val="32"/>
        </w:rPr>
        <w:t>二、公务接待费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textAlignment w:val="auto"/>
        <w:rPr>
          <w:rFonts w:ascii="仿宋_GB2312" w:eastAsia="仿宋_GB2312" w:cs="宋体"/>
          <w:color w:val="auto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　　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年决算支出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133.36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万元，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较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年决算增长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11.91万元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，主要原因是主要原因</w:t>
      </w:r>
      <w:r>
        <w:rPr>
          <w:rFonts w:ascii="仿宋_GB2312" w:eastAsia="仿宋_GB2312" w:cs="宋体" w:hint="eastAsia"/>
          <w:color w:val="auto"/>
          <w:kern w:val="0"/>
          <w:sz w:val="32"/>
          <w:szCs w:val="32"/>
        </w:rPr>
        <w:t>是接待批次较上年</w:t>
      </w:r>
      <w:r>
        <w:rPr>
          <w:rFonts w:ascii="仿宋_GB2312" w:eastAsia="仿宋_GB2312" w:cs="宋体" w:hint="eastAsia"/>
          <w:color w:val="auto"/>
          <w:kern w:val="0"/>
          <w:sz w:val="32"/>
          <w:szCs w:val="32"/>
          <w:lang w:val="en-US" w:eastAsia="zh-CN"/>
        </w:rPr>
        <w:t>增加</w:t>
      </w:r>
      <w:r>
        <w:rPr>
          <w:rFonts w:ascii="仿宋_GB2312" w:eastAsia="仿宋_GB2312" w:cs="宋体" w:hint="eastAsia"/>
          <w:color w:val="auto"/>
          <w:kern w:val="0"/>
          <w:sz w:val="32"/>
          <w:szCs w:val="32"/>
        </w:rPr>
        <w:t>。其中：国内公务接待费</w:t>
      </w:r>
      <w:r>
        <w:rPr>
          <w:rFonts w:ascii="仿宋_GB2312" w:eastAsia="仿宋_GB2312" w:cs="宋体" w:hint="eastAsia"/>
          <w:color w:val="auto"/>
          <w:kern w:val="0"/>
          <w:sz w:val="32"/>
          <w:szCs w:val="32"/>
          <w:lang w:val="en-US" w:eastAsia="zh-CN"/>
        </w:rPr>
        <w:t>133.36</w:t>
      </w:r>
      <w:r>
        <w:rPr>
          <w:rFonts w:ascii="仿宋_GB2312" w:eastAsia="仿宋_GB2312" w:cs="宋体" w:hint="eastAsia"/>
          <w:color w:val="auto"/>
          <w:kern w:val="0"/>
          <w:sz w:val="32"/>
          <w:szCs w:val="32"/>
        </w:rPr>
        <w:t xml:space="preserve">万元，共计 </w:t>
      </w:r>
      <w:r>
        <w:rPr>
          <w:rFonts w:ascii="仿宋_GB2312" w:eastAsia="仿宋_GB2312" w:cs="宋体"/>
          <w:color w:val="auto"/>
          <w:kern w:val="0"/>
          <w:sz w:val="32"/>
          <w:szCs w:val="32"/>
          <w:lang w:val="en-US" w:eastAsia="zh-CN"/>
        </w:rPr>
        <w:t>189</w:t>
      </w:r>
      <w:r>
        <w:rPr>
          <w:rFonts w:ascii="仿宋_GB2312" w:eastAsia="仿宋_GB2312" w:cs="宋体" w:hint="eastAsia"/>
          <w:color w:val="auto"/>
          <w:kern w:val="0"/>
          <w:sz w:val="32"/>
          <w:szCs w:val="32"/>
        </w:rPr>
        <w:t>批次共</w:t>
      </w:r>
      <w:r>
        <w:rPr>
          <w:rFonts w:ascii="仿宋_GB2312" w:eastAsia="仿宋_GB2312" w:cs="宋体"/>
          <w:color w:val="auto"/>
          <w:kern w:val="0"/>
          <w:sz w:val="32"/>
          <w:szCs w:val="32"/>
          <w:lang w:val="en-US" w:eastAsia="zh-CN"/>
        </w:rPr>
        <w:t>2037</w:t>
      </w:r>
      <w:r>
        <w:rPr>
          <w:rFonts w:ascii="仿宋_GB2312" w:eastAsia="仿宋_GB2312" w:cs="宋体" w:hint="eastAsia"/>
          <w:color w:val="auto"/>
          <w:kern w:val="0"/>
          <w:sz w:val="32"/>
          <w:szCs w:val="32"/>
        </w:rPr>
        <w:t>人；国（境）外公务接待费</w:t>
      </w:r>
      <w:r>
        <w:rPr>
          <w:rFonts w:ascii="仿宋_GB2312" w:eastAsia="仿宋_GB2312" w:cs="宋体" w:hint="eastAsia"/>
          <w:color w:val="auto"/>
          <w:kern w:val="0"/>
          <w:sz w:val="32"/>
          <w:szCs w:val="32"/>
          <w:lang w:val="en-US" w:eastAsia="zh-CN"/>
        </w:rPr>
        <w:t>0万</w:t>
      </w:r>
      <w:r>
        <w:rPr>
          <w:rFonts w:ascii="仿宋_GB2312" w:eastAsia="仿宋_GB2312" w:cs="宋体" w:hint="eastAsia"/>
          <w:color w:val="auto"/>
          <w:kern w:val="0"/>
          <w:sz w:val="32"/>
          <w:szCs w:val="32"/>
        </w:rPr>
        <w:t>元。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Chars="200" w:firstLine="640"/>
        <w:textAlignment w:val="auto"/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</w:pPr>
      <w:r>
        <w:rPr>
          <w:rFonts w:ascii="黑体" w:eastAsia="黑体" w:cs="宋体" w:hint="eastAsia"/>
          <w:color w:val="333333"/>
          <w:kern w:val="0"/>
          <w:sz w:val="32"/>
          <w:szCs w:val="32"/>
          <w:lang w:eastAsia="zh-CN"/>
        </w:rPr>
        <w:t>三、</w:t>
      </w:r>
      <w:r>
        <w:rPr>
          <w:rFonts w:ascii="黑体" w:eastAsia="黑体" w:cs="宋体" w:hint="eastAsia"/>
          <w:color w:val="333333"/>
          <w:kern w:val="0"/>
          <w:sz w:val="32"/>
          <w:szCs w:val="32"/>
        </w:rPr>
        <w:t>公务用车购置及运行维护费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Chars="100" w:firstLine="320"/>
        <w:textAlignment w:val="auto"/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　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年决算支出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5.75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万元，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较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年决算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持平。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Chars="200" w:firstLine="640"/>
        <w:textAlignment w:val="auto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单位共有公务用车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1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辆，其中：越野车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1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辆，轿车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辆。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Chars="200" w:firstLine="640"/>
        <w:textAlignment w:val="auto"/>
        <w:rPr>
          <w:rFonts w:ascii="仿宋_GB2312" w:eastAsia="仿宋_GB2312" w:cs="宋体" w:hint="eastAsia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年安排公务用车运行维护费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5.75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万元。主要用于公务用车燃料费、维修费、过路过桥费、保险费等支出。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Chars="200" w:firstLine="640"/>
        <w:textAlignment w:val="auto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年安排公务用车购置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辆，购置费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万元。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textAlignment w:val="auto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0"/>
        <w:jc w:val="center"/>
        <w:textAlignment w:val="auto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0"/>
        <w:jc w:val="center"/>
        <w:textAlignment w:val="auto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0"/>
        <w:jc w:val="center"/>
        <w:textAlignment w:val="auto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0"/>
        <w:jc w:val="center"/>
        <w:textAlignment w:val="auto"/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  <w:highlight w:val="auto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0"/>
        <w:jc w:val="center"/>
        <w:textAlignment w:val="auto"/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  <w:highlight w:val="auto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adjustRightInd/>
        <w:snapToGrid/>
        <w:spacing w:line="560" w:lineRule="exact"/>
        <w:ind w:left="0" w:firstLine="60"/>
        <w:jc w:val="center"/>
        <w:rPr>
          <w:rFonts w:ascii="方正小标宋_GBK" w:eastAsia="方正小标宋_GBK" w:cs="方正小标宋_GBK" w:hint="eastAsia"/>
          <w:kern w:val="0"/>
          <w:sz w:val="44"/>
          <w:szCs w:val="44"/>
          <w:highlight w:val="auto"/>
        </w:rPr>
      </w:pPr>
      <w:r>
        <w:rPr>
          <w:rFonts w:ascii="方正小标宋_GBK" w:eastAsia="方正小标宋_GBK" w:cs="方正小标宋_GBK" w:hint="eastAsia"/>
          <w:kern w:val="0"/>
          <w:sz w:val="44"/>
          <w:szCs w:val="44"/>
          <w:lang w:eastAsia="zh-CN"/>
          <w:highlight w:val="auto"/>
        </w:rPr>
        <w:t>黑水县公务服务中心</w:t>
      </w:r>
      <w:r>
        <w:rPr>
          <w:rFonts w:ascii="方正小标宋_GBK" w:eastAsia="方正小标宋_GBK" w:cs="方正小标宋_GBK" w:hint="eastAsia"/>
          <w:kern w:val="0"/>
          <w:sz w:val="44"/>
          <w:szCs w:val="44"/>
          <w:highlight w:val="auto"/>
        </w:rPr>
        <w:t>财政拨款“三公”经费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adjustRightInd/>
        <w:snapToGrid/>
        <w:spacing w:line="560" w:lineRule="exact"/>
        <w:ind w:left="0" w:firstLine="60"/>
        <w:jc w:val="center"/>
        <w:rPr>
          <w:rFonts w:ascii="方正小标宋_GBK" w:eastAsia="方正小标宋_GBK" w:cs="方正小标宋_GBK" w:hint="eastAsia"/>
          <w:kern w:val="0"/>
          <w:sz w:val="44"/>
          <w:szCs w:val="44"/>
          <w:highlight w:val="auto"/>
        </w:rPr>
      </w:pPr>
      <w:r>
        <w:rPr>
          <w:rFonts w:ascii="方正小标宋_GBK" w:eastAsia="方正小标宋_GBK" w:cs="方正小标宋_GBK" w:hint="eastAsia"/>
          <w:kern w:val="0"/>
          <w:sz w:val="44"/>
          <w:szCs w:val="44"/>
          <w:lang w:eastAsia="zh-CN"/>
          <w:highlight w:val="auto"/>
        </w:rPr>
        <w:t>202</w:t>
      </w:r>
      <w:r>
        <w:rPr>
          <w:rFonts w:ascii="方正小标宋_GBK" w:eastAsia="方正小标宋_GBK" w:cs="方正小标宋_GBK" w:hint="eastAsia"/>
          <w:kern w:val="0"/>
          <w:sz w:val="44"/>
          <w:szCs w:val="44"/>
          <w:lang w:val="en-US" w:eastAsia="zh-CN"/>
          <w:highlight w:val="auto"/>
        </w:rPr>
        <w:t>4</w:t>
      </w:r>
      <w:r>
        <w:rPr>
          <w:rFonts w:ascii="方正小标宋_GBK" w:eastAsia="方正小标宋_GBK" w:cs="方正小标宋_GBK" w:hint="eastAsia"/>
          <w:kern w:val="0"/>
          <w:sz w:val="44"/>
          <w:szCs w:val="44"/>
          <w:highlight w:val="auto"/>
        </w:rPr>
        <w:t>年决算情况表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0"/>
        <w:jc w:val="center"/>
        <w:textAlignment w:val="auto"/>
        <w:rPr>
          <w:rFonts w:ascii="仿宋_GB2312" w:eastAsia="仿宋_GB2312" w:cs="宋体"/>
          <w:color w:val="333333"/>
          <w:kern w:val="0"/>
          <w:sz w:val="28"/>
          <w:szCs w:val="28"/>
        </w:rPr>
      </w:pPr>
      <w:r>
        <w:rPr>
          <w:rFonts w:ascii="仿宋_GB2312" w:eastAsia="仿宋_GB2312" w:cs="宋体" w:hint="eastAsia"/>
          <w:color w:val="333333"/>
          <w:kern w:val="0"/>
          <w:sz w:val="28"/>
          <w:szCs w:val="28"/>
        </w:rPr>
        <w:t xml:space="preserve">                                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0"/>
        <w:jc w:val="center"/>
        <w:textAlignment w:val="auto"/>
        <w:rPr>
          <w:rFonts w:ascii="仿宋_GB2312" w:eastAsia="仿宋_GB2312" w:cs="宋体"/>
          <w:color w:val="333333"/>
          <w:kern w:val="0"/>
          <w:sz w:val="28"/>
          <w:szCs w:val="28"/>
        </w:rPr>
      </w:pPr>
      <w:r>
        <w:rPr>
          <w:rFonts w:ascii="仿宋_GB2312" w:eastAsia="仿宋_GB2312" w:cs="宋体"/>
          <w:color w:val="333333"/>
          <w:kern w:val="0"/>
          <w:sz w:val="28"/>
          <w:szCs w:val="28"/>
        </w:rPr>
        <w:t xml:space="preserve">                                             </w:t>
      </w:r>
      <w:r>
        <w:rPr>
          <w:rFonts w:ascii="仿宋_GB2312" w:eastAsia="仿宋_GB2312" w:cs="宋体" w:hint="eastAsia"/>
          <w:color w:val="333333"/>
          <w:kern w:val="0"/>
          <w:sz w:val="28"/>
          <w:szCs w:val="28"/>
        </w:rPr>
        <w:t>单位：万元</w:t>
      </w:r>
    </w:p>
    <w:tbl>
      <w:tblPr>
        <w:jc w:val="left"/>
        <w:tblInd w:w="0" w:type="dxa"/>
        <w:tblW w:w="8424" w:type="dxa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76"/>
        <w:gridCol w:w="3836"/>
      </w:tblGrid>
      <w:tr>
        <w:trPr>
          <w:trHeight w:hRule="exact" w:val="697"/>
        </w:trP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left"/>
              <w:textAlignment w:val="auto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ascii="仿宋_GB2312" w:eastAsia="仿宋_GB2312" w:cs="宋体" w:hint="eastAsia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年决算（万元）</w:t>
            </w:r>
          </w:p>
        </w:tc>
      </w:tr>
      <w:t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left"/>
              <w:textAlignment w:val="auto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</w:p>
        </w:tc>
      </w:tr>
      <w:t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left"/>
              <w:textAlignment w:val="auto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  <w:lang w:val="en-US" w:eastAsia="zh-CN"/>
              </w:rPr>
              <w:t>133.36</w:t>
            </w:r>
          </w:p>
        </w:tc>
      </w:tr>
      <w:t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left"/>
              <w:textAlignment w:val="auto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  <w:lang w:val="en-US" w:eastAsia="zh-CN"/>
              </w:rPr>
              <w:t>5.75</w:t>
            </w:r>
          </w:p>
        </w:tc>
      </w:tr>
      <w:t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left"/>
              <w:textAlignment w:val="auto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</w:p>
        </w:tc>
      </w:tr>
      <w:t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left"/>
              <w:textAlignment w:val="auto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  <w:lang w:val="en-US" w:eastAsia="zh-CN"/>
              </w:rPr>
              <w:t>5.75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left"/>
        <w:textAlignment w:val="auto"/>
        <w:outlineLvl w:val="0"/>
        <w:rPr>
          <w:rStyle w:val="1Char"/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left"/>
        <w:textAlignment w:val="auto"/>
        <w:outlineLvl w:val="0"/>
        <w:rPr>
          <w:rStyle w:val="1Char"/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textAlignment w:val="auto"/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altName w:val="Arial Unicode MS"/>
    <w:panose1 w:val="03000509000000000000"/>
    <w:charset w:val="86"/>
    <w:family w:val="auto"/>
    <w:pitch w:val="variable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variable"/>
    <w:sig w:usb0="00000000" w:usb1="00000000" w:usb2="00000000" w:usb3="00000000" w:csb0="00040000" w:csb1="00000000"/>
  </w:font>
  <w:font w:name="宋体">
    <w:panose1 w:val="02010600030101010101"/>
    <w:charset w:val="86"/>
    <w:family w:val="auto"/>
    <w:pitch w:val="variable"/>
    <w:sig w:usb0="00000003" w:usb1="288F0000" w:usb2="00000006" w:usb3="00000000" w:csb0="00040001" w:csb1="0000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Calibri">
    <w:altName w:val="Times New Roman"/>
    <w:panose1 w:val="020F0502020204030204"/>
    <w:charset w:val="00"/>
    <w:family w:val="swiss"/>
    <w:pitch w:val="variable"/>
    <w:sig w:usb0="E00002FF" w:usb1="4000ACFF" w:usb2="00000001" w:usb3="00000000" w:csb0="2000019F" w:csb1="00000000"/>
  </w:font>
  <w:font w:name="Arial">
    <w:altName w:val="DejaVu Sans"/>
    <w:panose1 w:val="020B0604020202020204"/>
    <w:charset w:val="01"/>
    <w:family w:val="swiss"/>
    <w:pitch w:val="variable"/>
    <w:sig w:usb0="E0002AFF" w:usb1="C0007843" w:usb2="00000009" w:usb3="00000000" w:csb0="400001FF" w:csb1="FFFF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20"/>
  <w:bordersDoNotSurroundHeader/>
  <w:bordersDoNotSurroundFooter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  <w:docVars>
    <w:docVar w:name="commondata" w:val="eyJoZGlkIjoiZTgzNmEyOTFjMjZjODc0OGIyZjk3N2Q1Zjc3YWU5MjEifQ=="/>
  </w:docVars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styleId="1">
    <w:name w:val="heading 1"/>
    <w:basedOn w:val="0"/>
    <w:next w:val="0"/>
    <w:link w:val="1Char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customStyle="1" w:styleId="1Char">
    <w:name w:val="heading 1 Char"/>
    <w:basedOn w:val="10"/>
    <w:link w:val="1"/>
    <w:rPr>
      <w:rFonts w:ascii="Times New Roman" w:eastAsia="宋体" w:cs="Times New Roman" w:hAnsi="Times New Roman"/>
      <w:b/>
      <w:bCs/>
      <w:kern w:val="44"/>
      <w:sz w:val="44"/>
      <w:szCs w:val="44"/>
      <w:lang w:val="en-US" w:eastAsia="zh-CN" w:bidi="ar-SA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Times New Roman" w:eastAsia="黑体" w:hAnsi="Times New Roman"/>
      <w:b/>
      <w:sz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rFonts w:ascii="Calibri" w:eastAsia="宋体" w:cs="Arial" w:hAnsi="Calibri"/>
      <w:sz w:val="18"/>
      <w:szCs w:val="18"/>
    </w:rPr>
  </w:style>
  <w:style w:type="paragraph" w:styleId="16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eastAsia="宋体" w:cs="Arial" w:hAnsi="Calibr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3</TotalTime>
  <Application>Yozo_Office27021597764231179</Application>
  <Pages>2</Pages>
  <Words>375</Words>
  <Characters>450</Characters>
  <Lines>52</Lines>
  <Paragraphs>25</Paragraphs>
  <CharactersWithSpaces>564</CharactersWithSpaces>
  <Company>Sky123.Org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Sky123.Org</dc:creator>
  <cp:lastModifiedBy>Administrator</cp:lastModifiedBy>
  <cp:revision>2</cp:revision>
  <dcterms:created xsi:type="dcterms:W3CDTF">2019-08-19T01:06:00Z</dcterms:created>
  <dcterms:modified xsi:type="dcterms:W3CDTF">2025-08-28T04:15:47Z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2052-11.1.0.12358</vt:lpwstr>
  </property>
  <property fmtid="{D5CDD505-2E9C-101B-9397-08002B2CF9AE}" pid="3" name="ICV">
    <vt:lpwstr>CD6206FD7CA5494EA3A683B62672B325</vt:lpwstr>
  </property>
  <property fmtid="{D5CDD505-2E9C-101B-9397-08002B2CF9AE}" pid="4" name="KSOTemplateDocerSaveRecord">
    <vt:lpwstr>eyJoZGlkIjoiMzZmMTI3NmMwZWUyNDFkM2I0MTk3NWYyMjEzNTY4OWUiLCJ1c2VySWQiOiI5OTQ1MTc1MDAifQ==</vt:lpwstr>
  </property>
</Properties>
</file>