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center"/>
        <w:outlineLvl w:val="0"/>
        <w:rPr>
          <w:rFonts w:ascii="方正小标宋_GBK" w:eastAsia="方正小标宋_GBK" w:cs="方正小标宋_GBK" w:hint="eastAsia"/>
          <w:b w:val="0"/>
          <w:bCs/>
          <w:sz w:val="44"/>
          <w:szCs w:val="44"/>
          <w:lang w:val="en-US" w:eastAsia="zh-CN"/>
        </w:rPr>
      </w:pPr>
      <w:r>
        <w:rPr>
          <w:rFonts w:ascii="方正小标宋_GBK" w:eastAsia="方正小标宋_GBK" w:cs="方正小标宋_GBK" w:hint="eastAsia"/>
          <w:b w:val="0"/>
          <w:bCs/>
          <w:sz w:val="44"/>
          <w:szCs w:val="44"/>
          <w:lang w:val="en-US" w:eastAsia="zh-CN"/>
        </w:rPr>
        <w:t>黑水县公务服务中心</w:t>
      </w:r>
    </w:p>
    <w:p>
      <w:pPr>
        <w:spacing w:line="600" w:lineRule="exact"/>
        <w:jc w:val="center"/>
        <w:outlineLvl w:val="0"/>
        <w:rPr>
          <w:rFonts w:ascii="方正小标宋_GBK" w:eastAsia="方正小标宋_GBK" w:cs="方正小标宋_GBK" w:hint="eastAsia"/>
          <w:b w:val="0"/>
          <w:bCs/>
          <w:sz w:val="44"/>
          <w:szCs w:val="44"/>
        </w:rPr>
      </w:pPr>
      <w:r>
        <w:rPr>
          <w:rFonts w:ascii="方正小标宋_GBK" w:eastAsia="方正小标宋_GBK" w:cs="方正小标宋_GBK" w:hint="eastAsia"/>
          <w:b w:val="0"/>
          <w:bCs/>
          <w:sz w:val="44"/>
          <w:szCs w:val="44"/>
        </w:rPr>
        <w:t>202</w:t>
      </w:r>
      <w:r>
        <w:rPr>
          <w:rFonts w:ascii="方正小标宋_GBK" w:eastAsia="方正小标宋_GBK" w:cs="方正小标宋_GBK" w:hint="eastAsia"/>
          <w:b w:val="0"/>
          <w:bCs/>
          <w:sz w:val="44"/>
          <w:szCs w:val="44"/>
          <w:lang w:val="en-US" w:eastAsia="zh-CN"/>
        </w:rPr>
        <w:t>4</w:t>
      </w:r>
      <w:r>
        <w:rPr>
          <w:rFonts w:ascii="方正小标宋_GBK" w:eastAsia="方正小标宋_GBK" w:cs="方正小标宋_GBK" w:hint="eastAsia"/>
          <w:b w:val="0"/>
          <w:bCs/>
          <w:sz w:val="44"/>
          <w:szCs w:val="44"/>
        </w:rPr>
        <w:t>年</w:t>
      </w:r>
      <w:r>
        <w:rPr>
          <w:rFonts w:ascii="方正小标宋_GBK" w:eastAsia="方正小标宋_GBK" w:cs="方正小标宋_GBK" w:hint="eastAsia"/>
          <w:b w:val="0"/>
          <w:bCs/>
          <w:sz w:val="44"/>
          <w:szCs w:val="44"/>
          <w:lang w:val="en-US" w:eastAsia="zh-CN"/>
        </w:rPr>
        <w:t>度</w:t>
      </w:r>
      <w:r>
        <w:rPr>
          <w:rFonts w:ascii="方正小标宋_GBK" w:eastAsia="方正小标宋_GBK" w:cs="方正小标宋_GBK" w:hint="eastAsia"/>
          <w:b w:val="0"/>
          <w:bCs/>
          <w:sz w:val="44"/>
          <w:szCs w:val="44"/>
        </w:rPr>
        <w:t>部门整体支出绩效</w:t>
      </w:r>
      <w:r>
        <w:rPr>
          <w:rFonts w:ascii="方正小标宋_GBK" w:eastAsia="方正小标宋_GBK" w:cs="方正小标宋_GBK" w:hint="eastAsia"/>
          <w:b w:val="0"/>
          <w:bCs/>
          <w:sz w:val="44"/>
          <w:szCs w:val="44"/>
          <w:lang w:val="en-US" w:eastAsia="zh-CN"/>
        </w:rPr>
        <w:t>自评</w:t>
      </w:r>
      <w:r>
        <w:rPr>
          <w:rFonts w:ascii="方正小标宋_GBK" w:eastAsia="方正小标宋_GBK" w:cs="方正小标宋_GBK" w:hint="eastAsia"/>
          <w:b w:val="0"/>
          <w:bCs/>
          <w:sz w:val="44"/>
          <w:szCs w:val="44"/>
        </w:rPr>
        <w:t>报告</w:t>
      </w:r>
    </w:p>
    <w:p>
      <w:pPr>
        <w:spacing w:line="600" w:lineRule="exact"/>
        <w:jc w:val="center"/>
        <w:outlineLvl w:val="0"/>
        <w:rPr>
          <w:rFonts w:ascii="仿宋_GB2312" w:eastAsia="仿宋_GB2312" w:cs="方正小标宋简体"/>
          <w:b/>
          <w:sz w:val="32"/>
          <w:szCs w:val="32"/>
        </w:rPr>
      </w:pP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ascii="Times New Roman" w:cs="Times New Roman" w:hAnsi="Times New Roman"/>
          <w:color w:val="auto"/>
          <w:sz w:val="32"/>
          <w:szCs w:val="32"/>
          <w:highlight w:val="auto"/>
        </w:rPr>
      </w:pPr>
      <w:r>
        <w:rPr>
          <w:rFonts w:ascii="Times New Roman" w:eastAsia="黑体" w:cs="Times New Roman" w:hAnsi="Times New Roman"/>
          <w:color w:val="auto"/>
          <w:kern w:val="0"/>
          <w:sz w:val="32"/>
          <w:szCs w:val="32"/>
          <w:shd w:val="clear" w:color="auto" w:fill="FFFFFF"/>
          <w:lang w:val="zh-CN"/>
          <w:highlight w:val="auto"/>
        </w:rPr>
        <w:t>一、部门（单位）基本情况</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highlight w:val="auto"/>
        </w:rPr>
      </w:pPr>
      <w:r>
        <w:rPr>
          <w:rFonts w:ascii="Times New Roman" w:eastAsia="楷体_GB2312" w:cs="Times New Roman" w:hAnsi="Times New Roman"/>
          <w:b/>
          <w:bCs/>
          <w:color w:val="auto"/>
          <w:kern w:val="0"/>
          <w:sz w:val="32"/>
          <w:szCs w:val="32"/>
          <w:shd w:val="clear" w:color="auto" w:fill="FFFFFF"/>
          <w:lang w:val="zh-CN"/>
          <w:highlight w:val="auto"/>
        </w:rPr>
        <w:t>（一）机构组成。</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黑水县公务服务中心为正科级公益一类事业单位，经费来源为财政全额预算，内设办公室、公务服务股、后勤保障股三个股室。</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highlight w:val="auto"/>
        </w:rPr>
      </w:pPr>
      <w:r>
        <w:rPr>
          <w:rFonts w:ascii="Times New Roman" w:eastAsia="楷体_GB2312" w:cs="Times New Roman" w:hAnsi="Times New Roman"/>
          <w:b/>
          <w:bCs/>
          <w:color w:val="auto"/>
          <w:kern w:val="0"/>
          <w:sz w:val="32"/>
          <w:szCs w:val="32"/>
          <w:shd w:val="clear" w:color="auto" w:fill="FFFFFF"/>
          <w:lang w:val="zh-CN"/>
          <w:highlight w:val="auto"/>
        </w:rPr>
        <w:t>（二）机构职能。</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1、</w:t>
      </w:r>
      <w:r>
        <w:rPr>
          <w:rFonts w:hint="eastAsia"/>
          <w:bCs/>
          <w:color w:val="000000"/>
          <w:sz w:val="32"/>
          <w:szCs w:val="32"/>
          <w:shd w:val="clear" w:color="auto" w:fill="auto"/>
          <w14:textFill>
            <w14:solidFill>
              <w14:srgbClr w14:val="000000"/>
            </w14:solidFill>
          </w14:textFill>
        </w:rPr>
        <w:t>贯彻执行《党政机关国内公务接待管理规定》、国家有关机关公务服务工作的方针政策，拟订全县公务服务工作的规划、规章制度并组织实施。</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2、</w:t>
      </w:r>
      <w:r>
        <w:rPr>
          <w:rFonts w:hint="eastAsia"/>
          <w:bCs/>
          <w:color w:val="000000"/>
          <w:sz w:val="32"/>
          <w:szCs w:val="32"/>
          <w:shd w:val="clear" w:color="auto" w:fill="auto"/>
          <w14:textFill>
            <w14:solidFill>
              <w14:srgbClr w14:val="000000"/>
            </w14:solidFill>
          </w14:textFill>
        </w:rPr>
        <w:t>负责中央、省、州及外省、市(州)各级领导来县开展公务活动的协调联络和服务保障，参与外省(区、市(州)、县)党政代表团来县考察的协调联络和服务保障。负责我县党政代表团赴外省(区、市(州)、县)开展公务活动的协调联络和服务保障。</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3、</w:t>
      </w:r>
      <w:r>
        <w:rPr>
          <w:rFonts w:hint="eastAsia"/>
          <w:bCs/>
          <w:color w:val="000000"/>
          <w:sz w:val="32"/>
          <w:szCs w:val="32"/>
          <w:shd w:val="clear" w:color="auto" w:fill="auto"/>
          <w14:textFill>
            <w14:solidFill>
              <w14:srgbClr w14:val="000000"/>
            </w14:solidFill>
          </w14:textFill>
        </w:rPr>
        <w:t>负责全县党政机关公务接待的管理和指导工作，完成县公务接待管理部门承担的接待任务。负责县委、县政府交办的服务保障工作。</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4、</w:t>
      </w:r>
      <w:r>
        <w:rPr>
          <w:rFonts w:hint="eastAsia"/>
          <w:bCs/>
          <w:color w:val="000000"/>
          <w:sz w:val="32"/>
          <w:szCs w:val="32"/>
          <w:shd w:val="clear" w:color="auto" w:fill="auto"/>
          <w14:textFill>
            <w14:solidFill>
              <w14:srgbClr w14:val="000000"/>
            </w14:solidFill>
          </w14:textFill>
        </w:rPr>
        <w:t>按照中央八项规定和省委、省政府十项规定，州委州政府八条意见及其实施细则要求，负责联系协调县级有关部门及关联单位承办县委、县政府重大公务活动的服务工作。</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5、</w:t>
      </w:r>
      <w:r>
        <w:rPr>
          <w:rFonts w:hint="eastAsia"/>
          <w:bCs/>
          <w:color w:val="000000"/>
          <w:sz w:val="32"/>
          <w:szCs w:val="32"/>
          <w:shd w:val="clear" w:color="auto" w:fill="auto"/>
          <w14:textFill>
            <w14:solidFill>
              <w14:srgbClr w14:val="000000"/>
            </w14:solidFill>
          </w14:textFill>
        </w:rPr>
        <w:t>会同县级有关部门承担县委、县政府交办的大型会议、活动的接待服务保障工作。</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6、</w:t>
      </w:r>
      <w:r>
        <w:rPr>
          <w:rFonts w:hint="eastAsia"/>
          <w:bCs/>
          <w:color w:val="000000"/>
          <w:sz w:val="32"/>
          <w:szCs w:val="32"/>
          <w:shd w:val="clear" w:color="auto" w:fill="auto"/>
          <w14:textFill>
            <w14:solidFill>
              <w14:srgbClr w14:val="000000"/>
            </w14:solidFill>
          </w14:textFill>
        </w:rPr>
        <w:t>指导全县机关事业单位伙食团的举办管理工作。负责县级机关伙食团日常管理工作。</w:t>
      </w:r>
    </w:p>
    <w:p>
      <w:pPr>
        <w:pStyle w:val="16"/>
        <w:adjustRightInd w:val="0"/>
        <w:snapToGrid w:val="0"/>
        <w:spacing w:beforeLines="0" w:before="93" w:line="600" w:lineRule="exact"/>
        <w:ind w:firstLineChars="209" w:firstLine="672"/>
        <w:outlineLvl w:val="2"/>
        <w:rPr>
          <w:rFonts w:hint="eastAsia"/>
          <w:bCs/>
          <w:color w:val="000000"/>
          <w:sz w:val="32"/>
          <w:szCs w:val="32"/>
          <w:shd w:val="clear" w:color="auto" w:fill="auto"/>
          <w14:textFill>
            <w14:solidFill>
              <w14:srgbClr w14:val="000000"/>
            </w14:solidFill>
          </w14:textFill>
        </w:rPr>
      </w:pPr>
      <w:r>
        <w:rPr>
          <w:rFonts w:hint="eastAsia"/>
          <w:bCs/>
          <w:color w:val="000000"/>
          <w:sz w:val="32"/>
          <w:szCs w:val="32"/>
          <w:shd w:val="clear" w:color="auto" w:fill="auto"/>
          <w14:textFill>
            <w14:solidFill>
              <w14:srgbClr w14:val="000000"/>
            </w14:solidFill>
          </w14:textFill>
          <w:lang w:val="en-US" w:eastAsia="zh-CN"/>
        </w:rPr>
        <w:t>7、</w:t>
      </w:r>
      <w:r>
        <w:rPr>
          <w:rFonts w:hint="eastAsia"/>
          <w:bCs/>
          <w:color w:val="000000"/>
          <w:sz w:val="32"/>
          <w:szCs w:val="32"/>
          <w:shd w:val="clear" w:color="auto" w:fill="auto"/>
          <w14:textFill>
            <w14:solidFill>
              <w14:srgbClr w14:val="000000"/>
            </w14:solidFill>
          </w14:textFill>
        </w:rPr>
        <w:t>完成县委、县政府交办的其他任务。</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Times New Roman" w:eastAsia="楷体_GB2312" w:cs="Times New Roman" w:hAnsi="Times New Roman"/>
          <w:b/>
          <w:bCs/>
          <w:color w:val="auto"/>
          <w:kern w:val="0"/>
          <w:sz w:val="32"/>
          <w:szCs w:val="32"/>
          <w:shd w:val="clear" w:color="auto" w:fill="FFFFFF"/>
          <w:lang w:val="zh-CN"/>
          <w:highlight w:val="auto"/>
        </w:rPr>
        <w:t>（三）人员概况。</w:t>
      </w:r>
      <w:r>
        <w:rPr>
          <w:rFonts w:ascii="仿宋_GB2312" w:eastAsia="仿宋_GB2312" w:cs="仿宋_GB2312"/>
          <w:color w:val="auto"/>
          <w:kern w:val="0"/>
          <w:sz w:val="32"/>
          <w:szCs w:val="32"/>
          <w:lang w:val="en-US" w:eastAsia="zh-CN"/>
          <w:highlight w:val="auto"/>
        </w:rPr>
        <w:t>截至202</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color w:val="auto"/>
          <w:kern w:val="0"/>
          <w:sz w:val="32"/>
          <w:szCs w:val="32"/>
          <w:lang w:val="en-US" w:eastAsia="zh-CN"/>
          <w:highlight w:val="auto"/>
        </w:rPr>
        <w:t>年末，</w:t>
      </w:r>
      <w:r>
        <w:rPr>
          <w:rFonts w:ascii="仿宋_GB2312" w:eastAsia="仿宋_GB2312" w:cs="仿宋_GB2312" w:hint="eastAsia"/>
          <w:color w:val="auto"/>
          <w:kern w:val="0"/>
          <w:sz w:val="32"/>
          <w:szCs w:val="32"/>
          <w:lang w:val="en-US" w:eastAsia="zh-CN"/>
          <w:highlight w:val="auto"/>
        </w:rPr>
        <w:t>黑水县公务服务中心事业编制10名,在编人数8人。</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ascii="Times New Roman" w:eastAsia="黑体" w:cs="Times New Roman" w:hAnsi="Times New Roman"/>
          <w:color w:val="auto"/>
          <w:kern w:val="0"/>
          <w:sz w:val="32"/>
          <w:szCs w:val="32"/>
          <w:shd w:val="clear" w:color="auto" w:fill="FFFFFF"/>
          <w:lang w:val="zh-CN"/>
          <w:highlight w:val="auto"/>
        </w:rPr>
      </w:pPr>
      <w:r>
        <w:rPr>
          <w:rFonts w:ascii="Times New Roman" w:eastAsia="黑体" w:cs="Times New Roman" w:hAnsi="Times New Roman"/>
          <w:color w:val="auto"/>
          <w:kern w:val="0"/>
          <w:sz w:val="32"/>
          <w:szCs w:val="32"/>
          <w:shd w:val="clear" w:color="auto" w:fill="FFFFFF"/>
          <w:lang w:val="zh-CN"/>
          <w:highlight w:val="auto"/>
        </w:rPr>
        <w:t>二、</w:t>
      </w:r>
      <w:r>
        <w:rPr>
          <w:rFonts w:ascii="Times New Roman" w:eastAsia="黑体" w:cs="Times New Roman" w:hAnsi="Times New Roman"/>
          <w:color w:val="auto"/>
          <w:kern w:val="0"/>
          <w:sz w:val="32"/>
          <w:szCs w:val="32"/>
          <w:shd w:val="clear" w:color="auto" w:fill="FFFFFF"/>
          <w:lang w:val="zh-CN" w:eastAsia="zh-CN"/>
          <w:highlight w:val="auto"/>
        </w:rPr>
        <w:t>部门</w:t>
      </w:r>
      <w:r>
        <w:rPr>
          <w:rFonts w:ascii="Times New Roman" w:eastAsia="黑体" w:cs="Times New Roman" w:hAnsi="Times New Roman"/>
          <w:color w:val="auto"/>
          <w:kern w:val="0"/>
          <w:sz w:val="32"/>
          <w:szCs w:val="32"/>
          <w:shd w:val="clear" w:color="auto" w:fill="FFFFFF"/>
          <w:lang w:val="zh-CN"/>
          <w:highlight w:val="auto"/>
        </w:rPr>
        <w:t>资金收支情况</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highlight w:val="auto"/>
        </w:rPr>
      </w:pPr>
      <w:r>
        <w:rPr>
          <w:rFonts w:ascii="Times New Roman" w:eastAsia="楷体_GB2312" w:cs="Times New Roman" w:hAnsi="Times New Roman"/>
          <w:b/>
          <w:bCs/>
          <w:color w:val="auto"/>
          <w:kern w:val="0"/>
          <w:sz w:val="32"/>
          <w:szCs w:val="32"/>
          <w:shd w:val="clear" w:color="auto" w:fill="FFFFFF"/>
          <w:lang w:val="zh-CN"/>
          <w:highlight w:val="auto"/>
        </w:rPr>
        <w:t>（一）收入情况</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outlineLvl w:val="9"/>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sz w:val="32"/>
          <w:szCs w:val="32"/>
          <w:highlight w:val="auto"/>
        </w:rPr>
        <w:t>2</w:t>
      </w:r>
      <w:r>
        <w:rPr>
          <w:rFonts w:ascii="仿宋_GB2312" w:eastAsia="仿宋_GB2312" w:cs="仿宋_GB2312" w:hint="eastAsia"/>
          <w:color w:val="auto"/>
          <w:kern w:val="0"/>
          <w:sz w:val="32"/>
          <w:szCs w:val="32"/>
          <w:lang w:val="en-US" w:eastAsia="zh-CN"/>
          <w:highlight w:val="auto"/>
        </w:rPr>
        <w:t>024年黑水县公务服务中心收入预算为949.11万元，其中一般公共预算拨款收入797.83万元、其他收入151.28万元。</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highlight w:val="auto"/>
        </w:rPr>
      </w:pPr>
      <w:r>
        <w:rPr>
          <w:rFonts w:ascii="Times New Roman" w:eastAsia="楷体_GB2312" w:cs="Times New Roman" w:hAnsi="Times New Roman"/>
          <w:b/>
          <w:bCs/>
          <w:color w:val="auto"/>
          <w:kern w:val="0"/>
          <w:sz w:val="32"/>
          <w:szCs w:val="32"/>
          <w:shd w:val="clear" w:color="auto" w:fill="FFFFFF"/>
          <w:lang w:val="zh-CN"/>
          <w:highlight w:val="auto"/>
        </w:rPr>
        <w:t>（二）支出情况。</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2024年部门预算支出总数949.11万元，主要包括：一般公共服务支出858.37万元、文化旅游体育与传媒支出42.43万元、社会保障和就业支出24.65万元、卫生健康支出10.09万元、住房保障支出13.58万元。</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eastAsia="zh-CN"/>
          <w:highlight w:val="auto"/>
        </w:rPr>
      </w:pPr>
      <w:r>
        <w:rPr>
          <w:rFonts w:eastAsia="楷体_GB2312" w:cs="Times New Roman" w:hint="eastAsia"/>
          <w:b/>
          <w:bCs/>
          <w:color w:val="auto"/>
          <w:kern w:val="0"/>
          <w:sz w:val="32"/>
          <w:szCs w:val="32"/>
          <w:shd w:val="clear" w:color="auto" w:fill="FFFFFF"/>
          <w:lang w:val="zh-CN"/>
          <w:highlight w:val="auto"/>
        </w:rPr>
        <w:t>（三）</w:t>
      </w:r>
      <w:r>
        <w:rPr>
          <w:rFonts w:ascii="Times New Roman" w:eastAsia="楷体_GB2312" w:cs="Times New Roman" w:hAnsi="Times New Roman"/>
          <w:b/>
          <w:bCs/>
          <w:color w:val="auto"/>
          <w:kern w:val="0"/>
          <w:sz w:val="32"/>
          <w:szCs w:val="32"/>
          <w:shd w:val="clear" w:color="auto" w:fill="FFFFFF"/>
          <w:lang w:val="zh-CN"/>
          <w:highlight w:val="auto"/>
        </w:rPr>
        <w:t>结余分配和结转结余情况</w:t>
      </w:r>
      <w:r>
        <w:rPr>
          <w:rFonts w:ascii="Times New Roman" w:eastAsia="楷体_GB2312" w:cs="Times New Roman" w:hAnsi="Times New Roman"/>
          <w:b/>
          <w:bCs/>
          <w:color w:val="auto"/>
          <w:kern w:val="0"/>
          <w:sz w:val="32"/>
          <w:szCs w:val="32"/>
          <w:shd w:val="clear" w:color="auto" w:fill="FFFFFF"/>
          <w:lang w:val="zh-CN" w:eastAsia="zh-CN"/>
          <w:highlight w:val="auto"/>
        </w:rPr>
        <w:t>。</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ascii="仿宋_GB2312" w:eastAsia="仿宋_GB2312" w:cs="仿宋_GB2312"/>
          <w:color w:val="auto"/>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黑水县公务服务中心2023年决算报表无</w:t>
      </w:r>
      <w:r>
        <w:rPr>
          <w:rFonts w:ascii="仿宋_GB2312" w:eastAsia="仿宋_GB2312" w:cs="仿宋_GB2312"/>
          <w:color w:val="auto"/>
          <w:kern w:val="0"/>
          <w:sz w:val="32"/>
          <w:szCs w:val="32"/>
          <w:lang w:val="en-US" w:eastAsia="zh-CN"/>
          <w:highlight w:val="auto"/>
        </w:rPr>
        <w:t>结转结余</w:t>
      </w:r>
      <w:r>
        <w:rPr>
          <w:rFonts w:ascii="仿宋_GB2312" w:eastAsia="仿宋_GB2312" w:cs="仿宋_GB2312" w:hint="eastAsia"/>
          <w:color w:val="auto"/>
          <w:kern w:val="0"/>
          <w:sz w:val="32"/>
          <w:szCs w:val="32"/>
          <w:lang w:val="en-US" w:eastAsia="zh-CN"/>
          <w:highlight w:val="auto"/>
        </w:rPr>
        <w:t>资金</w:t>
      </w:r>
      <w:r>
        <w:rPr>
          <w:rFonts w:ascii="仿宋_GB2312" w:eastAsia="仿宋_GB2312" w:cs="仿宋_GB2312"/>
          <w:color w:val="auto"/>
          <w:kern w:val="0"/>
          <w:sz w:val="32"/>
          <w:szCs w:val="32"/>
          <w:lang w:val="en-US" w:eastAsia="zh-CN"/>
          <w:highlight w:val="auto"/>
        </w:rPr>
        <w:t>。</w:t>
      </w:r>
    </w:p>
    <w:p>
      <w:pPr>
        <w:keepNext w:val="0"/>
        <w:keepLines w:val="0"/>
        <w:pageBreakBefore w:val="0"/>
        <w:widowControl/>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ascii="Times New Roman" w:eastAsia="黑体" w:cs="Times New Roman" w:hAnsi="Times New Roman"/>
          <w:color w:val="auto"/>
          <w:kern w:val="0"/>
          <w:sz w:val="32"/>
          <w:szCs w:val="32"/>
          <w:shd w:val="clear" w:color="auto" w:fill="FFFFFF"/>
          <w:lang w:val="zh-CN"/>
          <w:highlight w:val="auto"/>
        </w:rPr>
      </w:pPr>
      <w:r>
        <w:rPr>
          <w:rFonts w:ascii="Times New Roman" w:eastAsia="黑体" w:cs="Times New Roman" w:hAnsi="Times New Roman"/>
          <w:color w:val="auto"/>
          <w:kern w:val="0"/>
          <w:sz w:val="32"/>
          <w:szCs w:val="32"/>
          <w:shd w:val="clear" w:color="auto" w:fill="FFFFFF"/>
          <w:lang w:val="zh-CN"/>
          <w:highlight w:val="auto"/>
        </w:rPr>
        <w:t>三、部门</w:t>
      </w:r>
      <w:r>
        <w:rPr>
          <w:rFonts w:ascii="Times New Roman" w:eastAsia="黑体" w:cs="Times New Roman" w:hAnsi="Times New Roman"/>
          <w:color w:val="auto"/>
          <w:kern w:val="0"/>
          <w:sz w:val="32"/>
          <w:szCs w:val="32"/>
          <w:shd w:val="clear" w:color="auto" w:fill="FFFFFF"/>
          <w:lang w:val="zh-CN" w:eastAsia="zh-CN"/>
          <w:highlight w:val="auto"/>
        </w:rPr>
        <w:t>预算</w:t>
      </w:r>
      <w:r>
        <w:rPr>
          <w:rFonts w:ascii="Times New Roman" w:eastAsia="黑体" w:cs="Times New Roman" w:hAnsi="Times New Roman"/>
          <w:color w:val="auto"/>
          <w:kern w:val="0"/>
          <w:sz w:val="32"/>
          <w:szCs w:val="32"/>
          <w:shd w:val="clear" w:color="auto" w:fill="FFFFFF"/>
          <w:lang w:val="zh-CN"/>
          <w:highlight w:val="auto"/>
        </w:rPr>
        <w:t>绩效</w:t>
      </w:r>
      <w:r>
        <w:rPr>
          <w:rFonts w:ascii="Times New Roman" w:eastAsia="黑体" w:cs="Times New Roman" w:hAnsi="Times New Roman"/>
          <w:color w:val="auto"/>
          <w:kern w:val="0"/>
          <w:sz w:val="32"/>
          <w:szCs w:val="32"/>
          <w:shd w:val="clear" w:color="auto" w:fill="FFFFFF"/>
          <w:lang w:val="zh-CN" w:eastAsia="zh-CN"/>
          <w:highlight w:val="auto"/>
        </w:rPr>
        <w:t>分析</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hint="eastAsia"/>
          <w:b/>
          <w:bCs/>
          <w:color w:val="auto"/>
          <w:kern w:val="0"/>
          <w:sz w:val="32"/>
          <w:szCs w:val="32"/>
          <w:shd w:val="clear" w:color="auto" w:fill="FFFFFF"/>
          <w:lang w:val="en-US" w:eastAsia="zh-CN"/>
          <w:highlight w:val="auto"/>
        </w:rPr>
      </w:pPr>
      <w:r>
        <w:rPr>
          <w:rFonts w:ascii="Times New Roman" w:eastAsia="楷体_GB2312" w:cs="Times New Roman" w:hAnsi="Times New Roman" w:hint="eastAsia"/>
          <w:b/>
          <w:bCs/>
          <w:color w:val="auto"/>
          <w:kern w:val="0"/>
          <w:sz w:val="32"/>
          <w:szCs w:val="32"/>
          <w:shd w:val="clear" w:color="auto" w:fill="FFFFFF"/>
          <w:lang w:val="zh-CN"/>
          <w:highlight w:val="auto"/>
        </w:rPr>
        <w:t>（一）部门预算</w:t>
      </w:r>
      <w:r>
        <w:rPr>
          <w:rFonts w:ascii="Times New Roman" w:eastAsia="楷体_GB2312" w:cs="Times New Roman" w:hAnsi="Times New Roman" w:hint="eastAsia"/>
          <w:b/>
          <w:bCs/>
          <w:color w:val="auto"/>
          <w:kern w:val="0"/>
          <w:sz w:val="32"/>
          <w:szCs w:val="32"/>
          <w:shd w:val="clear" w:color="auto" w:fill="FFFFFF"/>
          <w:lang w:val="zh-CN" w:eastAsia="zh-CN"/>
          <w:highlight w:val="auto"/>
        </w:rPr>
        <w:t>总体绩效分析（</w:t>
      </w:r>
      <w:r>
        <w:rPr>
          <w:rFonts w:ascii="Times New Roman" w:eastAsia="楷体_GB2312" w:cs="Times New Roman" w:hAnsi="Times New Roman" w:hint="eastAsia"/>
          <w:b/>
          <w:bCs/>
          <w:color w:val="auto"/>
          <w:kern w:val="0"/>
          <w:sz w:val="32"/>
          <w:szCs w:val="32"/>
          <w:shd w:val="clear" w:color="auto" w:fill="FFFFFF"/>
          <w:lang w:val="en-US" w:eastAsia="zh-CN"/>
          <w:highlight w:val="auto"/>
        </w:rPr>
        <w:t>分值65分，自评得分62分</w:t>
      </w:r>
      <w:r>
        <w:rPr>
          <w:rFonts w:ascii="Times New Roman" w:eastAsia="楷体_GB2312" w:cs="Times New Roman" w:hAnsi="Times New Roman" w:hint="eastAsia"/>
          <w:b/>
          <w:bCs/>
          <w:color w:val="auto"/>
          <w:kern w:val="0"/>
          <w:sz w:val="32"/>
          <w:szCs w:val="32"/>
          <w:shd w:val="clear" w:color="auto" w:fill="FFFFFF"/>
          <w:lang w:val="zh-CN" w:eastAsia="zh-CN"/>
          <w:highlight w:val="auto"/>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 xml:space="preserve">我中心按照县级部门预算编制通知和有关要求，对2024年的各项收入及支出作了认真的清理，真实、准确、全面、及时的完成年度预、决算工作；认真对绩效目标的填报，对特定专项预算进行分期、分批并结合实际提前细化，保障正常运行。 </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1.</w:t>
      </w:r>
      <w:r>
        <w:rPr>
          <w:rFonts w:ascii="仿宋_GB2312" w:eastAsia="仿宋_GB2312" w:cs="仿宋_GB2312" w:hint="eastAsia"/>
          <w:color w:val="auto"/>
          <w:kern w:val="0"/>
          <w:sz w:val="32"/>
          <w:szCs w:val="32"/>
          <w:lang w:val="zh-CN" w:eastAsia="zh-CN"/>
          <w:highlight w:val="auto"/>
        </w:rPr>
        <w:t>履职效能（分值</w:t>
      </w:r>
      <w:r>
        <w:rPr>
          <w:rFonts w:ascii="仿宋_GB2312" w:eastAsia="仿宋_GB2312" w:cs="仿宋_GB2312" w:hint="eastAsia"/>
          <w:color w:val="auto"/>
          <w:kern w:val="0"/>
          <w:sz w:val="32"/>
          <w:szCs w:val="32"/>
          <w:lang w:val="en-US" w:eastAsia="zh-CN"/>
          <w:highlight w:val="auto"/>
        </w:rPr>
        <w:t>15分，自评得分15分）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我中心根据三定方案职责，职责一、贯彻执行中央、省、州有关公务接待工作的规定，拟订全县公务接待办法。完成公务接待任务。加强县本级公务接待工作的规范管理，指导全县党政机关公务接待工作，得分3分；职责二：负责机关伙食团人员选聘、物资采购、职工就餐等日常管理工作，得分3分；职责三：负责全县行政机关和事业单位公务用车、执勤执法用车的编制、配备、更新的审批及日常管理工作，参与公务用车改革工作，得分3分；职责四：负责县级机关周转房的分配和日常管理工作。负责县委、人大、政府、政协机关集中办公区域的物业管理与保障服务工作。得分3分；职责五：负责制定全县机关统一的机关后勤服务管理制度，负责指导和管理县级机关后勤服务工作。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2.</w:t>
      </w:r>
      <w:r>
        <w:rPr>
          <w:rFonts w:ascii="仿宋_GB2312" w:eastAsia="仿宋_GB2312" w:cs="仿宋_GB2312" w:hint="eastAsia"/>
          <w:color w:val="auto"/>
          <w:kern w:val="0"/>
          <w:sz w:val="32"/>
          <w:szCs w:val="32"/>
          <w:lang w:val="zh-CN" w:eastAsia="zh-CN"/>
          <w:highlight w:val="auto"/>
        </w:rPr>
        <w:t>预算管理（分值</w:t>
      </w:r>
      <w:r>
        <w:rPr>
          <w:rFonts w:ascii="仿宋_GB2312" w:eastAsia="仿宋_GB2312" w:cs="仿宋_GB2312" w:hint="eastAsia"/>
          <w:color w:val="auto"/>
          <w:kern w:val="0"/>
          <w:sz w:val="32"/>
          <w:szCs w:val="32"/>
          <w:lang w:val="en-US" w:eastAsia="zh-CN"/>
          <w:highlight w:val="auto"/>
        </w:rPr>
        <w:t>25分，自评得分22分）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预算编制质量</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8分，自评得分7分）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黑水县公务服务中心能严格按要求编制年初部门预算，年初预算编制科学合理和准确性较高。黑本年度预算收入总数为773.58万元，支出总数为773.58万元，</w:t>
      </w:r>
      <w:r>
        <w:rPr>
          <w:rFonts w:ascii="仿宋_GB2312" w:eastAsia="仿宋_GB2312" w:cs="仿宋_GB2312"/>
          <w:color w:val="auto"/>
          <w:kern w:val="0"/>
          <w:sz w:val="32"/>
          <w:szCs w:val="32"/>
          <w:lang w:val="en-US" w:eastAsia="zh-CN"/>
          <w:highlight w:val="auto"/>
        </w:rPr>
        <w:t>截止2023年度我单位资金无结转结余。</w:t>
      </w:r>
      <w:r>
        <w:rPr>
          <w:rFonts w:ascii="仿宋_GB2312" w:eastAsia="仿宋_GB2312" w:cs="仿宋_GB2312" w:hint="eastAsia"/>
          <w:color w:val="auto"/>
          <w:kern w:val="0"/>
          <w:sz w:val="32"/>
          <w:szCs w:val="32"/>
          <w:lang w:val="en-US" w:eastAsia="zh-CN"/>
          <w:highlight w:val="auto"/>
        </w:rPr>
        <w:t>该项指标得分7分。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单位收入统筹</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4分，自评得分4分）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黑水县公务服务中心未有统筹自有收入。该项指标得分4分。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支出执行进度</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6分，自评得分4分）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黑水县公务服务中心1至6月、1至10月预算执行按照实际要求及时支付，完成情况较好，有时由于资料未收集完整，导致拨付进度迟缓，该项指标得分4分。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预算年终结余</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2分，自评得分2分）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黑水县公务服务中心在年底结余资金为0万元。该项指标得分2分。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严控一般性支出</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5分，自评得分5分）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黑水县公务服务中心严控“三公”经费、会议费、培训费、差旅费、办公设备购置、信息网络及软件购置换新严格按照相关制度执行。该项指标得分5分。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3</w:t>
      </w:r>
      <w:r>
        <w:rPr>
          <w:rFonts w:ascii="仿宋_GB2312" w:eastAsia="仿宋_GB2312" w:cs="仿宋_GB2312" w:hint="eastAsia"/>
          <w:color w:val="auto"/>
          <w:kern w:val="0"/>
          <w:sz w:val="32"/>
          <w:szCs w:val="32"/>
          <w:lang w:val="en-US" w:eastAsia="zh-CN"/>
          <w:highlight w:val="auto"/>
        </w:rPr>
        <w:t>.</w:t>
      </w:r>
      <w:r>
        <w:rPr>
          <w:rFonts w:ascii="仿宋_GB2312" w:eastAsia="仿宋_GB2312" w:cs="仿宋_GB2312" w:hint="eastAsia"/>
          <w:color w:val="auto"/>
          <w:kern w:val="0"/>
          <w:sz w:val="32"/>
          <w:szCs w:val="32"/>
          <w:lang w:val="zh-CN" w:eastAsia="zh-CN"/>
          <w:highlight w:val="auto"/>
        </w:rPr>
        <w:t>账务管理（分值</w:t>
      </w:r>
      <w:r>
        <w:rPr>
          <w:rFonts w:ascii="仿宋_GB2312" w:eastAsia="仿宋_GB2312" w:cs="仿宋_GB2312" w:hint="eastAsia"/>
          <w:color w:val="auto"/>
          <w:kern w:val="0"/>
          <w:sz w:val="32"/>
          <w:szCs w:val="32"/>
          <w:lang w:val="en-US" w:eastAsia="zh-CN"/>
          <w:highlight w:val="auto"/>
        </w:rPr>
        <w:t>10分，自评得分10分）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（1）财务管理制度</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4分，自评得分4分）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资金管理办法等管理制度体系健全完善，不存在管理制度缺失、管理办法过期情况。该项指标得分4分。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（2）财务岗位设置</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2分，自评得分2分）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财务岗位设置严格按照内控设置，符合相关财务制度要求，合理设置财务工作岗位，明确职责权限，并严格实行不相容岗位分离。该项指标得分2分。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资金使用规范</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4分，自评得分4分）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黑水县公务服务中心部门资金使用严格按照财务管理制度规定、根据各项专项费用使用范围，专款专用。该项指标得分4分。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资产管理。（分值</w:t>
      </w:r>
      <w:r>
        <w:rPr>
          <w:rFonts w:ascii="仿宋_GB2312" w:eastAsia="仿宋_GB2312" w:cs="仿宋_GB2312" w:hint="eastAsia"/>
          <w:color w:val="auto"/>
          <w:kern w:val="0"/>
          <w:sz w:val="32"/>
          <w:szCs w:val="32"/>
          <w:lang w:val="en-US" w:eastAsia="zh-CN"/>
          <w:highlight w:val="auto"/>
        </w:rPr>
        <w:t>9分，自评得分9分）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w:t>
      </w:r>
      <w:r>
        <w:rPr>
          <w:rFonts w:ascii="仿宋_GB2312" w:eastAsia="仿宋_GB2312" w:cs="仿宋_GB2312" w:hint="eastAsia"/>
          <w:color w:val="auto"/>
          <w:kern w:val="0"/>
          <w:sz w:val="32"/>
          <w:szCs w:val="32"/>
          <w:lang w:val="en-US" w:eastAsia="zh-CN"/>
          <w:highlight w:val="auto"/>
        </w:rPr>
        <w:t>1</w:t>
      </w:r>
      <w:r>
        <w:rPr>
          <w:rFonts w:ascii="仿宋_GB2312" w:eastAsia="仿宋_GB2312" w:cs="仿宋_GB2312" w:hint="eastAsia"/>
          <w:color w:val="auto"/>
          <w:kern w:val="0"/>
          <w:sz w:val="32"/>
          <w:szCs w:val="32"/>
          <w:lang w:val="zh-CN" w:eastAsia="zh-CN"/>
          <w:highlight w:val="auto"/>
        </w:rPr>
        <w:t>）人均资产变化率（分值</w:t>
      </w:r>
      <w:r>
        <w:rPr>
          <w:rFonts w:ascii="仿宋_GB2312" w:eastAsia="仿宋_GB2312" w:cs="仿宋_GB2312" w:hint="eastAsia"/>
          <w:color w:val="auto"/>
          <w:kern w:val="0"/>
          <w:sz w:val="32"/>
          <w:szCs w:val="32"/>
          <w:lang w:val="en-US" w:eastAsia="zh-CN"/>
          <w:highlight w:val="auto"/>
        </w:rPr>
        <w:t>3分，自评得分3分）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zh-CN" w:eastAsia="zh-CN"/>
          <w:highlight w:val="auto"/>
        </w:rPr>
        <w:t>人均资产变化率</w:t>
      </w:r>
      <w:r>
        <w:rPr>
          <w:rFonts w:ascii="仿宋_GB2312" w:eastAsia="仿宋_GB2312" w:cs="仿宋_GB2312" w:hint="eastAsia"/>
          <w:color w:val="auto"/>
          <w:kern w:val="0"/>
          <w:sz w:val="32"/>
          <w:szCs w:val="32"/>
          <w:lang w:val="en-US" w:eastAsia="zh-CN"/>
          <w:highlight w:val="auto"/>
        </w:rPr>
        <w:t>=(期末人均资产-期初人均资产)/期初人均资产*100%。均符合相关规定，低于规定值。</w:t>
      </w:r>
      <w:r>
        <w:rPr>
          <w:rFonts w:ascii="仿宋_GB2312" w:eastAsia="仿宋_GB2312" w:cs="仿宋_GB2312" w:hint="eastAsia"/>
          <w:color w:val="auto"/>
          <w:kern w:val="0"/>
          <w:sz w:val="32"/>
          <w:szCs w:val="32"/>
          <w:lang w:val="zh-CN" w:eastAsia="zh-CN"/>
          <w:highlight w:val="auto"/>
        </w:rPr>
        <w:t>指标分值</w:t>
      </w: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（2）资产利用率</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3分，自评得分3分）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固定资产在用率。截止</w:t>
      </w:r>
      <w:r>
        <w:rPr>
          <w:rFonts w:ascii="仿宋_GB2312" w:eastAsia="仿宋_GB2312" w:cs="仿宋_GB2312"/>
          <w:color w:val="auto"/>
          <w:kern w:val="0"/>
          <w:sz w:val="32"/>
          <w:szCs w:val="32"/>
          <w:lang w:val="en-US" w:eastAsia="zh-CN"/>
          <w:highlight w:val="auto"/>
        </w:rPr>
        <w:t>202</w:t>
      </w:r>
      <w:r>
        <w:rPr>
          <w:rFonts w:ascii="仿宋_GB2312" w:eastAsia="仿宋_GB2312" w:cs="仿宋_GB2312" w:hint="eastAsia"/>
          <w:color w:val="auto"/>
          <w:kern w:val="0"/>
          <w:sz w:val="32"/>
          <w:szCs w:val="32"/>
          <w:lang w:val="en-US" w:eastAsia="zh-CN"/>
          <w:highlight w:val="auto"/>
        </w:rPr>
        <w:t>4年</w:t>
      </w:r>
      <w:r>
        <w:rPr>
          <w:rFonts w:ascii="仿宋_GB2312" w:eastAsia="仿宋_GB2312" w:cs="仿宋_GB2312"/>
          <w:color w:val="auto"/>
          <w:kern w:val="0"/>
          <w:sz w:val="32"/>
          <w:szCs w:val="32"/>
          <w:lang w:val="en-US" w:eastAsia="zh-CN"/>
          <w:highlight w:val="auto"/>
        </w:rPr>
        <w:t>12</w:t>
      </w:r>
      <w:r>
        <w:rPr>
          <w:rFonts w:ascii="仿宋_GB2312" w:eastAsia="仿宋_GB2312" w:cs="仿宋_GB2312" w:hint="eastAsia"/>
          <w:color w:val="auto"/>
          <w:kern w:val="0"/>
          <w:sz w:val="32"/>
          <w:szCs w:val="32"/>
          <w:lang w:val="en-US" w:eastAsia="zh-CN"/>
          <w:highlight w:val="auto"/>
        </w:rPr>
        <w:t>月</w:t>
      </w:r>
      <w:r>
        <w:rPr>
          <w:rFonts w:ascii="仿宋_GB2312" w:eastAsia="仿宋_GB2312" w:cs="仿宋_GB2312"/>
          <w:color w:val="auto"/>
          <w:kern w:val="0"/>
          <w:sz w:val="32"/>
          <w:szCs w:val="32"/>
          <w:lang w:val="en-US" w:eastAsia="zh-CN"/>
          <w:highlight w:val="auto"/>
        </w:rPr>
        <w:t>31</w:t>
      </w:r>
      <w:r>
        <w:rPr>
          <w:rFonts w:ascii="仿宋_GB2312" w:eastAsia="仿宋_GB2312" w:cs="仿宋_GB2312" w:hint="eastAsia"/>
          <w:color w:val="auto"/>
          <w:kern w:val="0"/>
          <w:sz w:val="32"/>
          <w:szCs w:val="32"/>
          <w:lang w:val="en-US" w:eastAsia="zh-CN"/>
          <w:highlight w:val="auto"/>
        </w:rPr>
        <w:t>日，固定资产总计120.41万元，在用的固定资产总计220.33万元，固定资产在用率达</w:t>
      </w:r>
      <w:r>
        <w:rPr>
          <w:rFonts w:ascii="仿宋_GB2312" w:eastAsia="仿宋_GB2312" w:cs="仿宋_GB2312"/>
          <w:color w:val="auto"/>
          <w:kern w:val="0"/>
          <w:sz w:val="32"/>
          <w:szCs w:val="32"/>
          <w:lang w:val="en-US" w:eastAsia="zh-CN"/>
          <w:highlight w:val="auto"/>
        </w:rPr>
        <w:t>100%</w:t>
      </w:r>
      <w:r>
        <w:rPr>
          <w:rFonts w:ascii="仿宋_GB2312" w:eastAsia="仿宋_GB2312" w:cs="仿宋_GB2312" w:hint="eastAsia"/>
          <w:color w:val="auto"/>
          <w:kern w:val="0"/>
          <w:sz w:val="32"/>
          <w:szCs w:val="32"/>
          <w:lang w:val="en-US" w:eastAsia="zh-CN"/>
          <w:highlight w:val="auto"/>
        </w:rPr>
        <w:t>。</w:t>
      </w:r>
      <w:r>
        <w:rPr>
          <w:rFonts w:ascii="仿宋_GB2312" w:eastAsia="仿宋_GB2312" w:cs="仿宋_GB2312" w:hint="eastAsia"/>
          <w:color w:val="auto"/>
          <w:kern w:val="0"/>
          <w:sz w:val="32"/>
          <w:szCs w:val="32"/>
          <w:lang w:val="zh-CN" w:eastAsia="zh-CN"/>
          <w:highlight w:val="auto"/>
        </w:rPr>
        <w:t>。</w:t>
      </w:r>
      <w:r>
        <w:rPr>
          <w:rFonts w:ascii="仿宋_GB2312" w:eastAsia="仿宋_GB2312" w:cs="仿宋_GB2312" w:hint="eastAsia"/>
          <w:color w:val="auto"/>
          <w:kern w:val="0"/>
          <w:sz w:val="32"/>
          <w:szCs w:val="32"/>
          <w:lang w:val="en-US" w:eastAsia="zh-CN"/>
          <w:highlight w:val="auto"/>
        </w:rPr>
        <w:t>该项指标得分3分。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（3）资产盘活率</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3分，自评得分3分）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资产闲置0万元，资产盘活率达100%。该项指标得分3分。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采购管理</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6分，自评得分6分）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支持中小企业发展</w:t>
      </w:r>
      <w:r>
        <w:rPr>
          <w:rFonts w:ascii="仿宋_GB2312" w:eastAsia="仿宋_GB2312" w:cs="仿宋_GB2312" w:hint="eastAsia"/>
          <w:color w:val="auto"/>
          <w:kern w:val="0"/>
          <w:sz w:val="32"/>
          <w:szCs w:val="32"/>
          <w:lang w:val="zh-CN" w:eastAsia="zh-CN"/>
          <w:highlight w:val="auto"/>
        </w:rPr>
        <w:t>（分值</w:t>
      </w:r>
      <w:r>
        <w:rPr>
          <w:rFonts w:ascii="仿宋_GB2312" w:eastAsia="仿宋_GB2312" w:cs="仿宋_GB2312" w:hint="eastAsia"/>
          <w:color w:val="auto"/>
          <w:kern w:val="0"/>
          <w:sz w:val="32"/>
          <w:szCs w:val="32"/>
          <w:lang w:val="en-US" w:eastAsia="zh-CN"/>
          <w:highlight w:val="auto"/>
        </w:rPr>
        <w:t>3分，自评得分3分）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采购执行率：采购执行规范性，2024年年度政府采购货物支出0万元，政府采购工程支出0万元，政府采购服务支出0万元。促进中小企业发展相关管理办法。该项指标得分3分。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cs="Times New Roman" w:hAnsi="Times New Roman"/>
          <w:color w:val="auto"/>
          <w:szCs w:val="32"/>
          <w:lang w:val="en-US" w:eastAsia="zh-CN"/>
          <w:highlight w:val="auto"/>
        </w:rPr>
      </w:pPr>
      <w:r>
        <w:rPr>
          <w:rFonts w:ascii="仿宋_GB2312" w:eastAsia="仿宋_GB2312" w:cs="仿宋_GB2312" w:hint="eastAsia"/>
          <w:color w:val="auto"/>
          <w:kern w:val="0"/>
          <w:sz w:val="32"/>
          <w:szCs w:val="32"/>
          <w:lang w:val="en-US" w:eastAsia="zh-CN"/>
          <w:highlight w:val="auto"/>
        </w:rPr>
        <w:t>（2）支持中小企业发展：政府采购授予中小企业合同金额0万元，其中：授予小微企业合同金额</w:t>
      </w:r>
      <w:r>
        <w:rPr>
          <w:rFonts w:ascii="仿宋_GB2312" w:eastAsia="仿宋_GB2312" w:cs="仿宋_GB2312"/>
          <w:color w:val="auto"/>
          <w:kern w:val="0"/>
          <w:sz w:val="32"/>
          <w:szCs w:val="32"/>
          <w:lang w:val="en-US" w:eastAsia="zh-CN"/>
          <w:highlight w:val="auto"/>
        </w:rPr>
        <w:t>0</w:t>
      </w:r>
      <w:r>
        <w:rPr>
          <w:rFonts w:ascii="仿宋_GB2312" w:eastAsia="仿宋_GB2312" w:cs="仿宋_GB2312" w:hint="eastAsia"/>
          <w:color w:val="auto"/>
          <w:kern w:val="0"/>
          <w:sz w:val="32"/>
          <w:szCs w:val="32"/>
          <w:lang w:val="en-US" w:eastAsia="zh-CN"/>
          <w:highlight w:val="auto"/>
        </w:rPr>
        <w:t>万元。该项指标得分3分。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en-US" w:eastAsia="zh-CN"/>
          <w:highlight w:val="auto"/>
        </w:rPr>
      </w:pPr>
      <w:r>
        <w:rPr>
          <w:rFonts w:ascii="Times New Roman" w:eastAsia="楷体_GB2312" w:cs="Times New Roman" w:hAnsi="Times New Roman"/>
          <w:b/>
          <w:bCs/>
          <w:color w:val="auto"/>
          <w:kern w:val="0"/>
          <w:sz w:val="32"/>
          <w:szCs w:val="32"/>
          <w:shd w:val="clear" w:color="auto" w:fill="FFFFFF"/>
          <w:lang w:val="zh-CN"/>
          <w:highlight w:val="auto"/>
        </w:rPr>
        <w:t>（二）部门预算项目绩效分析。</w:t>
      </w:r>
      <w:r>
        <w:rPr>
          <w:rFonts w:ascii="Times New Roman" w:eastAsia="楷体_GB2312" w:cs="Times New Roman" w:hAnsi="Times New Roman" w:hint="eastAsia"/>
          <w:b/>
          <w:bCs/>
          <w:color w:val="auto"/>
          <w:kern w:val="0"/>
          <w:sz w:val="32"/>
          <w:szCs w:val="32"/>
          <w:shd w:val="clear" w:color="auto" w:fill="FFFFFF"/>
          <w:lang w:val="zh-CN"/>
          <w:highlight w:val="auto"/>
        </w:rPr>
        <w:t>指标分值</w:t>
      </w:r>
      <w:r>
        <w:rPr>
          <w:rFonts w:ascii="Times New Roman" w:eastAsia="楷体_GB2312" w:cs="Times New Roman" w:hAnsi="Times New Roman" w:hint="eastAsia"/>
          <w:b/>
          <w:bCs/>
          <w:color w:val="auto"/>
          <w:kern w:val="0"/>
          <w:sz w:val="32"/>
          <w:szCs w:val="32"/>
          <w:shd w:val="clear" w:color="auto" w:fill="FFFFFF"/>
          <w:lang w:val="en-US" w:eastAsia="zh-CN"/>
          <w:highlight w:val="auto"/>
        </w:rPr>
        <w:t>35分，自评得分35分。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常年项目绩效分析。</w:t>
      </w:r>
      <w:r>
        <w:rPr>
          <w:rFonts w:ascii="仿宋_GB2312" w:eastAsia="仿宋_GB2312" w:cs="仿宋_GB2312" w:hint="eastAsia"/>
          <w:color w:val="auto"/>
          <w:kern w:val="0"/>
          <w:sz w:val="32"/>
          <w:szCs w:val="32"/>
          <w:lang w:val="zh-CN" w:eastAsia="zh-CN"/>
          <w:highlight w:val="auto"/>
        </w:rPr>
        <w:t>该类项目总数</w:t>
      </w:r>
      <w:r>
        <w:rPr>
          <w:rFonts w:ascii="仿宋_GB2312" w:eastAsia="仿宋_GB2312" w:cs="仿宋_GB2312" w:hint="eastAsia"/>
          <w:color w:val="auto"/>
          <w:kern w:val="0"/>
          <w:sz w:val="32"/>
          <w:szCs w:val="32"/>
          <w:lang w:val="en-US" w:eastAsia="zh-CN"/>
          <w:highlight w:val="auto"/>
        </w:rPr>
        <w:t>7</w:t>
      </w:r>
      <w:r>
        <w:rPr>
          <w:rFonts w:ascii="仿宋_GB2312" w:eastAsia="仿宋_GB2312" w:cs="仿宋_GB2312" w:hint="eastAsia"/>
          <w:color w:val="auto"/>
          <w:kern w:val="0"/>
          <w:sz w:val="32"/>
          <w:szCs w:val="32"/>
          <w:lang w:val="zh-CN" w:eastAsia="zh-CN"/>
          <w:highlight w:val="auto"/>
        </w:rPr>
        <w:t>个，涉及预算总金额</w:t>
      </w:r>
      <w:r>
        <w:rPr>
          <w:rFonts w:ascii="仿宋_GB2312" w:eastAsia="仿宋_GB2312" w:cs="仿宋_GB2312" w:hint="eastAsia"/>
          <w:color w:val="auto"/>
          <w:kern w:val="0"/>
          <w:sz w:val="32"/>
          <w:szCs w:val="32"/>
          <w:lang w:val="en-US" w:eastAsia="zh-CN"/>
          <w:highlight w:val="auto"/>
        </w:rPr>
        <w:t xml:space="preserve">  259.88</w:t>
      </w:r>
      <w:r>
        <w:rPr>
          <w:rFonts w:ascii="仿宋_GB2312" w:eastAsia="仿宋_GB2312" w:cs="仿宋_GB2312" w:hint="eastAsia"/>
          <w:color w:val="auto"/>
          <w:kern w:val="0"/>
          <w:sz w:val="32"/>
          <w:szCs w:val="32"/>
          <w:lang w:val="zh-CN" w:eastAsia="zh-CN"/>
          <w:highlight w:val="auto"/>
        </w:rPr>
        <w:t>万元，1—1</w:t>
      </w:r>
      <w:r>
        <w:rPr>
          <w:rFonts w:ascii="仿宋_GB2312" w:eastAsia="仿宋_GB2312" w:cs="仿宋_GB2312" w:hint="eastAsia"/>
          <w:color w:val="auto"/>
          <w:kern w:val="0"/>
          <w:sz w:val="32"/>
          <w:szCs w:val="32"/>
          <w:lang w:val="en-US" w:eastAsia="zh-CN"/>
          <w:highlight w:val="auto"/>
        </w:rPr>
        <w:t>2</w:t>
      </w:r>
      <w:r>
        <w:rPr>
          <w:rFonts w:ascii="仿宋_GB2312" w:eastAsia="仿宋_GB2312" w:cs="仿宋_GB2312" w:hint="eastAsia"/>
          <w:color w:val="auto"/>
          <w:kern w:val="0"/>
          <w:sz w:val="32"/>
          <w:szCs w:val="32"/>
          <w:lang w:val="zh-CN" w:eastAsia="zh-CN"/>
          <w:highlight w:val="auto"/>
        </w:rPr>
        <w:t>月预算执行总体进度为</w:t>
      </w:r>
      <w:r>
        <w:rPr>
          <w:rFonts w:ascii="仿宋_GB2312" w:eastAsia="仿宋_GB2312" w:cs="仿宋_GB2312" w:hint="eastAsia"/>
          <w:color w:val="auto"/>
          <w:kern w:val="0"/>
          <w:sz w:val="32"/>
          <w:szCs w:val="32"/>
          <w:lang w:val="en-US" w:eastAsia="zh-CN"/>
          <w:highlight w:val="auto"/>
        </w:rPr>
        <w:t>100</w:t>
      </w:r>
      <w:r>
        <w:rPr>
          <w:rFonts w:ascii="仿宋_GB2312" w:eastAsia="仿宋_GB2312" w:cs="仿宋_GB2312" w:hint="eastAsia"/>
          <w:color w:val="auto"/>
          <w:kern w:val="0"/>
          <w:sz w:val="32"/>
          <w:szCs w:val="32"/>
          <w:lang w:val="zh-CN" w:eastAsia="zh-CN"/>
          <w:highlight w:val="auto"/>
        </w:rPr>
        <w:t>%，其中：预算结余率大于</w:t>
      </w:r>
      <w:r>
        <w:rPr>
          <w:rFonts w:ascii="仿宋_GB2312" w:eastAsia="仿宋_GB2312" w:cs="仿宋_GB2312" w:hint="eastAsia"/>
          <w:color w:val="auto"/>
          <w:kern w:val="0"/>
          <w:sz w:val="32"/>
          <w:szCs w:val="32"/>
          <w:lang w:val="en-US" w:eastAsia="zh-CN"/>
          <w:highlight w:val="auto"/>
        </w:rPr>
        <w:t>10%</w:t>
      </w:r>
      <w:r>
        <w:rPr>
          <w:rFonts w:ascii="仿宋_GB2312" w:eastAsia="仿宋_GB2312" w:cs="仿宋_GB2312" w:hint="eastAsia"/>
          <w:color w:val="auto"/>
          <w:kern w:val="0"/>
          <w:sz w:val="32"/>
          <w:szCs w:val="32"/>
          <w:lang w:val="zh-CN" w:eastAsia="zh-CN"/>
          <w:highlight w:val="auto"/>
        </w:rPr>
        <w:t>的项目共计</w:t>
      </w:r>
      <w:r>
        <w:rPr>
          <w:rFonts w:ascii="仿宋_GB2312" w:eastAsia="仿宋_GB2312" w:cs="仿宋_GB2312" w:hint="eastAsia"/>
          <w:color w:val="auto"/>
          <w:kern w:val="0"/>
          <w:sz w:val="32"/>
          <w:szCs w:val="32"/>
          <w:lang w:val="en-US" w:eastAsia="zh-CN"/>
          <w:highlight w:val="auto"/>
        </w:rPr>
        <w:t>0</w:t>
      </w:r>
      <w:r>
        <w:rPr>
          <w:rFonts w:ascii="仿宋_GB2312" w:eastAsia="仿宋_GB2312" w:cs="仿宋_GB2312" w:hint="eastAsia"/>
          <w:color w:val="auto"/>
          <w:kern w:val="0"/>
          <w:sz w:val="32"/>
          <w:szCs w:val="32"/>
          <w:lang w:val="zh-CN" w:eastAsia="zh-CN"/>
          <w:highlight w:val="auto"/>
        </w:rPr>
        <w:t>个。</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阶段（一次性）项目绩效分析。</w:t>
      </w:r>
      <w:r>
        <w:rPr>
          <w:rFonts w:ascii="仿宋_GB2312" w:eastAsia="仿宋_GB2312" w:cs="仿宋_GB2312" w:hint="eastAsia"/>
          <w:color w:val="auto"/>
          <w:kern w:val="0"/>
          <w:sz w:val="32"/>
          <w:szCs w:val="32"/>
          <w:lang w:val="zh-CN" w:eastAsia="zh-CN"/>
          <w:highlight w:val="auto"/>
        </w:rPr>
        <w:t>该类项目总数</w:t>
      </w:r>
      <w:r>
        <w:rPr>
          <w:rFonts w:ascii="仿宋_GB2312" w:eastAsia="仿宋_GB2312" w:cs="仿宋_GB2312" w:hint="eastAsia"/>
          <w:color w:val="auto"/>
          <w:kern w:val="0"/>
          <w:sz w:val="32"/>
          <w:szCs w:val="32"/>
          <w:lang w:val="en-US" w:eastAsia="zh-CN"/>
          <w:highlight w:val="auto"/>
        </w:rPr>
        <w:t>7</w:t>
      </w:r>
      <w:r>
        <w:rPr>
          <w:rFonts w:ascii="仿宋_GB2312" w:eastAsia="仿宋_GB2312" w:cs="仿宋_GB2312" w:hint="eastAsia"/>
          <w:color w:val="auto"/>
          <w:kern w:val="0"/>
          <w:sz w:val="32"/>
          <w:szCs w:val="32"/>
          <w:lang w:val="zh-CN" w:eastAsia="zh-CN"/>
          <w:highlight w:val="auto"/>
        </w:rPr>
        <w:t>个，涉及预算总金额</w:t>
      </w:r>
      <w:r>
        <w:rPr>
          <w:rFonts w:ascii="仿宋_GB2312" w:eastAsia="仿宋_GB2312" w:cs="仿宋_GB2312" w:hint="eastAsia"/>
          <w:color w:val="auto"/>
          <w:kern w:val="0"/>
          <w:sz w:val="32"/>
          <w:szCs w:val="32"/>
          <w:lang w:val="en-US" w:eastAsia="zh-CN"/>
          <w:highlight w:val="auto"/>
        </w:rPr>
        <w:t>259.88</w:t>
      </w:r>
      <w:r>
        <w:rPr>
          <w:rFonts w:ascii="仿宋_GB2312" w:eastAsia="仿宋_GB2312" w:cs="仿宋_GB2312" w:hint="eastAsia"/>
          <w:color w:val="auto"/>
          <w:kern w:val="0"/>
          <w:sz w:val="32"/>
          <w:szCs w:val="32"/>
          <w:lang w:val="zh-CN" w:eastAsia="zh-CN"/>
          <w:highlight w:val="auto"/>
        </w:rPr>
        <w:t>万元，1—1</w:t>
      </w:r>
      <w:r>
        <w:rPr>
          <w:rFonts w:ascii="仿宋_GB2312" w:eastAsia="仿宋_GB2312" w:cs="仿宋_GB2312" w:hint="eastAsia"/>
          <w:color w:val="auto"/>
          <w:kern w:val="0"/>
          <w:sz w:val="32"/>
          <w:szCs w:val="32"/>
          <w:lang w:val="en-US" w:eastAsia="zh-CN"/>
          <w:highlight w:val="auto"/>
        </w:rPr>
        <w:t>2</w:t>
      </w:r>
      <w:r>
        <w:rPr>
          <w:rFonts w:ascii="仿宋_GB2312" w:eastAsia="仿宋_GB2312" w:cs="仿宋_GB2312" w:hint="eastAsia"/>
          <w:color w:val="auto"/>
          <w:kern w:val="0"/>
          <w:sz w:val="32"/>
          <w:szCs w:val="32"/>
          <w:lang w:val="zh-CN" w:eastAsia="zh-CN"/>
          <w:highlight w:val="auto"/>
        </w:rPr>
        <w:t>月预算执行总体进度为</w:t>
      </w:r>
      <w:r>
        <w:rPr>
          <w:rFonts w:ascii="仿宋_GB2312" w:eastAsia="仿宋_GB2312" w:cs="仿宋_GB2312" w:hint="eastAsia"/>
          <w:color w:val="auto"/>
          <w:kern w:val="0"/>
          <w:sz w:val="32"/>
          <w:szCs w:val="32"/>
          <w:lang w:val="en-US" w:eastAsia="zh-CN"/>
          <w:highlight w:val="auto"/>
        </w:rPr>
        <w:t xml:space="preserve">100 </w:t>
      </w:r>
      <w:r>
        <w:rPr>
          <w:rFonts w:ascii="仿宋_GB2312" w:eastAsia="仿宋_GB2312" w:cs="仿宋_GB2312" w:hint="eastAsia"/>
          <w:color w:val="auto"/>
          <w:kern w:val="0"/>
          <w:sz w:val="32"/>
          <w:szCs w:val="32"/>
          <w:lang w:val="zh-CN" w:eastAsia="zh-CN"/>
          <w:highlight w:val="auto"/>
        </w:rPr>
        <w:t>%，其中：预算结余率大于</w:t>
      </w:r>
      <w:r>
        <w:rPr>
          <w:rFonts w:ascii="仿宋_GB2312" w:eastAsia="仿宋_GB2312" w:cs="仿宋_GB2312" w:hint="eastAsia"/>
          <w:color w:val="auto"/>
          <w:kern w:val="0"/>
          <w:sz w:val="32"/>
          <w:szCs w:val="32"/>
          <w:lang w:val="en-US" w:eastAsia="zh-CN"/>
          <w:highlight w:val="auto"/>
        </w:rPr>
        <w:t>10%</w:t>
      </w:r>
      <w:r>
        <w:rPr>
          <w:rFonts w:ascii="仿宋_GB2312" w:eastAsia="仿宋_GB2312" w:cs="仿宋_GB2312" w:hint="eastAsia"/>
          <w:color w:val="auto"/>
          <w:kern w:val="0"/>
          <w:sz w:val="32"/>
          <w:szCs w:val="32"/>
          <w:lang w:val="zh-CN" w:eastAsia="zh-CN"/>
          <w:highlight w:val="auto"/>
        </w:rPr>
        <w:t>的项目共计</w:t>
      </w:r>
      <w:r>
        <w:rPr>
          <w:rFonts w:ascii="仿宋_GB2312" w:eastAsia="仿宋_GB2312" w:cs="仿宋_GB2312" w:hint="eastAsia"/>
          <w:color w:val="auto"/>
          <w:kern w:val="0"/>
          <w:sz w:val="32"/>
          <w:szCs w:val="32"/>
          <w:lang w:val="en-US" w:eastAsia="zh-CN"/>
          <w:highlight w:val="auto"/>
        </w:rPr>
        <w:t>0</w:t>
      </w:r>
      <w:r>
        <w:rPr>
          <w:rFonts w:ascii="仿宋_GB2312" w:eastAsia="仿宋_GB2312" w:cs="仿宋_GB2312" w:hint="eastAsia"/>
          <w:color w:val="auto"/>
          <w:kern w:val="0"/>
          <w:sz w:val="32"/>
          <w:szCs w:val="32"/>
          <w:lang w:val="zh-CN" w:eastAsia="zh-CN"/>
          <w:highlight w:val="auto"/>
        </w:rPr>
        <w:t>个。</w:t>
      </w:r>
    </w:p>
    <w:p>
      <w:pPr>
        <w:pageBreakBefore w:val="0"/>
        <w:widowControl w:val="0"/>
        <w:kinsoku/>
        <w:wordWrap/>
        <w:overflowPunct/>
        <w:topLinePunct w:val="0"/>
        <w:autoSpaceDE/>
        <w:autoSpaceDN/>
        <w:bidi w:val="0"/>
        <w:snapToGrid w:val="0"/>
        <w:spacing w:line="560" w:lineRule="exact"/>
        <w:ind w:left="0" w:firstLineChars="200" w:firstLine="640"/>
        <w:rPr>
          <w:rFonts w:ascii="仿宋_GB2312" w:eastAsia="仿宋_GB2312" w:cs="仿宋_GB2312" w:hint="eastAsia"/>
          <w:b/>
          <w:bCs/>
          <w:color w:val="auto"/>
          <w:kern w:val="0"/>
          <w:sz w:val="32"/>
          <w:szCs w:val="32"/>
          <w:shd w:val="clear" w:color="auto" w:fill="FFFFFF"/>
          <w:lang w:val="zh-CN"/>
          <w:highlight w:val="auto"/>
        </w:rPr>
      </w:pPr>
      <w:r>
        <w:rPr>
          <w:rFonts w:ascii="仿宋_GB2312" w:eastAsia="仿宋_GB2312" w:cs="仿宋_GB2312" w:hint="eastAsia"/>
          <w:b/>
          <w:bCs/>
          <w:color w:val="auto"/>
          <w:kern w:val="0"/>
          <w:sz w:val="32"/>
          <w:szCs w:val="32"/>
          <w:shd w:val="clear" w:color="auto" w:fill="FFFFFF"/>
          <w:lang w:val="en-US" w:eastAsia="zh-CN"/>
          <w:highlight w:val="auto"/>
        </w:rPr>
        <w:t>1.</w:t>
      </w:r>
      <w:r>
        <w:rPr>
          <w:rFonts w:ascii="仿宋_GB2312" w:eastAsia="仿宋_GB2312" w:cs="仿宋_GB2312" w:hint="eastAsia"/>
          <w:b/>
          <w:bCs/>
          <w:color w:val="auto"/>
          <w:kern w:val="0"/>
          <w:sz w:val="32"/>
          <w:szCs w:val="32"/>
          <w:shd w:val="clear" w:color="auto" w:fill="FFFFFF"/>
          <w:lang w:val="zh-CN"/>
          <w:highlight w:val="auto"/>
        </w:rPr>
        <w:t>项目决策。指标分值</w:t>
      </w:r>
      <w:r>
        <w:rPr>
          <w:rFonts w:ascii="仿宋_GB2312" w:eastAsia="仿宋_GB2312" w:cs="仿宋_GB2312" w:hint="eastAsia"/>
          <w:b/>
          <w:bCs/>
          <w:color w:val="auto"/>
          <w:kern w:val="0"/>
          <w:sz w:val="32"/>
          <w:szCs w:val="32"/>
          <w:shd w:val="clear" w:color="auto" w:fill="FFFFFF"/>
          <w:lang w:val="en-US" w:eastAsia="zh-CN"/>
          <w:highlight w:val="auto"/>
        </w:rPr>
        <w:t>12</w:t>
      </w:r>
      <w:r>
        <w:rPr>
          <w:rFonts w:ascii="仿宋_GB2312" w:eastAsia="仿宋_GB2312" w:cs="仿宋_GB2312" w:hint="eastAsia"/>
          <w:b/>
          <w:bCs/>
          <w:color w:val="auto"/>
          <w:kern w:val="0"/>
          <w:sz w:val="32"/>
          <w:szCs w:val="32"/>
          <w:shd w:val="clear" w:color="auto" w:fill="FFFFFF"/>
          <w:lang w:val="zh-CN"/>
          <w:highlight w:val="auto"/>
        </w:rPr>
        <w:t>分，自评得分</w:t>
      </w:r>
      <w:r>
        <w:rPr>
          <w:rFonts w:ascii="仿宋_GB2312" w:eastAsia="仿宋_GB2312" w:cs="仿宋_GB2312" w:hint="eastAsia"/>
          <w:b/>
          <w:bCs/>
          <w:color w:val="auto"/>
          <w:kern w:val="0"/>
          <w:sz w:val="32"/>
          <w:szCs w:val="32"/>
          <w:shd w:val="clear" w:color="auto" w:fill="FFFFFF"/>
          <w:lang w:val="en-US" w:eastAsia="zh-CN"/>
          <w:highlight w:val="auto"/>
        </w:rPr>
        <w:t>12</w:t>
      </w:r>
      <w:r>
        <w:rPr>
          <w:rFonts w:ascii="仿宋_GB2312" w:eastAsia="仿宋_GB2312" w:cs="仿宋_GB2312" w:hint="eastAsia"/>
          <w:b/>
          <w:bCs/>
          <w:color w:val="auto"/>
          <w:kern w:val="0"/>
          <w:sz w:val="32"/>
          <w:szCs w:val="32"/>
          <w:shd w:val="clear" w:color="auto" w:fill="FFFFFF"/>
          <w:lang w:val="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决策程序;我中心从项目立项必要性、投入经济性、目标合理性、实施可行性、筹资合规性。</w:t>
      </w:r>
      <w:r>
        <w:rPr>
          <w:rFonts w:ascii="仿宋_GB2312" w:eastAsia="仿宋_GB2312" w:cs="仿宋_GB2312" w:hint="eastAsia"/>
          <w:color w:val="auto"/>
          <w:kern w:val="0"/>
          <w:sz w:val="32"/>
          <w:szCs w:val="32"/>
          <w:lang w:val="zh-CN" w:eastAsia="zh-CN"/>
          <w:highlight w:val="auto"/>
        </w:rPr>
        <w:t>按照厉行节约的要求，结合项目开支情况结合实际需求、相关费用标准及市场价格水平，重点对目标数量是否合理、投入是否经济、预算测算是否准确、测算过程是否详细、测算依据是否充分等方面进行了分析。确定项目实施。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项目入库；我单位按照项目建设要求在规定时间完成项目入库。指标分值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目标设置</w:t>
      </w:r>
      <w:r>
        <w:rPr>
          <w:rFonts w:ascii="仿宋_GB2312" w:eastAsia="仿宋_GB2312" w:cs="仿宋_GB2312" w:hint="eastAsia"/>
          <w:color w:val="auto"/>
          <w:kern w:val="0"/>
          <w:sz w:val="32"/>
          <w:szCs w:val="32"/>
          <w:lang w:val="en-US" w:eastAsia="zh-CN"/>
          <w:highlight w:val="auto"/>
        </w:rPr>
        <w:t>:</w:t>
      </w:r>
      <w:r>
        <w:rPr>
          <w:rFonts w:ascii="仿宋_GB2312" w:eastAsia="仿宋_GB2312" w:cs="仿宋_GB2312" w:hint="eastAsia"/>
          <w:color w:val="auto"/>
          <w:kern w:val="0"/>
          <w:sz w:val="32"/>
          <w:szCs w:val="32"/>
          <w:lang w:val="zh-CN" w:eastAsia="zh-CN"/>
          <w:highlight w:val="auto"/>
        </w:rPr>
        <w:t>申报的资金项目内容与具体实施内容相符的、申报目标是合理可行。指标分值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pageBreakBefore w:val="0"/>
        <w:widowControl w:val="0"/>
        <w:kinsoku/>
        <w:wordWrap/>
        <w:overflowPunct/>
        <w:topLinePunct w:val="0"/>
        <w:autoSpaceDE/>
        <w:autoSpaceDN/>
        <w:bidi w:val="0"/>
        <w:snapToGrid w:val="0"/>
        <w:spacing w:line="560" w:lineRule="exact"/>
        <w:ind w:left="0" w:firstLineChars="200" w:firstLine="640"/>
        <w:rPr>
          <w:rFonts w:ascii="仿宋_GB2312" w:eastAsia="仿宋_GB2312" w:cs="仿宋_GB2312" w:hint="eastAsia"/>
          <w:b/>
          <w:bCs/>
          <w:color w:val="auto"/>
          <w:kern w:val="0"/>
          <w:sz w:val="32"/>
          <w:szCs w:val="32"/>
          <w:shd w:val="clear" w:color="auto" w:fill="FFFFFF"/>
          <w:lang w:val="zh-CN" w:eastAsia="zh-CN"/>
          <w:highlight w:val="auto"/>
        </w:rPr>
      </w:pPr>
      <w:r>
        <w:rPr>
          <w:rFonts w:ascii="仿宋_GB2312" w:eastAsia="仿宋_GB2312" w:cs="仿宋_GB2312" w:hint="eastAsia"/>
          <w:b/>
          <w:bCs/>
          <w:color w:val="auto"/>
          <w:kern w:val="0"/>
          <w:sz w:val="32"/>
          <w:szCs w:val="32"/>
          <w:shd w:val="clear" w:color="auto" w:fill="FFFFFF"/>
          <w:lang w:val="en-US" w:eastAsia="zh-CN"/>
          <w:highlight w:val="auto"/>
        </w:rPr>
        <w:t>2.项目执行</w:t>
      </w:r>
      <w:r>
        <w:rPr>
          <w:rFonts w:ascii="仿宋_GB2312" w:eastAsia="仿宋_GB2312" w:cs="仿宋_GB2312" w:hint="eastAsia"/>
          <w:b/>
          <w:bCs/>
          <w:color w:val="auto"/>
          <w:kern w:val="0"/>
          <w:sz w:val="32"/>
          <w:szCs w:val="32"/>
          <w:shd w:val="clear" w:color="auto" w:fill="FFFFFF"/>
          <w:lang w:val="zh-CN" w:eastAsia="zh-CN"/>
          <w:highlight w:val="auto"/>
        </w:rPr>
        <w:t>。指标分值</w:t>
      </w:r>
      <w:r>
        <w:rPr>
          <w:rFonts w:ascii="仿宋_GB2312" w:eastAsia="仿宋_GB2312" w:cs="仿宋_GB2312" w:hint="eastAsia"/>
          <w:b/>
          <w:bCs/>
          <w:color w:val="auto"/>
          <w:kern w:val="0"/>
          <w:sz w:val="32"/>
          <w:szCs w:val="32"/>
          <w:shd w:val="clear" w:color="auto" w:fill="FFFFFF"/>
          <w:lang w:val="en-US" w:eastAsia="zh-CN"/>
          <w:highlight w:val="auto"/>
        </w:rPr>
        <w:t>12</w:t>
      </w:r>
      <w:r>
        <w:rPr>
          <w:rFonts w:ascii="仿宋_GB2312" w:eastAsia="仿宋_GB2312" w:cs="仿宋_GB2312" w:hint="eastAsia"/>
          <w:b/>
          <w:bCs/>
          <w:color w:val="auto"/>
          <w:kern w:val="0"/>
          <w:sz w:val="32"/>
          <w:szCs w:val="32"/>
          <w:shd w:val="clear" w:color="auto" w:fill="FFFFFF"/>
          <w:lang w:val="zh-CN" w:eastAsia="zh-CN"/>
          <w:highlight w:val="auto"/>
        </w:rPr>
        <w:t>分，自评得分</w:t>
      </w:r>
      <w:r>
        <w:rPr>
          <w:rFonts w:ascii="仿宋_GB2312" w:eastAsia="仿宋_GB2312" w:cs="仿宋_GB2312" w:hint="eastAsia"/>
          <w:b/>
          <w:bCs/>
          <w:color w:val="auto"/>
          <w:kern w:val="0"/>
          <w:sz w:val="32"/>
          <w:szCs w:val="32"/>
          <w:shd w:val="clear" w:color="auto" w:fill="FFFFFF"/>
          <w:lang w:val="en-US" w:eastAsia="zh-CN"/>
          <w:highlight w:val="auto"/>
        </w:rPr>
        <w:t>12</w:t>
      </w:r>
      <w:r>
        <w:rPr>
          <w:rFonts w:ascii="仿宋_GB2312" w:eastAsia="仿宋_GB2312" w:cs="仿宋_GB2312" w:hint="eastAsia"/>
          <w:b/>
          <w:bCs/>
          <w:color w:val="auto"/>
          <w:kern w:val="0"/>
          <w:sz w:val="32"/>
          <w:szCs w:val="32"/>
          <w:shd w:val="clear" w:color="auto" w:fill="FFFFFF"/>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执行同向：各项目实际列支内容是否与绩效目标设置方向相符。项目组织管理架构及具体实施流程，包括机构设置、监管措施、执行相关管理制度等符合相关规定。</w:t>
      </w:r>
      <w:r>
        <w:rPr>
          <w:rFonts w:ascii="仿宋_GB2312" w:eastAsia="仿宋_GB2312" w:cs="仿宋_GB2312" w:hint="eastAsia"/>
          <w:color w:val="auto"/>
          <w:kern w:val="0"/>
          <w:sz w:val="32"/>
          <w:szCs w:val="32"/>
          <w:lang w:val="zh-CN" w:eastAsia="zh-CN"/>
          <w:highlight w:val="auto"/>
        </w:rPr>
        <w:t>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en-US" w:eastAsia="zh-CN"/>
          <w:highlight w:val="auto"/>
        </w:rPr>
        <w:t>项目调整：按照县委资金分配，设立项目，未调整。</w:t>
      </w:r>
      <w:r>
        <w:rPr>
          <w:rFonts w:ascii="仿宋_GB2312" w:eastAsia="仿宋_GB2312" w:cs="仿宋_GB2312" w:hint="eastAsia"/>
          <w:color w:val="auto"/>
          <w:kern w:val="0"/>
          <w:sz w:val="32"/>
          <w:szCs w:val="32"/>
          <w:lang w:val="zh-CN" w:eastAsia="zh-CN"/>
          <w:highlight w:val="auto"/>
        </w:rPr>
        <w:t>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执行结果：资金开支范围、标准及支付进度，支付依据合规合法，资金支付与预算相符。</w:t>
      </w:r>
      <w:r>
        <w:rPr>
          <w:rFonts w:ascii="仿宋_GB2312" w:eastAsia="仿宋_GB2312" w:cs="仿宋_GB2312" w:hint="eastAsia"/>
          <w:color w:val="auto"/>
          <w:kern w:val="0"/>
          <w:sz w:val="32"/>
          <w:szCs w:val="32"/>
          <w:lang w:val="zh-CN" w:eastAsia="zh-CN"/>
          <w:highlight w:val="auto"/>
        </w:rPr>
        <w:t>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pageBreakBefore w:val="0"/>
        <w:widowControl w:val="0"/>
        <w:kinsoku/>
        <w:wordWrap/>
        <w:overflowPunct/>
        <w:topLinePunct w:val="0"/>
        <w:autoSpaceDE/>
        <w:autoSpaceDN/>
        <w:bidi w:val="0"/>
        <w:snapToGrid w:val="0"/>
        <w:spacing w:line="560" w:lineRule="exact"/>
        <w:ind w:left="0" w:firstLineChars="200" w:firstLine="640"/>
        <w:rPr>
          <w:rFonts w:ascii="仿宋_GB2312" w:eastAsia="仿宋_GB2312" w:cs="仿宋_GB2312" w:hint="eastAsia"/>
          <w:b/>
          <w:bCs/>
          <w:color w:val="auto"/>
          <w:kern w:val="0"/>
          <w:sz w:val="32"/>
          <w:szCs w:val="32"/>
          <w:shd w:val="clear" w:color="auto" w:fill="FFFFFF"/>
          <w:lang w:val="zh-CN" w:eastAsia="zh-CN"/>
          <w:highlight w:val="auto"/>
        </w:rPr>
      </w:pPr>
      <w:r>
        <w:rPr>
          <w:rFonts w:ascii="仿宋_GB2312" w:eastAsia="仿宋_GB2312" w:cs="仿宋_GB2312" w:hint="eastAsia"/>
          <w:b/>
          <w:bCs/>
          <w:color w:val="auto"/>
          <w:kern w:val="0"/>
          <w:sz w:val="32"/>
          <w:szCs w:val="32"/>
          <w:shd w:val="clear" w:color="auto" w:fill="FFFFFF"/>
          <w:lang w:val="en-US" w:eastAsia="zh-CN"/>
          <w:highlight w:val="auto"/>
        </w:rPr>
        <w:t>3.</w:t>
      </w:r>
      <w:r>
        <w:rPr>
          <w:rFonts w:ascii="仿宋_GB2312" w:eastAsia="仿宋_GB2312" w:cs="仿宋_GB2312" w:hint="eastAsia"/>
          <w:b/>
          <w:bCs/>
          <w:color w:val="auto"/>
          <w:kern w:val="0"/>
          <w:sz w:val="32"/>
          <w:szCs w:val="32"/>
          <w:shd w:val="clear" w:color="auto" w:fill="FFFFFF"/>
          <w:lang w:val="zh-CN" w:eastAsia="zh-CN"/>
          <w:highlight w:val="auto"/>
        </w:rPr>
        <w:t>目标实现。指标分值</w:t>
      </w:r>
      <w:r>
        <w:rPr>
          <w:rFonts w:ascii="仿宋_GB2312" w:eastAsia="仿宋_GB2312" w:cs="仿宋_GB2312" w:hint="eastAsia"/>
          <w:b/>
          <w:bCs/>
          <w:color w:val="auto"/>
          <w:kern w:val="0"/>
          <w:sz w:val="32"/>
          <w:szCs w:val="32"/>
          <w:shd w:val="clear" w:color="auto" w:fill="FFFFFF"/>
          <w:lang w:val="en-US" w:eastAsia="zh-CN"/>
          <w:highlight w:val="auto"/>
        </w:rPr>
        <w:t>11</w:t>
      </w:r>
      <w:r>
        <w:rPr>
          <w:rFonts w:ascii="仿宋_GB2312" w:eastAsia="仿宋_GB2312" w:cs="仿宋_GB2312" w:hint="eastAsia"/>
          <w:b/>
          <w:bCs/>
          <w:color w:val="auto"/>
          <w:kern w:val="0"/>
          <w:sz w:val="32"/>
          <w:szCs w:val="32"/>
          <w:shd w:val="clear" w:color="auto" w:fill="FFFFFF"/>
          <w:lang w:val="zh-CN" w:eastAsia="zh-CN"/>
          <w:highlight w:val="auto"/>
        </w:rPr>
        <w:t>分，自评得分</w:t>
      </w:r>
      <w:r>
        <w:rPr>
          <w:rFonts w:ascii="仿宋_GB2312" w:eastAsia="仿宋_GB2312" w:cs="仿宋_GB2312" w:hint="eastAsia"/>
          <w:b/>
          <w:bCs/>
          <w:color w:val="auto"/>
          <w:kern w:val="0"/>
          <w:sz w:val="32"/>
          <w:szCs w:val="32"/>
          <w:shd w:val="clear" w:color="auto" w:fill="FFFFFF"/>
          <w:lang w:val="en-US" w:eastAsia="zh-CN"/>
          <w:highlight w:val="auto"/>
        </w:rPr>
        <w:t>11</w:t>
      </w:r>
      <w:r>
        <w:rPr>
          <w:rFonts w:ascii="仿宋_GB2312" w:eastAsia="仿宋_GB2312" w:cs="仿宋_GB2312" w:hint="eastAsia"/>
          <w:b/>
          <w:bCs/>
          <w:color w:val="auto"/>
          <w:kern w:val="0"/>
          <w:sz w:val="32"/>
          <w:szCs w:val="32"/>
          <w:shd w:val="clear" w:color="auto" w:fill="FFFFFF"/>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目标完成：项目从经济、社会、生态、可持续效益以及服务对象满意度等方面科学制定目标任务。截止</w:t>
      </w:r>
      <w:r>
        <w:rPr>
          <w:rFonts w:ascii="仿宋_GB2312" w:eastAsia="仿宋_GB2312" w:cs="仿宋_GB2312" w:hint="eastAsia"/>
          <w:color w:val="auto"/>
          <w:kern w:val="0"/>
          <w:sz w:val="32"/>
          <w:szCs w:val="32"/>
          <w:lang w:val="en-US" w:eastAsia="zh-CN"/>
          <w:highlight w:val="auto"/>
        </w:rPr>
        <w:t>2024年年底</w:t>
      </w:r>
      <w:r>
        <w:rPr>
          <w:rFonts w:ascii="仿宋_GB2312" w:eastAsia="仿宋_GB2312" w:cs="仿宋_GB2312" w:hint="eastAsia"/>
          <w:color w:val="auto"/>
          <w:kern w:val="0"/>
          <w:sz w:val="32"/>
          <w:szCs w:val="32"/>
          <w:lang w:val="zh-CN" w:eastAsia="zh-CN"/>
          <w:highlight w:val="auto"/>
        </w:rPr>
        <w:t>项目按照目标任务完成数量、质量、时效、成本等计划完成目标。指标分值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目标偏离：预算项目绩效目标数量指标实现程度与预期目标的无偏离情况。各项目实际工作中达到预期的目标或标准，与设定的绩效目标之间不存在差异。指标分值</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实现效果：加快构建全方位、全过程、全覆盖预算绩效管理体系，财政资源配置效率和资金使用效益实现“双提升”。指标分值</w:t>
      </w: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hint="eastAsia"/>
          <w:color w:val="auto"/>
          <w:kern w:val="0"/>
          <w:sz w:val="32"/>
          <w:szCs w:val="32"/>
          <w:lang w:val="zh-CN" w:eastAsia="zh-CN"/>
          <w:highlight w:val="auto"/>
        </w:rPr>
        <w:t>分，自评得分</w:t>
      </w: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hint="eastAsia"/>
          <w:color w:val="auto"/>
          <w:kern w:val="0"/>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我单位不涉及2024年度国有资本经营预算、社会保险基金预算。</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2024年年度政府采购货物支出10万元，政府采购工程支出0万元，政府采购服务支出0万元。</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政府采购授予中小企业合同金额0万元，其中：授予小微企业合同金额0万元。</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hint="eastAsia"/>
          <w:b/>
          <w:bCs/>
          <w:color w:val="auto"/>
          <w:kern w:val="0"/>
          <w:sz w:val="32"/>
          <w:szCs w:val="32"/>
          <w:shd w:val="clear" w:color="auto" w:fill="FFFFFF"/>
          <w:lang w:val="zh-CN"/>
          <w:highlight w:val="auto"/>
        </w:rPr>
      </w:pPr>
      <w:r>
        <w:rPr>
          <w:rFonts w:eastAsia="楷体_GB2312" w:cs="Times New Roman" w:hint="eastAsia"/>
          <w:b/>
          <w:bCs/>
          <w:color w:val="auto"/>
          <w:kern w:val="0"/>
          <w:sz w:val="32"/>
          <w:szCs w:val="32"/>
          <w:shd w:val="clear" w:color="auto" w:fill="FFFFFF"/>
          <w:lang w:val="zh-CN"/>
          <w:highlight w:val="auto"/>
        </w:rPr>
        <w:t>（三）</w:t>
      </w:r>
      <w:r>
        <w:rPr>
          <w:rFonts w:ascii="Times New Roman" w:eastAsia="楷体_GB2312" w:cs="Times New Roman" w:hAnsi="Times New Roman"/>
          <w:b/>
          <w:bCs/>
          <w:color w:val="auto"/>
          <w:kern w:val="0"/>
          <w:sz w:val="32"/>
          <w:szCs w:val="32"/>
          <w:shd w:val="clear" w:color="auto" w:fill="FFFFFF"/>
          <w:lang w:val="zh-CN"/>
          <w:highlight w:val="auto"/>
        </w:rPr>
        <w:t>绩效结果应用情况</w:t>
      </w:r>
      <w:r>
        <w:rPr>
          <w:rFonts w:ascii="Times New Roman" w:eastAsia="楷体_GB2312" w:cs="Times New Roman" w:hAnsi="Times New Roman" w:hint="eastAsia"/>
          <w:b/>
          <w:bCs/>
          <w:color w:val="auto"/>
          <w:kern w:val="0"/>
          <w:sz w:val="32"/>
          <w:szCs w:val="32"/>
          <w:shd w:val="clear" w:color="auto" w:fill="FFFFFF"/>
          <w:lang w:val="zh-CN"/>
          <w:highlight w:val="auto"/>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我单位</w:t>
      </w:r>
      <w:r>
        <w:rPr>
          <w:rFonts w:ascii="仿宋_GB2312" w:eastAsia="仿宋_GB2312" w:cs="仿宋_GB2312" w:hint="eastAsia"/>
          <w:color w:val="auto"/>
          <w:kern w:val="0"/>
          <w:sz w:val="32"/>
          <w:szCs w:val="32"/>
          <w:lang w:val="en-US" w:eastAsia="zh-CN"/>
          <w:highlight w:val="auto"/>
        </w:rPr>
        <w:t>按要求在规定时间内</w:t>
      </w:r>
      <w:r>
        <w:rPr>
          <w:rFonts w:ascii="仿宋_GB2312" w:eastAsia="仿宋_GB2312" w:cs="仿宋_GB2312" w:hint="eastAsia"/>
          <w:color w:val="auto"/>
          <w:kern w:val="0"/>
          <w:sz w:val="32"/>
          <w:szCs w:val="32"/>
          <w:lang w:val="zh-CN" w:eastAsia="zh-CN"/>
          <w:highlight w:val="auto"/>
        </w:rPr>
        <w:t>在黑水县人民政府信息公开网站上公开了《</w:t>
      </w:r>
      <w:r>
        <w:rPr>
          <w:rFonts w:ascii="仿宋_GB2312" w:eastAsia="仿宋_GB2312" w:cs="仿宋_GB2312" w:hint="eastAsia"/>
          <w:color w:val="auto"/>
          <w:kern w:val="0"/>
          <w:sz w:val="32"/>
          <w:szCs w:val="32"/>
          <w:lang w:val="en-US" w:eastAsia="zh-CN"/>
          <w:highlight w:val="auto"/>
        </w:rPr>
        <w:t>黑水县公务服务中心</w:t>
      </w:r>
      <w:r>
        <w:rPr>
          <w:rFonts w:ascii="仿宋_GB2312" w:eastAsia="仿宋_GB2312" w:cs="仿宋_GB2312" w:hint="eastAsia"/>
          <w:color w:val="auto"/>
          <w:kern w:val="0"/>
          <w:sz w:val="32"/>
          <w:szCs w:val="32"/>
          <w:lang w:val="zh-CN" w:eastAsia="zh-CN"/>
          <w:highlight w:val="auto"/>
        </w:rPr>
        <w:t>202</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年预算编制说明》。</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绩效信息公开</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我单位在黑水县政府信息公开网站上公开了《202</w:t>
      </w: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hint="eastAsia"/>
          <w:color w:val="auto"/>
          <w:kern w:val="0"/>
          <w:sz w:val="32"/>
          <w:szCs w:val="32"/>
          <w:lang w:val="zh-CN" w:eastAsia="zh-CN"/>
          <w:highlight w:val="auto"/>
        </w:rPr>
        <w:t>年</w:t>
      </w:r>
      <w:r>
        <w:rPr>
          <w:rFonts w:ascii="仿宋_GB2312" w:eastAsia="仿宋_GB2312" w:cs="仿宋_GB2312" w:hint="eastAsia"/>
          <w:color w:val="auto"/>
          <w:kern w:val="0"/>
          <w:sz w:val="32"/>
          <w:szCs w:val="32"/>
          <w:lang w:val="en-US" w:eastAsia="zh-CN"/>
          <w:highlight w:val="auto"/>
        </w:rPr>
        <w:t>黑水县公务服务中心</w:t>
      </w:r>
      <w:r>
        <w:rPr>
          <w:rFonts w:ascii="仿宋_GB2312" w:eastAsia="仿宋_GB2312" w:cs="仿宋_GB2312" w:hint="eastAsia"/>
          <w:color w:val="auto"/>
          <w:kern w:val="0"/>
          <w:sz w:val="32"/>
          <w:szCs w:val="32"/>
          <w:lang w:val="zh-CN" w:eastAsia="zh-CN"/>
          <w:highlight w:val="auto"/>
        </w:rPr>
        <w:t>部门决算编制说明》，说明中公开了预算绩效管理工作开展情况，并公开了202</w:t>
      </w: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hint="eastAsia"/>
          <w:color w:val="auto"/>
          <w:kern w:val="0"/>
          <w:sz w:val="32"/>
          <w:szCs w:val="32"/>
          <w:lang w:val="zh-CN" w:eastAsia="zh-CN"/>
          <w:highlight w:val="auto"/>
        </w:rPr>
        <w:t>年整体支出绩效报告。</w:t>
      </w:r>
    </w:p>
    <w:p>
      <w:pPr>
        <w:keepNext w:val="0"/>
        <w:keepLines w:val="0"/>
        <w:pageBreakBefore w:val="0"/>
        <w:widowControl/>
        <w:kinsoku/>
        <w:wordWrap/>
        <w:overflowPunct/>
        <w:topLinePunct w:val="0"/>
        <w:autoSpaceDE/>
        <w:autoSpaceDN/>
        <w:bidi w:val="0"/>
        <w:adjustRightInd w:val="0"/>
        <w:snapToGrid w:val="0"/>
        <w:spacing w:line="560" w:lineRule="exact"/>
        <w:ind w:left="0" w:firstLineChars="300" w:firstLine="960"/>
        <w:contextualSpacing/>
        <w:jc w:val="left"/>
        <w:textAlignment w:val="auto"/>
        <w:outlineLvl w:val="9"/>
        <w:rPr>
          <w:rFonts w:ascii="Times New Roman" w:eastAsia="黑体" w:cs="Times New Roman" w:hAnsi="Times New Roman"/>
          <w:color w:val="auto"/>
          <w:kern w:val="0"/>
          <w:sz w:val="32"/>
          <w:szCs w:val="32"/>
          <w:shd w:val="clear" w:color="auto" w:fill="FFFFFF"/>
          <w:lang w:val="zh-CN"/>
          <w:highlight w:val="auto"/>
        </w:rPr>
      </w:pPr>
      <w:bookmarkStart w:id="0" w:name="_Hlk110546638"/>
      <w:r>
        <w:rPr>
          <w:rFonts w:ascii="Times New Roman" w:eastAsia="黑体" w:cs="Times New Roman" w:hAnsi="Times New Roman"/>
          <w:color w:val="auto"/>
          <w:kern w:val="0"/>
          <w:sz w:val="32"/>
          <w:szCs w:val="32"/>
          <w:shd w:val="clear" w:color="auto" w:fill="FFFFFF"/>
          <w:lang w:val="zh-CN" w:eastAsia="zh-CN"/>
          <w:highlight w:val="auto"/>
        </w:rPr>
        <w:t>四、</w:t>
      </w:r>
      <w:r>
        <w:rPr>
          <w:rFonts w:ascii="Times New Roman" w:eastAsia="黑体" w:cs="Times New Roman" w:hAnsi="Times New Roman"/>
          <w:color w:val="auto"/>
          <w:kern w:val="0"/>
          <w:sz w:val="32"/>
          <w:szCs w:val="32"/>
          <w:shd w:val="clear" w:color="auto" w:fill="FFFFFF"/>
          <w:lang w:val="zh-CN"/>
          <w:highlight w:val="auto"/>
        </w:rPr>
        <w:t>评价结论及建议</w:t>
      </w:r>
    </w:p>
    <w:p>
      <w:pPr>
        <w:pageBreakBefore w:val="0"/>
        <w:widowControl w:val="0"/>
        <w:kinsoku/>
        <w:wordWrap/>
        <w:overflowPunct/>
        <w:topLinePunct w:val="0"/>
        <w:autoSpaceDE/>
        <w:autoSpaceDN/>
        <w:bidi w:val="0"/>
        <w:spacing w:line="560" w:lineRule="exact"/>
        <w:ind w:firstLineChars="200" w:firstLine="640"/>
        <w:rPr>
          <w:rFonts w:ascii="仿宋_GB2312" w:eastAsia="仿宋_GB2312" w:cs="仿宋_GB2312" w:hint="eastAsia"/>
          <w:color w:val="auto"/>
          <w:kern w:val="0"/>
          <w:sz w:val="32"/>
          <w:szCs w:val="32"/>
          <w:lang w:val="en-US" w:eastAsia="zh-CN"/>
          <w:highlight w:val="auto"/>
        </w:rPr>
      </w:pPr>
      <w:r>
        <w:rPr>
          <w:rFonts w:ascii="Times New Roman" w:eastAsia="楷体_GB2312" w:cs="Times New Roman" w:hAnsi="Times New Roman"/>
          <w:b/>
          <w:bCs/>
          <w:color w:val="auto"/>
          <w:kern w:val="0"/>
          <w:sz w:val="32"/>
          <w:szCs w:val="32"/>
          <w:shd w:val="clear" w:color="auto" w:fill="FFFFFF"/>
          <w:lang w:val="zh-CN"/>
          <w:highlight w:val="auto"/>
        </w:rPr>
        <w:t>（一）评价结论。</w:t>
      </w:r>
      <w:r>
        <w:rPr>
          <w:rFonts w:ascii="仿宋_GB2312" w:eastAsia="仿宋_GB2312" w:cs="仿宋_GB2312" w:hint="eastAsia"/>
          <w:color w:val="auto"/>
          <w:kern w:val="0"/>
          <w:sz w:val="32"/>
          <w:szCs w:val="32"/>
          <w:lang w:val="zh-CN" w:eastAsia="zh-CN"/>
          <w:highlight w:val="auto"/>
        </w:rPr>
        <w:t>我中心严格对照评分标准，202</w:t>
      </w:r>
      <w:r>
        <w:rPr>
          <w:rFonts w:ascii="仿宋_GB2312" w:eastAsia="仿宋_GB2312" w:cs="仿宋_GB2312" w:hint="eastAsia"/>
          <w:color w:val="auto"/>
          <w:kern w:val="0"/>
          <w:sz w:val="32"/>
          <w:szCs w:val="32"/>
          <w:lang w:val="en-US" w:eastAsia="zh-CN"/>
          <w:highlight w:val="auto"/>
        </w:rPr>
        <w:t>4</w:t>
      </w:r>
      <w:r>
        <w:rPr>
          <w:rFonts w:ascii="仿宋_GB2312" w:eastAsia="仿宋_GB2312" w:cs="仿宋_GB2312" w:hint="eastAsia"/>
          <w:color w:val="auto"/>
          <w:kern w:val="0"/>
          <w:sz w:val="32"/>
          <w:szCs w:val="32"/>
          <w:lang w:val="zh-CN" w:eastAsia="zh-CN"/>
          <w:highlight w:val="auto"/>
        </w:rPr>
        <w:t>年度财政局部门整体支出绩效评价自评分数为</w:t>
      </w:r>
      <w:r>
        <w:rPr>
          <w:rFonts w:ascii="仿宋_GB2312" w:eastAsia="仿宋_GB2312" w:cs="仿宋_GB2312" w:hint="eastAsia"/>
          <w:color w:val="auto"/>
          <w:kern w:val="0"/>
          <w:sz w:val="32"/>
          <w:szCs w:val="32"/>
          <w:lang w:val="en-US" w:eastAsia="zh-CN"/>
          <w:highlight w:val="auto"/>
        </w:rPr>
        <w:t>97</w:t>
      </w:r>
      <w:r>
        <w:rPr>
          <w:rFonts w:ascii="仿宋_GB2312" w:eastAsia="仿宋_GB2312" w:cs="仿宋_GB2312" w:hint="eastAsia"/>
          <w:color w:val="auto"/>
          <w:kern w:val="0"/>
          <w:sz w:val="32"/>
          <w:szCs w:val="32"/>
          <w:lang w:val="zh-CN" w:eastAsia="zh-CN"/>
          <w:highlight w:val="auto"/>
        </w:rPr>
        <w:t>分（详情见附件）。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highlight w:val="auto"/>
        </w:rPr>
      </w:pPr>
      <w:r>
        <w:rPr>
          <w:rFonts w:ascii="Times New Roman" w:eastAsia="楷体_GB2312" w:cs="Times New Roman" w:hAnsi="Times New Roman"/>
          <w:b/>
          <w:bCs/>
          <w:color w:val="auto"/>
          <w:kern w:val="0"/>
          <w:sz w:val="32"/>
          <w:szCs w:val="32"/>
          <w:shd w:val="clear" w:color="auto" w:fill="FFFFFF"/>
          <w:lang w:val="zh-CN"/>
          <w:highlight w:val="auto"/>
        </w:rPr>
        <w:t>（二）存在问题。</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1、预算编制不够精确，财政资金紧张，存在中期调整取消资金的情况。</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zh-CN" w:eastAsia="zh-CN"/>
          <w:highlight w:val="auto"/>
        </w:rPr>
      </w:pPr>
      <w:r>
        <w:rPr>
          <w:rFonts w:ascii="仿宋_GB2312" w:eastAsia="仿宋_GB2312" w:cs="仿宋_GB2312" w:hint="eastAsia"/>
          <w:color w:val="auto"/>
          <w:kern w:val="0"/>
          <w:sz w:val="32"/>
          <w:szCs w:val="32"/>
          <w:lang w:val="zh-CN" w:eastAsia="zh-CN"/>
          <w:highlight w:val="auto"/>
        </w:rPr>
        <w:t>2、因本部门整体支出预算资金的安排及使用上有不可预见性。</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Times New Roman" w:eastAsia="楷体_GB2312" w:cs="Times New Roman" w:hAnsi="Times New Roman"/>
          <w:b/>
          <w:bCs/>
          <w:color w:val="auto"/>
          <w:kern w:val="0"/>
          <w:sz w:val="32"/>
          <w:szCs w:val="32"/>
          <w:shd w:val="clear" w:color="auto" w:fill="FFFFFF"/>
          <w:lang w:val="zh-CN" w:eastAsia="zh-CN"/>
          <w:highlight w:val="auto"/>
        </w:rPr>
      </w:pPr>
      <w:r>
        <w:rPr>
          <w:rFonts w:ascii="Times New Roman" w:eastAsia="楷体_GB2312" w:cs="Times New Roman" w:hAnsi="Times New Roman"/>
          <w:b/>
          <w:bCs/>
          <w:color w:val="auto"/>
          <w:kern w:val="0"/>
          <w:sz w:val="32"/>
          <w:szCs w:val="32"/>
          <w:shd w:val="clear" w:color="auto" w:fill="FFFFFF"/>
          <w:lang w:val="zh-CN" w:eastAsia="zh-CN"/>
          <w:highlight w:val="auto"/>
        </w:rPr>
        <w:t>（三）改进建议。</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一是重视绩效管理，切实履行好职责。努力提升工作绩效，围绕财政项目计划安排，合理使用财政资金，让财政监督职责发挥作用。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二是建立长效机制。把绩效评价作为部门内控的日常工作，建立绩效评价管理工作考核长效机制。科学设定绩效目标，加强预算执行管理。</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200" w:firstLine="640"/>
        <w:textAlignment w:val="auto"/>
        <w:rPr>
          <w:rFonts w:ascii="仿宋_GB2312" w:eastAsia="仿宋_GB2312" w:cs="仿宋_GB2312" w:hint="eastAsia"/>
          <w:color w:val="auto"/>
          <w:kern w:val="0"/>
          <w:sz w:val="32"/>
          <w:szCs w:val="32"/>
          <w:lang w:val="en-US" w:eastAsia="zh-CN"/>
          <w:highlight w:val="auto"/>
        </w:rPr>
      </w:pPr>
      <w:r>
        <w:rPr>
          <w:rFonts w:ascii="仿宋_GB2312" w:eastAsia="仿宋_GB2312" w:cs="仿宋_GB2312"/>
          <w:color w:val="auto"/>
          <w:kern w:val="0"/>
          <w:sz w:val="32"/>
          <w:szCs w:val="32"/>
          <w:lang w:val="en-US" w:eastAsia="zh-CN"/>
          <w:highlight w:val="auto"/>
        </w:rPr>
        <w:t>附表：</w:t>
      </w:r>
      <w:r>
        <w:rPr>
          <w:rFonts w:ascii="仿宋_GB2312" w:eastAsia="仿宋_GB2312" w:cs="仿宋_GB2312" w:hint="eastAsia"/>
          <w:color w:val="auto"/>
          <w:kern w:val="0"/>
          <w:sz w:val="32"/>
          <w:szCs w:val="32"/>
          <w:lang w:val="en-US" w:eastAsia="zh-CN"/>
          <w:highlight w:val="auto"/>
        </w:rPr>
        <w:t>1.部门预算绩效自评打分表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500" w:firstLine="160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2.</w:t>
      </w:r>
      <w:r>
        <w:rPr>
          <w:rFonts w:ascii="仿宋_GB2312" w:eastAsia="仿宋_GB2312" w:cs="仿宋_GB2312"/>
          <w:color w:val="auto"/>
          <w:kern w:val="0"/>
          <w:sz w:val="32"/>
          <w:szCs w:val="32"/>
          <w:lang w:val="en-US" w:eastAsia="zh-CN"/>
          <w:highlight w:val="auto"/>
        </w:rPr>
        <w:t>部门整体绩效目标完成情况自评表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Chars="500" w:firstLine="1600"/>
        <w:textAlignment w:val="auto"/>
        <w:rPr>
          <w:rFonts w:ascii="仿宋_GB2312" w:eastAsia="仿宋_GB2312" w:cs="仿宋_GB2312"/>
          <w:color w:val="auto"/>
          <w:kern w:val="0"/>
          <w:sz w:val="32"/>
          <w:szCs w:val="32"/>
          <w:lang w:val="en-US" w:eastAsia="zh-CN"/>
          <w:highlight w:val="auto"/>
        </w:rPr>
      </w:pPr>
      <w:r>
        <w:rPr>
          <w:rFonts w:ascii="仿宋_GB2312" w:eastAsia="仿宋_GB2312" w:cs="仿宋_GB2312" w:hint="eastAsia"/>
          <w:color w:val="auto"/>
          <w:kern w:val="0"/>
          <w:sz w:val="32"/>
          <w:szCs w:val="32"/>
          <w:lang w:val="en-US" w:eastAsia="zh-CN"/>
          <w:highlight w:val="auto"/>
        </w:rPr>
        <w:t>3.</w:t>
      </w:r>
      <w:r>
        <w:rPr>
          <w:rFonts w:ascii="仿宋_GB2312" w:eastAsia="仿宋_GB2312" w:cs="仿宋_GB2312"/>
          <w:color w:val="auto"/>
          <w:kern w:val="0"/>
          <w:sz w:val="32"/>
          <w:szCs w:val="32"/>
          <w:lang w:val="en-US" w:eastAsia="zh-CN"/>
          <w:highlight w:val="auto"/>
        </w:rPr>
        <w:t>部门预算项目支出绩效评价表（2024年度）</w:t>
      </w: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strike w:val="0"/>
          <w:dstrike w:val="0"/>
          <w:color w:val="auto"/>
          <w:sz w:val="18"/>
          <w:szCs w:val="18"/>
          <w:u w:val="none"/>
          <w:lang w:val="en-US" w:eastAsia="zh-CN"/>
          <w:highlight w:val="auto"/>
        </w:rPr>
      </w:pPr>
      <w:bookmarkStart w:id="1" w:name="_GoBack"/>
      <w:bookmarkEnd w:id="1"/>
      <w:r>
        <w:rPr>
          <w:rFonts w:ascii="宋体" w:eastAsia="宋体" w:cs="宋体" w:hint="eastAsia"/>
          <w:strike w:val="0"/>
          <w:dstrike w:val="0"/>
          <w:color w:val="auto"/>
          <w:sz w:val="18"/>
          <w:szCs w:val="18"/>
          <w:u w:val="none"/>
          <w:lang w:val="en-US" w:eastAsia="zh-CN"/>
          <w:highlight w:val="auto"/>
        </w:rPr>
        <w:t>附件1</w:t>
      </w:r>
    </w:p>
    <w:tbl>
      <w:tblPr>
        <w:jc w:val="left"/>
        <w:tblInd w:w="0" w:type="dxa"/>
        <w:tblW w:w="9056"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499"/>
        <w:gridCol w:w="7553"/>
        <w:gridCol w:w="455"/>
        <w:gridCol w:w="549"/>
      </w:tblGrid>
      <w:tr>
        <w:trPr>
          <w:trHeight w:val="630"/>
        </w:trPr>
        <w:tc>
          <w:tcPr>
            <w:tcW w:w="499" w:type="dxa"/>
            <w:tcBorders>
              <w:top w:val="nil"/>
              <w:left w:val="nil"/>
              <w:bottom w:val="nil"/>
              <w:right w:val="nil"/>
            </w:tcBorders>
            <w:shd w:val="clear" w:color="auto" w:fill="auto"/>
            <w:noWrap/>
            <w:vAlign w:val="center"/>
          </w:tcPr>
          <w:p>
            <w:pPr>
              <w:pageBreakBefore w:val="0"/>
              <w:widowControl w:val="0"/>
              <w:kinsoku/>
              <w:wordWrap/>
              <w:overflowPunct/>
              <w:topLinePunct w:val="0"/>
              <w:autoSpaceDE/>
              <w:autoSpaceDN/>
              <w:bidi w:val="0"/>
              <w:spacing w:line="560" w:lineRule="exact"/>
              <w:rPr>
                <w:rFonts w:ascii="宋体" w:eastAsia="宋体" w:cs="宋体" w:hint="eastAsia"/>
                <w:i w:val="0"/>
                <w:iCs w:val="0"/>
                <w:color w:val="auto"/>
                <w:sz w:val="18"/>
                <w:szCs w:val="18"/>
                <w:u w:val="none"/>
                <w:highlight w:val="auto"/>
              </w:rPr>
            </w:pPr>
          </w:p>
        </w:tc>
        <w:tc>
          <w:tcPr>
            <w:tcW w:w="7553" w:type="dxa"/>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部门预算绩效评价指标体系</w:t>
            </w:r>
          </w:p>
        </w:tc>
        <w:tc>
          <w:tcPr>
            <w:tcW w:w="455" w:type="dxa"/>
            <w:tcBorders>
              <w:top w:val="nil"/>
              <w:left w:val="nil"/>
              <w:bottom w:val="nil"/>
              <w:right w:val="nil"/>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c>
          <w:tcPr>
            <w:tcW w:w="549" w:type="dxa"/>
            <w:tcBorders>
              <w:top w:val="nil"/>
              <w:left w:val="nil"/>
              <w:bottom w:val="nil"/>
              <w:right w:val="nil"/>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bl>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color w:val="auto"/>
          <w:kern w:val="0"/>
          <w:sz w:val="18"/>
          <w:szCs w:val="18"/>
          <w:shd w:val="clear" w:color="auto" w:fill="FFFFFF"/>
          <w:lang w:val="en-US" w:eastAsia="zh-CN"/>
          <w:highlight w:val="auto"/>
        </w:rPr>
      </w:pPr>
    </w:p>
    <w:tbl>
      <w:tblPr>
        <w:jc w:val="left"/>
        <w:tblInd w:w="0" w:type="dxa"/>
        <w:tblW w:w="9057"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699"/>
        <w:gridCol w:w="699"/>
        <w:gridCol w:w="703"/>
        <w:gridCol w:w="456"/>
        <w:gridCol w:w="1485"/>
        <w:gridCol w:w="936"/>
        <w:gridCol w:w="3167"/>
        <w:gridCol w:w="456"/>
        <w:gridCol w:w="456"/>
      </w:tblGrid>
      <w:tr>
        <w:trPr>
          <w:trHeight w:val="570"/>
        </w:trPr>
        <w:tc>
          <w:tcPr>
            <w:tcW w:w="2557"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绩效评价指标</w:t>
              <w:br/>
              <w:t>指标分值</w:t>
            </w:r>
          </w:p>
        </w:tc>
        <w:tc>
          <w:tcPr>
            <w:tcW w:w="148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指标解释</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评分方法</w:t>
            </w:r>
          </w:p>
        </w:tc>
        <w:tc>
          <w:tcPr>
            <w:tcW w:w="31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评分说明</w:t>
            </w:r>
          </w:p>
        </w:tc>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自评得分</w:t>
            </w:r>
          </w:p>
        </w:tc>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备注</w:t>
            </w:r>
          </w:p>
        </w:tc>
      </w:tr>
      <w:tr>
        <w:trPr>
          <w:trHeight w:val="570"/>
        </w:trPr>
        <w:tc>
          <w:tcPr>
            <w:tcW w:w="699"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一级指标</w:t>
            </w:r>
          </w:p>
        </w:tc>
        <w:tc>
          <w:tcPr>
            <w:tcW w:w="699"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二级指标</w:t>
            </w:r>
          </w:p>
        </w:tc>
        <w:tc>
          <w:tcPr>
            <w:tcW w:w="703"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三级指标</w:t>
            </w:r>
          </w:p>
        </w:tc>
        <w:tc>
          <w:tcPr>
            <w:tcW w:w="456"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指标</w:t>
              <w:br/>
              <w:t>分值</w:t>
            </w:r>
          </w:p>
        </w:tc>
        <w:tc>
          <w:tcPr>
            <w:tcW w:w="148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1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285"/>
        </w:trPr>
        <w:tc>
          <w:tcPr>
            <w:tcW w:w="699" w:type="dxa"/>
            <w:tcBorders>
              <w:top w:val="single" w:sz="4" w:space="0" w:color="000000"/>
              <w:left w:val="single" w:sz="4" w:space="0" w:color="000000"/>
              <w:bottom w:val="nil"/>
              <w:right w:val="nil"/>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c>
          <w:tcPr>
            <w:tcW w:w="7446" w:type="dxa"/>
            <w:gridSpan w:val="6"/>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合计</w:t>
            </w:r>
          </w:p>
        </w:tc>
        <w:tc>
          <w:tcPr>
            <w:tcW w:w="456" w:type="dxa"/>
            <w:tcBorders>
              <w:top w:val="nil"/>
              <w:left w:val="single" w:sz="4" w:space="0" w:color="000000"/>
              <w:bottom w:val="nil"/>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c>
          <w:tcPr>
            <w:tcW w:w="456" w:type="dxa"/>
            <w:tcBorders>
              <w:top w:val="nil"/>
              <w:left w:val="single" w:sz="4" w:space="0" w:color="000000"/>
              <w:bottom w:val="nil"/>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320"/>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总体绩效</w:t>
              <w:br/>
              <w:t>（65分）</w:t>
            </w:r>
          </w:p>
        </w:tc>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履职效能</w:t>
              <w:br/>
              <w:t>（15分）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在职人员工资保险履职效果</w:t>
            </w:r>
          </w:p>
        </w:tc>
        <w:tc>
          <w:tcPr>
            <w:tcW w:w="456" w:type="dxa"/>
            <w:vMerge w:val="restart"/>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15</w:t>
            </w:r>
          </w:p>
        </w:tc>
        <w:tc>
          <w:tcPr>
            <w:tcW w:w="148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部门整体绩效目标中选定3-5个核心职能目标，反映该项职能目标完成效果情况</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lang w:val="en-US"/>
                <w:highlight w:val="auto"/>
              </w:rPr>
            </w:pPr>
            <w:r>
              <w:rPr>
                <w:rFonts w:ascii="宋体" w:eastAsia="宋体" w:cs="宋体" w:hint="eastAsia"/>
                <w:i w:val="0"/>
                <w:iCs w:val="0"/>
                <w:color w:val="auto"/>
                <w:kern w:val="0"/>
                <w:sz w:val="18"/>
                <w:szCs w:val="18"/>
                <w:u w:val="none"/>
                <w:lang w:val="en-US" w:eastAsia="zh-CN"/>
                <w:highlight w:val="auto"/>
              </w:rPr>
              <w:t>我单位2024年如期完成项目指标内容，最终项指标得分=3÷3×100%×15=15核心职能目标一：基本支出，在职人员工资保险。目标完成情况，截止2024年底我单位如期完成预算10人全年工资保险发放。该资金开支范围、标准及支付进度，支付依据合规合法，资金支付与绩效目标相符。</w:t>
              <w:br/>
              <w:t>核心职能目标二：项目支出，公务接待经费支出。</w:t>
              <w:br/>
              <w:t>核心职能目标三：项目支出，劳务费支出，完成全县干部职工食堂招聘劳务人员1-12月工资发放</w:t>
            </w:r>
          </w:p>
        </w:tc>
        <w:tc>
          <w:tcPr>
            <w:tcW w:w="456"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5</w:t>
            </w:r>
          </w:p>
        </w:tc>
        <w:tc>
          <w:tcPr>
            <w:tcW w:w="456" w:type="dxa"/>
            <w:vMerge w:val="restart"/>
            <w:tcBorders>
              <w:top w:val="single" w:sz="4" w:space="0" w:color="000000"/>
              <w:left w:val="single" w:sz="4" w:space="0" w:color="000000"/>
              <w:bottom w:val="nil"/>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32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公务接待履职效果</w:t>
            </w:r>
          </w:p>
        </w:tc>
        <w:tc>
          <w:tcPr>
            <w:tcW w:w="456" w:type="dxa"/>
            <w:vMerge/>
            <w:tcBorders>
              <w:top w:val="nil"/>
              <w:left w:val="single" w:sz="4" w:space="0" w:color="000000"/>
              <w:bottom w:val="single" w:sz="4" w:space="0" w:color="000000"/>
              <w:right w:val="single" w:sz="4" w:space="0" w:color="000000"/>
            </w:tcBorders>
            <w:shd w:val="clear" w:color="auto" w:fill="auto"/>
            <w:noWrap/>
            <w:vAlign w:val="center"/>
          </w:tcPr>
          <w:p/>
        </w:tc>
        <w:tc>
          <w:tcPr>
            <w:tcW w:w="148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1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6" w:type="dxa"/>
            <w:tcBorders>
              <w:top w:val="nil"/>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5</w:t>
            </w:r>
          </w:p>
        </w:tc>
        <w:tc>
          <w:tcPr>
            <w:tcW w:w="456" w:type="dxa"/>
            <w:vMerge/>
            <w:tcBorders>
              <w:top w:val="single" w:sz="4" w:space="0" w:color="000000"/>
              <w:left w:val="single" w:sz="4" w:space="0" w:color="000000"/>
              <w:bottom w:val="nil"/>
              <w:right w:val="single" w:sz="4" w:space="0" w:color="000000"/>
            </w:tcBorders>
            <w:shd w:val="clear" w:color="auto" w:fill="auto"/>
            <w:noWrap/>
            <w:vAlign w:val="center"/>
          </w:tcPr>
          <w:p/>
        </w:tc>
      </w:tr>
      <w:tr>
        <w:trPr>
          <w:trHeight w:val="132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lang w:eastAsia="zh-CN"/>
                <w:highlight w:val="auto"/>
              </w:rPr>
            </w:pPr>
            <w:r>
              <w:rPr>
                <w:rFonts w:ascii="宋体" w:eastAsia="宋体" w:cs="宋体" w:hint="eastAsia"/>
                <w:i w:val="0"/>
                <w:iCs w:val="0"/>
                <w:color w:val="auto"/>
                <w:sz w:val="18"/>
                <w:szCs w:val="18"/>
                <w:u w:val="none"/>
                <w:lang w:eastAsia="zh-CN"/>
                <w:highlight w:val="auto"/>
              </w:rPr>
              <w:t>劳务费</w:t>
            </w:r>
            <w:r>
              <w:rPr>
                <w:rFonts w:ascii="宋体" w:eastAsia="宋体" w:cs="宋体" w:hint="eastAsia"/>
                <w:i w:val="0"/>
                <w:iCs w:val="0"/>
                <w:color w:val="auto"/>
                <w:kern w:val="0"/>
                <w:sz w:val="18"/>
                <w:szCs w:val="18"/>
                <w:u w:val="none"/>
                <w:lang w:val="en-US" w:eastAsia="zh-CN"/>
                <w:highlight w:val="auto"/>
              </w:rPr>
              <w:t>履职效果</w:t>
            </w:r>
          </w:p>
        </w:tc>
        <w:tc>
          <w:tcPr>
            <w:tcW w:w="456" w:type="dxa"/>
            <w:vMerge/>
            <w:tcBorders>
              <w:top w:val="nil"/>
              <w:left w:val="single" w:sz="4" w:space="0" w:color="000000"/>
              <w:bottom w:val="single" w:sz="4" w:space="0" w:color="000000"/>
              <w:right w:val="single" w:sz="4" w:space="0" w:color="000000"/>
            </w:tcBorders>
            <w:shd w:val="clear" w:color="auto" w:fill="auto"/>
            <w:noWrap/>
            <w:vAlign w:val="center"/>
          </w:tcPr>
          <w:p/>
        </w:tc>
        <w:tc>
          <w:tcPr>
            <w:tcW w:w="148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1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56" w:type="dxa"/>
            <w:tcBorders>
              <w:top w:val="nil"/>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5</w:t>
            </w:r>
          </w:p>
        </w:tc>
        <w:tc>
          <w:tcPr>
            <w:tcW w:w="456" w:type="dxa"/>
            <w:vMerge/>
            <w:tcBorders>
              <w:top w:val="single" w:sz="4" w:space="0" w:color="000000"/>
              <w:left w:val="single" w:sz="4" w:space="0" w:color="000000"/>
              <w:bottom w:val="nil"/>
              <w:right w:val="single" w:sz="4" w:space="0" w:color="000000"/>
            </w:tcBorders>
            <w:shd w:val="clear" w:color="auto" w:fill="auto"/>
            <w:noWrap/>
            <w:vAlign w:val="center"/>
          </w:tcPr>
          <w:p/>
        </w:tc>
      </w:tr>
      <w:tr>
        <w:trPr>
          <w:trHeight w:val="135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预算管理</w:t>
              <w:br/>
              <w:t>（25分）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预算编制质量</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8</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部门是否严格按要求编制年初部门预算，年初预算编制的科学性和准确性</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该项指标得分=（1-财政拨款预算偏离度）×100%×4+（1-资产配置预算偏离度）×100%×2+（1-政府采购预算偏离度）×100%×2。偏离度=|预算执行数-年初预算数|÷年初预算数。</w:t>
            </w:r>
          </w:p>
        </w:tc>
        <w:tc>
          <w:tcPr>
            <w:tcW w:w="456"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7</w:t>
            </w:r>
          </w:p>
        </w:tc>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88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单位收入统筹</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部门统筹自有收入程度</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该项指标得分=（部门自有收入全年执行数÷部门自有收入年初预算数）×100%×2+（财政核定的综合补助比例÷按实际执行测算的综合补助比例）×100%×2。我单位该指标不涉及。</w:t>
            </w:r>
          </w:p>
        </w:tc>
        <w:tc>
          <w:tcPr>
            <w:tcW w:w="456" w:type="dxa"/>
            <w:tcBorders>
              <w:top w:val="nil"/>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46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支出执行进度</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6</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部门1至6月、1至10月预算执行情况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1至6月预算执行数÷（部门预算数×50%）×2）+（1-1至6月支出预警金额占比×0.8-1至6月支出违规金额占比×0.2）+（1至10月预算执行数÷（部门预算数×83.33%）×2）+（1-1至10月支出预警金额占比×0.8-1至10月支出违规金额占比×0.2）。</w:t>
            </w:r>
          </w:p>
        </w:tc>
        <w:tc>
          <w:tcPr>
            <w:tcW w:w="456" w:type="dxa"/>
            <w:tcBorders>
              <w:top w:val="nil"/>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lang w:val="en-US" w:eastAsia="zh-CN"/>
                <w:highlight w:val="auto"/>
              </w:rPr>
            </w:pPr>
            <w:r>
              <w:rPr>
                <w:rFonts w:ascii="宋体" w:eastAsia="宋体" w:cs="宋体" w:hint="eastAsia"/>
                <w:i w:val="0"/>
                <w:iCs w:val="0"/>
                <w:color w:val="auto"/>
                <w:sz w:val="18"/>
                <w:szCs w:val="18"/>
                <w:u w:val="none"/>
                <w:lang w:val="en-US" w:eastAsia="zh-CN"/>
                <w:highlight w:val="auto"/>
              </w:rPr>
              <w:t>4</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904"/>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预算年终结余</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部门整体年终预算结余情况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该项指标得分=（1-部门整体预算结余率）×100%×2。部门整体预算结余率为当年年终部门预算注销金额和结转金额占部门预算总金额的比率。</w:t>
            </w:r>
          </w:p>
        </w:tc>
        <w:tc>
          <w:tcPr>
            <w:tcW w:w="456" w:type="dxa"/>
            <w:tcBorders>
              <w:top w:val="nil"/>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2</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86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严控一般性支出</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部门严控“三公”经费、会议、培训、差旅、办节办展、办公设备购置、信息网络及软件购置更新、课题经费等8项一般性支出情况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ind w:firstLineChars="200" w:firstLine="360"/>
              <w:jc w:val="both"/>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该项指标得分=基础分值+加分值。</w:t>
              <w:br/>
              <w:t>1.基础分值。一般性支出财政拨款年初预算较上年实现压减得1分；一般性支出财政拨款预算执行较上年实现压减得1分。</w:t>
              <w:br/>
              <w:t>2.加分值。一般性支出财政拨款年初预算较上年每压减1%得0.2分，累计不超过1分；一般性支出财政拨款预算执行较上年每压减1%得0.4分，累计不超过2分。</w:t>
            </w:r>
          </w:p>
        </w:tc>
        <w:tc>
          <w:tcPr>
            <w:tcW w:w="456"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5</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57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财务管理</w:t>
              <w:br/>
              <w:t>（10分）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财务管理制度</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部门财务管理制度建立情况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缺（错）项</w:t>
              <w:br/>
              <w:t>扣分法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部门已制定内部财务管理制度等制度机制的，得2分。财务管理制度得到落实，得2分。否则该项不得分。</w:t>
            </w:r>
          </w:p>
        </w:tc>
        <w:tc>
          <w:tcPr>
            <w:tcW w:w="45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57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财务岗位设置</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部门财务岗位设置是否符合相关财务管理制度要求</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是否评分法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部门合理设置财务工作岗位，明确职责权限，并严格实行不相容岗位分离的，得2分。否则该项不得分。</w:t>
            </w:r>
          </w:p>
        </w:tc>
        <w:tc>
          <w:tcPr>
            <w:tcW w:w="45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2</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57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资金使用规范</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部门资金使用是否符合相关财务管理制度规定</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缺（错）项</w:t>
              <w:br/>
              <w:t>扣分法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部门资金使用不符合相关财务管理制度规定的，发现一处扣1分，扣完为止。</w:t>
            </w:r>
          </w:p>
        </w:tc>
        <w:tc>
          <w:tcPr>
            <w:tcW w:w="45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60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资产管理</w:t>
              <w:br/>
              <w:t>（9分）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人均资产变化率</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部门人均资产变化情况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分级评分法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人均资产变化率为X，省直行政事业单位人均资产变化率为N，则：X≤N，得1.5分；N＜X≤1.2N，得0.9分；1.2N＜X≤1.4N，得0.6分；X＞1.4N，得0.3分。部门人均资产增长率为X，同期省级财政收入增长率为N，则：X≤0，得1.5分；0＜X≤N，得0.9分；N＜X≤2N，得0.6分；X＞2N，不得分。</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270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资产利用率</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部门资产超最低使用年限情况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分级评分法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办公家具超最低使用年限资产利用率=超最低使用年限的办公家具账面价值÷办公家具账面价值×100%。办公家具超最低使用年限资产利用率为X，省直行政事业单位平均值为N，则：X＞N，得1.5分；0.8N＜X≤N，得0.9分；0.6N＜X≤0.8N，得0.6分；X≤0.6N，得0.3分。部门办公设备超最低使用年限资产利用率=超最低使用年限的办公设备账面价值÷办公设备账面价值×100%。办公设备超最低使用年限资产利用率为X，省直行政事业单位平均值为N，则：X＞N，得1.5分；0.8N＜X≤N，得0.9分；0.6N＜X≤0.8N，得0.6分；X≤0.6N，得0.3分。</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560"/>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总体绩效</w:t>
              <w:br/>
              <w:t>（65分）</w:t>
            </w:r>
          </w:p>
        </w:tc>
        <w:tc>
          <w:tcPr>
            <w:tcW w:w="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资产管理</w:t>
              <w:br/>
              <w:t>（9分）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资产盘活率</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部门闲置一年以上的资产盘活情况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分级评分法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闲置资产占比变化率=(本年闲置资产账面价值÷本年总资产账面价值)÷(上一年度闲置资产账面价值÷上一年度总资产账面价值)×100%，变化率在60%以下的得2.4分，60%-80%的得1.8分，80-100%的得1.2分，100%以上的不得分。两年均无闲置资产或上年度有闲置资产评价年度无闲置资产的，该项指标得3分。</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57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采购管理</w:t>
              <w:br/>
              <w:t>（6分）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支持中小企业发展</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部门是否严格执行政府采购促进中小企业发展相关管理办法</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是否评分法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对适宜由中小企业提供的采购项目和采购包，预留采购份额专门面向中小企业采购，并在采购预算中单独列示，不符合要求的扣3分。</w:t>
            </w:r>
          </w:p>
        </w:tc>
        <w:tc>
          <w:tcPr>
            <w:tcW w:w="45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57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采购执行率</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部门政府采购项目资金支付比例情况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该项指标得分=当年政府采购实际支付总金额÷（当年政府采购总预算数-当年已完成采购项目节约金额）×100%×3。</w:t>
            </w:r>
          </w:p>
        </w:tc>
        <w:tc>
          <w:tcPr>
            <w:tcW w:w="45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45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720"/>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项目绩效</w:t>
              <w:br/>
              <w:t>（35分）</w:t>
            </w:r>
          </w:p>
        </w:tc>
        <w:tc>
          <w:tcPr>
            <w:tcW w:w="699"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项目决策</w:t>
              <w:br/>
              <w:t>（12分）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决策程序</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部门预算项目设立是否按规定履行评估论证、申报程序</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4-部门未履行事前评估程序的部门预算阶段项目（含一次性项目）数量÷部门预算阶段项目（含一次性项目）总数×100%×4。抽评的部门预算阶段项目（含一次性项目）总数10个以下的全部纳入，每增加5个多纳入1个，最多不超过30个，下同。若无部门预算阶段项目（含一次性项目），则主要查看部门预算项目整体决策程序。</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30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nil"/>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目标设置</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部门预算项目绩效目标与计划期内的任务量、预算安排的资金量匹配情况，绩效目标设置是否科学合理、规范完整、量化细化、预算匹配</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4-绩效目标与计划期内的任务量、预算安排不相匹配的部门预算阶段项目（含一次性项目）数量÷部门预算阶段项目（含一次性项目）总数×100%×4。若无部门预算阶段项目（含一次性项目），则抽评涉及核心业务、资金量大的其他部门预算项目，下同。</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04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nil"/>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项目入库</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部门预算项目是否在规定时间完成项目入库</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该项指标得分=4-规定时间未入财政库部门预算阶段项目（含一次性项目）数量÷最终安排部门预算阶段项目（含一次性项目）总数×100%×4。规定时间以当年9月30日为准。</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92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项目执行</w:t>
              <w:br/>
              <w:t>（12分）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执行同向</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部门预算项目实际列支内容是否与绩效目标设置方向相符</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该项指标得分=4-实际列支内容与绩效目标设置方向不相符的部门预算阶段项目（含一次性项目）数量÷部门预算阶段项目（含一次性项目）总数×100%×4。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02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nil"/>
              <w:right w:val="single" w:sz="4" w:space="0" w:color="000000"/>
            </w:tcBorders>
            <w:shd w:val="clear" w:color="auto" w:fill="auto"/>
            <w:noWrap/>
            <w:vAlign w:val="center"/>
          </w:tcPr>
          <w:p/>
        </w:tc>
        <w:tc>
          <w:tcPr>
            <w:tcW w:w="703"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项目调整</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部门预算项目是否采取对应调整措施</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该项指标得分=4-应采取未采取收回预算、调整目标等处置措施的部门预算阶段项目（含一次性项目）数量÷应采取收回预算、调整目标等处置措施的部门预算阶段项目（含一次性项目）总数×100%×4。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06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nil"/>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执行结果</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部门预算项目预算执行情况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该项指标得分=预算结余率小于10%的常年项目数量÷部门预算常年项目总数×100%×2+预算结余率小于10%的一次性项目和阶段项目数量÷部门预算一次性项目和阶段项目总数×100%×2。</w:t>
            </w:r>
          </w:p>
        </w:tc>
        <w:tc>
          <w:tcPr>
            <w:tcW w:w="456"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nil"/>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82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目标实现</w:t>
              <w:br/>
              <w:t>（11分）</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目标完成</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部门预算项目绩效目标数量指标完成情况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该项指标得分=完成绩效目标数量指标的部门预算阶段项目（含一次性项目）数量÷部门预算阶段项目（含一次性项目）总数×100%×4。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48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目标偏离</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部门预算项目绩效目标数量指标实现程度与预期目标的偏离情况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已完成预期指标值的数量指标中偏离度在30%内的指标个数÷已完成预期指标值的数量指标个数×100%×4。偏离度=|（绩效指标实际完成值-设定预期指标值）÷设定预期指标值|。部门预算阶段项目（含一次性项目）绩效目标实际完成值偏离预期指标30%以上（含30%）的，不计分。</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4</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86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实现效果</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部门预算项目绩效目标效益指标实施效果</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比率分值法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该项指标得分=完成绩效目标效益指标的部门预算阶段项目（含一次性项目）数量÷部门预算阶段项目（含一次性项目）总数×100%×3。</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3</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1480"/>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b/>
                <w:bCs/>
                <w:i w:val="0"/>
                <w:iCs w:val="0"/>
                <w:color w:val="auto"/>
                <w:sz w:val="18"/>
                <w:szCs w:val="18"/>
                <w:u w:val="none"/>
                <w:highlight w:val="auto"/>
              </w:rPr>
            </w:pPr>
            <w:r>
              <w:rPr>
                <w:rFonts w:ascii="宋体" w:eastAsia="宋体" w:cs="宋体" w:hint="eastAsia"/>
                <w:b/>
                <w:bCs/>
                <w:i w:val="0"/>
                <w:iCs w:val="0"/>
                <w:color w:val="auto"/>
                <w:kern w:val="0"/>
                <w:sz w:val="18"/>
                <w:szCs w:val="18"/>
                <w:u w:val="none"/>
                <w:lang w:val="en-US" w:eastAsia="zh-CN"/>
                <w:highlight w:val="auto"/>
              </w:rPr>
              <w:t>扣分项</w:t>
              <w:br/>
              <w:t>（10分）</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预算绩效存在问题</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both"/>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预算管理和绩效管理工作存在问题</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缺（错）项</w:t>
              <w:br/>
              <w:t>扣分法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依据评价年度人大监督、巡视巡察、审计监督、财会监督等结果以及评价指标体系涉及的履职效果、预算管理、财务管理、资产管理、采购管理、项目绩效等方面出现的问题，每有一个问题点扣1分，扣完为止。</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r>
        <w:trPr>
          <w:trHeight w:val="600"/>
        </w:trPr>
        <w:tc>
          <w:tcPr>
            <w:tcW w:w="69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被评价部门配合度</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被评价对象工作配合情况</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缺（错）项</w:t>
              <w:br/>
              <w:t>扣分法</w:t>
            </w:r>
          </w:p>
        </w:tc>
        <w:tc>
          <w:tcPr>
            <w:tcW w:w="31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iCs w:val="0"/>
                <w:color w:val="auto"/>
                <w:sz w:val="18"/>
                <w:szCs w:val="18"/>
                <w:u w:val="none"/>
                <w:highlight w:val="auto"/>
              </w:rPr>
            </w:pPr>
            <w:r>
              <w:rPr>
                <w:rFonts w:ascii="宋体" w:eastAsia="宋体" w:cs="宋体" w:hint="eastAsia"/>
                <w:i w:val="0"/>
                <w:iCs w:val="0"/>
                <w:color w:val="auto"/>
                <w:kern w:val="0"/>
                <w:sz w:val="18"/>
                <w:szCs w:val="18"/>
                <w:u w:val="none"/>
                <w:lang w:val="en-US" w:eastAsia="zh-CN"/>
                <w:highlight w:val="auto"/>
              </w:rPr>
              <w:t>评价工作开展过程中，被评价对象拖延推诿、提交资料不及时等拒不配合评价工作的，每发现一次扣1分，扣完为止。</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pageBreakBefore w:val="0"/>
              <w:widowControl w:val="0"/>
              <w:kinsoku/>
              <w:wordWrap/>
              <w:overflowPunct/>
              <w:topLinePunct w:val="0"/>
              <w:autoSpaceDE/>
              <w:autoSpaceDN/>
              <w:bidi w:val="0"/>
              <w:spacing w:line="560" w:lineRule="exact"/>
              <w:jc w:val="center"/>
              <w:rPr>
                <w:rFonts w:ascii="宋体" w:eastAsia="宋体" w:cs="宋体" w:hint="eastAsia"/>
                <w:i w:val="0"/>
                <w:iCs w:val="0"/>
                <w:color w:val="auto"/>
                <w:sz w:val="18"/>
                <w:szCs w:val="18"/>
                <w:u w:val="none"/>
                <w:highlight w:val="auto"/>
              </w:rPr>
            </w:pPr>
          </w:p>
        </w:tc>
      </w:tr>
    </w:tbl>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color w:val="auto"/>
          <w:kern w:val="0"/>
          <w:sz w:val="18"/>
          <w:szCs w:val="18"/>
          <w:shd w:val="clear" w:color="auto" w:fill="FFFFFF"/>
          <w:lang w:val="en-US" w:eastAsia="zh-CN"/>
          <w:highlight w:val="auto"/>
        </w:rPr>
      </w:pP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color w:val="auto"/>
          <w:kern w:val="0"/>
          <w:sz w:val="18"/>
          <w:szCs w:val="18"/>
          <w:shd w:val="clear" w:color="auto" w:fill="FFFFFF"/>
          <w:lang w:val="en-US" w:eastAsia="zh-CN"/>
          <w:highlight w:val="auto"/>
        </w:rPr>
      </w:pP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color w:val="auto"/>
          <w:kern w:val="0"/>
          <w:sz w:val="18"/>
          <w:szCs w:val="18"/>
          <w:shd w:val="clear" w:color="auto" w:fill="FFFFFF"/>
          <w:lang w:val="en-US" w:eastAsia="zh-CN"/>
          <w:highlight w:val="auto"/>
        </w:rPr>
      </w:pP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color w:val="auto"/>
          <w:kern w:val="0"/>
          <w:sz w:val="18"/>
          <w:szCs w:val="18"/>
          <w:shd w:val="clear" w:color="auto" w:fill="FFFFFF"/>
          <w:lang w:val="en-US" w:eastAsia="zh-CN"/>
          <w:highlight w:val="auto"/>
        </w:rPr>
      </w:pP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strike w:val="0"/>
          <w:dstrike w:val="0"/>
          <w:color w:val="auto"/>
          <w:sz w:val="18"/>
          <w:szCs w:val="18"/>
          <w:u w:val="none"/>
          <w:lang w:eastAsia="zh-CN"/>
          <w:highlight w:val="auto"/>
        </w:rPr>
      </w:pP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strike w:val="0"/>
          <w:dstrike w:val="0"/>
          <w:color w:val="auto"/>
          <w:sz w:val="18"/>
          <w:szCs w:val="18"/>
          <w:u w:val="none"/>
          <w:lang w:eastAsia="zh-CN"/>
          <w:highlight w:val="auto"/>
        </w:rPr>
      </w:pPr>
    </w:p>
    <w:p>
      <w:pPr>
        <w:pStyle w:val="20"/>
        <w:pageBreakBefore w:val="0"/>
        <w:widowControl w:val="0"/>
        <w:kinsoku/>
        <w:wordWrap/>
        <w:overflowPunct/>
        <w:topLinePunct w:val="0"/>
        <w:autoSpaceDE/>
        <w:autoSpaceDN/>
        <w:bidi w:val="0"/>
        <w:spacing w:line="560" w:lineRule="exact"/>
        <w:ind w:leftChars="0" w:left="0" w:firstLineChars="0" w:firstLine="0"/>
        <w:rPr>
          <w:rFonts w:ascii="宋体" w:eastAsia="宋体" w:cs="宋体" w:hint="eastAsia"/>
          <w:color w:val="auto"/>
          <w:sz w:val="18"/>
          <w:szCs w:val="18"/>
          <w:lang w:val="en-US" w:eastAsia="zh-CN"/>
          <w:highlight w:val="auto"/>
        </w:rPr>
      </w:pPr>
      <w:r>
        <w:rPr>
          <w:rFonts w:ascii="宋体" w:eastAsia="宋体" w:cs="宋体" w:hint="eastAsia"/>
          <w:color w:val="auto"/>
          <w:sz w:val="18"/>
          <w:szCs w:val="18"/>
          <w:lang w:val="en-US" w:eastAsia="zh-CN"/>
          <w:highlight w:val="auto"/>
        </w:rPr>
        <w:t>附件2:</w:t>
      </w:r>
    </w:p>
    <w:p>
      <w:pPr>
        <w:keepNext w:val="0"/>
        <w:keepLines w:val="0"/>
        <w:pageBreakBefore w:val="0"/>
        <w:widowControl w:val="0"/>
        <w:kinsoku/>
        <w:wordWrap/>
        <w:overflowPunct/>
        <w:topLinePunct w:val="0"/>
        <w:autoSpaceDE/>
        <w:autoSpaceDN/>
        <w:bidi w:val="0"/>
        <w:spacing w:line="560" w:lineRule="exact"/>
        <w:ind w:firstLineChars="200" w:firstLine="360"/>
        <w:textAlignment w:val="auto"/>
        <w:rPr>
          <w:rFonts w:ascii="宋体" w:eastAsia="宋体" w:cs="宋体" w:hint="eastAsia"/>
          <w:color w:val="auto"/>
          <w:kern w:val="0"/>
          <w:sz w:val="18"/>
          <w:szCs w:val="18"/>
          <w:shd w:val="clear" w:color="auto" w:fill="FFFFFF"/>
          <w:lang w:val="en-US" w:eastAsia="zh-CN"/>
          <w:highlight w:val="auto"/>
        </w:rPr>
      </w:pPr>
    </w:p>
    <w:tbl>
      <w:tblPr>
        <w:jc w:val="left"/>
        <w:tblInd w:w="0" w:type="dxa"/>
        <w:tblW w:w="9534"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0" w:type="dxa"/>
          <w:bottom w:w="0" w:type="dxa"/>
          <w:right w:w="0" w:type="dxa"/>
        </w:tblCellMar>
      </w:tblPr>
      <w:tblGrid>
        <w:gridCol w:w="1049"/>
        <w:gridCol w:w="1184"/>
        <w:gridCol w:w="764"/>
        <w:gridCol w:w="2097"/>
        <w:gridCol w:w="1477"/>
        <w:gridCol w:w="1721"/>
        <w:gridCol w:w="597"/>
        <w:gridCol w:w="645"/>
      </w:tblGrid>
      <w:tr>
        <w:trPr>
          <w:trHeight w:val="904"/>
        </w:trPr>
        <w:tc>
          <w:tcPr>
            <w:tcW w:w="9534"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bookmarkEnd w:id="0"/>
            <w:r>
              <w:rPr>
                <w:rFonts w:ascii="宋体" w:eastAsia="宋体" w:cs="宋体" w:hint="eastAsia"/>
                <w:i w:val="0"/>
                <w:color w:val="auto"/>
                <w:kern w:val="0"/>
                <w:sz w:val="18"/>
                <w:szCs w:val="18"/>
                <w:u w:val="none"/>
                <w:lang w:val="en-US" w:eastAsia="zh-CN"/>
                <w:highlight w:val="auto"/>
              </w:rPr>
              <w:t>部门整体支出绩效目标表</w:t>
            </w:r>
          </w:p>
        </w:tc>
      </w:tr>
      <w:tr>
        <w:trPr>
          <w:trHeight w:val="286"/>
        </w:trPr>
        <w:tc>
          <w:tcPr>
            <w:tcW w:w="9534"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（2024年度）</w:t>
            </w:r>
          </w:p>
        </w:tc>
      </w:tr>
      <w:tr>
        <w:trPr>
          <w:trHeight w:val="286"/>
        </w:trPr>
        <w:tc>
          <w:tcPr>
            <w:tcW w:w="9534" w:type="dxa"/>
            <w:gridSpan w:val="8"/>
            <w:tcBorders>
              <w:top w:val="nil"/>
              <w:left w:val="nil"/>
              <w:bottom w:val="single" w:sz="4" w:space="0" w:color="00000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righ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金额单位：万元</w:t>
            </w:r>
          </w:p>
        </w:tc>
      </w:tr>
      <w:tr>
        <w:trPr>
          <w:trHeight w:val="569"/>
        </w:trPr>
        <w:tc>
          <w:tcPr>
            <w:tcW w:w="299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部门名称</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黑水县公务服务中心</w:t>
            </w:r>
          </w:p>
        </w:tc>
      </w:tr>
      <w:tr>
        <w:trPr>
          <w:trHeight w:val="398"/>
        </w:trPr>
        <w:tc>
          <w:tcPr>
            <w:tcW w:w="104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年度部门整体支出预算</w:t>
            </w: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资金总额</w:t>
            </w:r>
          </w:p>
        </w:tc>
        <w:tc>
          <w:tcPr>
            <w:tcW w:w="3574"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财政拨款</w:t>
            </w:r>
          </w:p>
        </w:tc>
        <w:tc>
          <w:tcPr>
            <w:tcW w:w="296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其他资金</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righ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773.58</w:t>
            </w:r>
          </w:p>
        </w:tc>
        <w:tc>
          <w:tcPr>
            <w:tcW w:w="3574"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righ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773.58</w:t>
            </w:r>
          </w:p>
        </w:tc>
        <w:tc>
          <w:tcPr>
            <w:tcW w:w="296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pageBreakBefore w:val="0"/>
              <w:widowControl w:val="0"/>
              <w:kinsoku/>
              <w:wordWrap/>
              <w:overflowPunct/>
              <w:topLinePunct w:val="0"/>
              <w:autoSpaceDE/>
              <w:autoSpaceDN/>
              <w:bidi w:val="0"/>
              <w:spacing w:line="560" w:lineRule="exact"/>
              <w:jc w:val="right"/>
              <w:rPr>
                <w:rFonts w:ascii="宋体" w:eastAsia="宋体" w:cs="宋体" w:hint="eastAsia"/>
                <w:i w:val="0"/>
                <w:color w:val="auto"/>
                <w:sz w:val="18"/>
                <w:szCs w:val="18"/>
                <w:u w:val="none"/>
                <w:highlight w:val="auto"/>
              </w:rPr>
            </w:pPr>
          </w:p>
        </w:tc>
      </w:tr>
      <w:tr>
        <w:trPr>
          <w:trHeight w:val="4660"/>
        </w:trPr>
        <w:tc>
          <w:tcPr>
            <w:tcW w:w="10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年度总体目标</w:t>
            </w:r>
          </w:p>
        </w:tc>
        <w:tc>
          <w:tcPr>
            <w:tcW w:w="8485"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一）进一步加强公有住房管理：严格按照《黑水县县级机关公有住房管理暂行办法》，切实加强公有住房管理，充分发挥国有资产效益，公平、公正、公开的及时对各部门对腾退公房进行分配，避免公房闲置时间过长，加强对物业的管理，不断优化改善服务环境，督促各单位对本单位公房情况基本了解，联合纪委监委、组织部、公安局因不定时对公房居住情况进行清查，并督促住房职工按时缴纳房租、物管费，对违规使用公房的情况进行通报并严肃处理。</w:t>
              <w:br/>
              <w:t>（二）进一步强办公用房管理。严格按照中央关于办公用房管理的政策要求，督促全县党政机关按新标准规范使用办公用房，严格办公用房管理，及时研究制定腾空办公用房的处置意见，加大办公用房的统筹利用力度，推进办公区域的相对集中和后勤资源的统筹共享。强化机关办公用房的统一集中管理，建立办公用房数据库，力争实现办公用房的数字化管理。</w:t>
              <w:br/>
              <w:t>（三）进一步加强公务用车管理工作。严格按照州公车领导小组要求，切实做到公车报废更新调剂等工作，及时形成一套程序和模板，扎实开展好党政机关公务用车统计报告工作。</w:t>
              <w:br/>
              <w:t>（四）进一步推进节能工作。继续深入贯彻落实习近平生态文明思想，积极对接州机关事务管理局工作安排，加强全县各单位的节能意识和业务水平，督促各单位能耗票据填报工作，有效提高一体化平台的熟悉度。增强各下属单位节能降耗负责人工作责任心和业务水平，持续加大宣传力度，加强业务培训活动，争取自主填报意识和填报效率双提升。积极推进绩效考评各项相关工作。抓紧创建新的能耗监测站相关事宜，协调组织各单位高标准、高质量完成节能降耗数据收集工作，进一步加大宣传工作力度，引导广大干部职工切实增强节能观念、自觉养成节能良好习惯，绿色生态可持续发展出一份力。</w:t>
              <w:br/>
              <w:t>（五）进一步强化服务保障工作。一是突出公务接待保障，着力做好县重大会议（活动）及中央、省州领导及各级代表团来指导、检查和考察等接待服务工作。二是突出干部职工周转房服务保障，强化卫生保洁管理，提升服务质量。三是突出会务服务保障，细致周到，争取做到零差错。</w:t>
              <w:br/>
              <w:t>（六）进一步加强后勤自身建设。一是认真贯彻落实国务院《机关事务管理条例》和《四川省机关事务管理办法》，继续深化“法治后勤”建设，建立和完善后勤服务标准和保障制度体系，依法开展后勤服务、保障和管理工作，切实运用法治思维和法治方式解决后勤发展中的难题。二是继续把党建和党风廉政建设放在突出重要的位置，加强党的组织建设。</w:t>
            </w:r>
          </w:p>
        </w:tc>
      </w:tr>
      <w:tr>
        <w:trPr>
          <w:trHeight w:val="569"/>
        </w:trPr>
        <w:tc>
          <w:tcPr>
            <w:tcW w:w="104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年度主要任务</w:t>
            </w: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任务名称</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主要内容</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基本支出：在职人员工资保险</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 xml:space="preserve">在职人员9人工资、保险  </w:t>
            </w:r>
          </w:p>
        </w:tc>
      </w:tr>
      <w:tr>
        <w:trPr>
          <w:trHeight w:val="678"/>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基本支出：定额经费</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1.2023年定额公用经费213750元（9在职人员×23750元），其中：手续费5000元；车运行维护费10000元；办公费84750元；电费24000元；差旅费90000元。</w:t>
              <w:br/>
              <w:t xml:space="preserve">2.公车定额经费.47500元。  </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项目支出：接待费</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我单位负责全县公务接待及商务接待。</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项目支出：劳务费</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全县4个职工食堂招聘人员及森公半岛办公区清洁人员、保安，全年工资。</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948"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项目支出：伙食团经费</w:t>
            </w:r>
          </w:p>
        </w:tc>
        <w:tc>
          <w:tcPr>
            <w:tcW w:w="6537"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全县4个职工食堂物资采购及日常运行维护费</w:t>
            </w:r>
          </w:p>
        </w:tc>
      </w:tr>
      <w:tr>
        <w:trPr>
          <w:trHeight w:val="569"/>
        </w:trPr>
        <w:tc>
          <w:tcPr>
            <w:tcW w:w="104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年度绩效指标</w:t>
            </w: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一级指标</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二级指标</w:t>
            </w: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三级指标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绩效指标性质</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绩效指标值</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绩效度量单位</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center"/>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权重</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产出指标</w:t>
            </w:r>
          </w:p>
        </w:tc>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数量指标</w:t>
            </w: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发放职工工资保险人数</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9</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人</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10</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涉及职工食堂</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4</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个</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5</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招聘员工人数</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30</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人</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5</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7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职工人数</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9</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人</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10</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质量指标</w:t>
            </w: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工资保险完成时间及项目完成时间</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12</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月</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20</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效益指标</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社会效益指标</w:t>
            </w: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提升职工工作效率、营造良好工作环境</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定性</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优</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pageBreakBefore w:val="0"/>
              <w:widowControl w:val="0"/>
              <w:kinsoku/>
              <w:wordWrap/>
              <w:overflowPunct/>
              <w:topLinePunct w:val="0"/>
              <w:autoSpaceDE/>
              <w:autoSpaceDN/>
              <w:bidi w:val="0"/>
              <w:spacing w:line="560" w:lineRule="exact"/>
              <w:jc w:val="left"/>
              <w:rPr>
                <w:rFonts w:ascii="宋体" w:eastAsia="宋体" w:cs="宋体" w:hint="eastAsia"/>
                <w:i w:val="0"/>
                <w:color w:val="auto"/>
                <w:sz w:val="18"/>
                <w:szCs w:val="18"/>
                <w:u w:val="none"/>
                <w:highlight w:val="auto"/>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10</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满意度指标</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服务对象满意度指标</w:t>
            </w: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干部职工满意度</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98</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20</w:t>
            </w:r>
          </w:p>
        </w:tc>
      </w:tr>
      <w:tr>
        <w:trPr>
          <w:trHeight w:val="569"/>
        </w:trPr>
        <w:tc>
          <w:tcPr>
            <w:tcW w:w="104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1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成本指标</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经济成本指标</w:t>
            </w:r>
          </w:p>
        </w:tc>
        <w:tc>
          <w:tcPr>
            <w:tcW w:w="20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预算金额</w:t>
            </w:r>
          </w:p>
        </w:tc>
        <w:tc>
          <w:tcPr>
            <w:tcW w:w="14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773.58</w:t>
            </w:r>
          </w:p>
        </w:tc>
        <w:tc>
          <w:tcPr>
            <w:tcW w:w="5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万元</w:t>
            </w:r>
          </w:p>
        </w:tc>
        <w:tc>
          <w:tcPr>
            <w:tcW w:w="6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line="560" w:lineRule="exact"/>
              <w:jc w:val="left"/>
              <w:textAlignment w:val="center"/>
              <w:rPr>
                <w:rFonts w:ascii="宋体" w:eastAsia="宋体" w:cs="宋体" w:hint="eastAsia"/>
                <w:i w:val="0"/>
                <w:color w:val="auto"/>
                <w:sz w:val="18"/>
                <w:szCs w:val="18"/>
                <w:u w:val="none"/>
                <w:highlight w:val="auto"/>
              </w:rPr>
            </w:pPr>
            <w:r>
              <w:rPr>
                <w:rFonts w:ascii="宋体" w:eastAsia="宋体" w:cs="宋体" w:hint="eastAsia"/>
                <w:i w:val="0"/>
                <w:color w:val="auto"/>
                <w:kern w:val="0"/>
                <w:sz w:val="18"/>
                <w:szCs w:val="18"/>
                <w:u w:val="none"/>
                <w:lang w:val="en-US" w:eastAsia="zh-CN"/>
                <w:highlight w:val="auto"/>
              </w:rPr>
              <w:t>10</w:t>
            </w:r>
          </w:p>
        </w:tc>
      </w:tr>
    </w:tbl>
    <w:p>
      <w:pPr>
        <w:pStyle w:val="21"/>
        <w:keepNext/>
        <w:keepLines/>
        <w:pageBreakBefore w:val="0"/>
        <w:widowControl w:val="0"/>
        <w:kinsoku/>
        <w:wordWrap/>
        <w:overflowPunct/>
        <w:topLinePunct w:val="0"/>
        <w:autoSpaceDE/>
        <w:autoSpaceDN/>
        <w:bidi w:val="0"/>
        <w:adjustRightInd/>
        <w:snapToGrid/>
        <w:spacing w:before="0" w:after="0" w:line="560" w:lineRule="exact"/>
        <w:ind w:firstLineChars="200" w:firstLine="360"/>
        <w:rPr>
          <w:rFonts w:ascii="宋体" w:eastAsia="宋体" w:cs="宋体" w:hint="eastAsia"/>
          <w:color w:val="auto"/>
          <w:sz w:val="18"/>
          <w:szCs w:val="18"/>
          <w:lang w:val="en-US" w:eastAsia="zh-CN"/>
          <w:highlight w:val="auto"/>
        </w:rPr>
      </w:pPr>
    </w:p>
    <w:p>
      <w:pPr>
        <w:widowControl/>
        <w:jc w:val="left"/>
        <w:rPr>
          <w:rFonts w:ascii="宋体" w:eastAsia="宋体" w:cs="宋体" w:hint="eastAsia"/>
          <w:sz w:val="18"/>
          <w:szCs w:val="18"/>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微软雅黑"/>
    <w:panose1 w:val="03000509000000000000"/>
    <w:charset w:val="86"/>
    <w:family w:val="auto"/>
    <w:pitch w:val="variable"/>
    <w:sig w:usb0="00000000" w:usb1="00000000" w:usb2="00000000" w:usb3="00000000" w:csb0="00040000" w:csb1="00000000"/>
  </w:font>
  <w:font w:name="仿宋_GB2312">
    <w:altName w:val="仿宋"/>
    <w:panose1 w:val="02010609030101010101"/>
    <w:charset w:val="86"/>
    <w:family w:val="modern"/>
    <w:pitch w:val="variable"/>
    <w:sig w:usb0="00000000" w:usb1="00000000" w:usb2="00000000" w:usb3="00000000" w:csb0="00040000" w:csb1="00000000"/>
  </w:font>
  <w:font w:name="方正小标宋简体">
    <w:altName w:val="黑体"/>
    <w:panose1 w:val="00000000000000000000"/>
    <w:charset w:val="86"/>
    <w:family w:val="auto"/>
    <w:pitch w:val="variable"/>
    <w:sig w:usb0="00000000" w:usb1="00000000" w:usb2="00000000" w:usb3="00000000" w:csb0="00040000" w:csb1="00000000"/>
  </w:font>
  <w:font w:name="Times New Roman">
    <w:panose1 w:val="02020603050405020304"/>
    <w:charset w:val="86"/>
    <w:family w:val="modern"/>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 w:name="楷体_GB2312">
    <w:altName w:val="楷体"/>
    <w:panose1 w:val="02010609030101010101"/>
    <w:charset w:val="86"/>
    <w:family w:val="auto"/>
    <w:pitch w:val="variable"/>
    <w:sig w:usb0="00000000" w:usb1="00000000" w:usb2="00000000" w:usb3="00000000" w:csb0="00040000" w:csb1="00000000"/>
  </w:font>
  <w:font w:name="宋体">
    <w:panose1 w:val="02010600030101010101"/>
    <w:charset w:val="50"/>
    <w:family w:val="auto"/>
    <w:pitch w:val="variable"/>
    <w:sig w:usb0="00000003" w:usb1="288F0000" w:usb2="00000006" w:usb3="00000000" w:csb0="00040001" w:csb1="00000000"/>
  </w:font>
  <w:font w:name="Calibri">
    <w:panose1 w:val="020F0502020204030204"/>
    <w:charset w:val="00"/>
    <w:family w:val="swiss"/>
    <w:pitch w:val="variable"/>
    <w:sig w:usb0="E4002EFF" w:usb1="C000247B" w:usb2="00000009" w:usb3="00000000" w:csb0="200001FF" w:csb1="00000000"/>
  </w:font>
  <w:font w:name="Arial">
    <w:panose1 w:val="020B0604020202020204"/>
    <w:charset w:val="01"/>
    <w:family w:val="swiss"/>
    <w:pitch w:val="variable"/>
    <w:sig w:usb0="E0002EFF" w:usb1="C000785B" w:usb2="00000009"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ZTgzNmEyOTFjMjZjODc0OGIyZjk3N2Q1Zjc3YWU5Mj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table of figures"/>
    <w:basedOn w:val="0"/>
    <w:next w:val="0"/>
    <w:pPr>
      <w:ind w:leftChars="200" w:left="400" w:hangingChars="200" w:hanging="200"/>
    </w:pPr>
  </w:style>
  <w:style w:type="paragraph" w:styleId="16">
    <w:name w:val="Body Text"/>
    <w:basedOn w:val="0"/>
    <w:pPr>
      <w:spacing w:beforeLines="30" w:before="30"/>
    </w:pPr>
    <w:rPr>
      <w:rFonts w:ascii="仿宋_GB2312" w:eastAsia="仿宋_GB2312"/>
      <w:kern w:val="0"/>
      <w:sz w:val="30"/>
    </w:rPr>
  </w:style>
  <w:style w:type="paragraph" w:styleId="17">
    <w:name w:val="Body Text Indent"/>
    <w:basedOn w:val="0"/>
    <w:pPr>
      <w:spacing w:after="120"/>
      <w:ind w:leftChars="200" w:left="200"/>
    </w:pPr>
    <w:rPr>
      <w:rFonts w:ascii="仿宋_GB2312" w:hAnsi="仿宋_GB2312"/>
      <w:szCs w:val="32"/>
    </w:rPr>
  </w:style>
  <w:style w:type="paragraph" w:styleId="18">
    <w:name w:val="footer"/>
    <w:basedOn w:val="0"/>
    <w:pPr>
      <w:tabs>
        <w:tab w:val="center" w:pos="4153"/>
        <w:tab w:val="right" w:pos="8306"/>
      </w:tabs>
      <w:snapToGrid w:val="0"/>
      <w:jc w:val="left"/>
    </w:pPr>
    <w:rPr>
      <w:rFonts w:ascii="Calibri" w:eastAsia="宋体" w:cs="Arial" w:hAnsi="Calibri"/>
      <w:sz w:val="18"/>
      <w:szCs w:val="18"/>
    </w:rPr>
  </w:style>
  <w:style w:type="paragraph" w:styleId="19">
    <w:name w:val="header"/>
    <w:basedOn w:val="0"/>
    <w:pPr>
      <w:pBdr>
        <w:bottom w:val="single" w:sz="6" w:space="1" w:color="auto"/>
      </w:pBdr>
      <w:tabs>
        <w:tab w:val="center" w:pos="4153"/>
        <w:tab w:val="right" w:pos="8306"/>
      </w:tabs>
      <w:snapToGrid w:val="0"/>
      <w:jc w:val="center"/>
    </w:pPr>
    <w:rPr>
      <w:rFonts w:ascii="Calibri" w:eastAsia="宋体" w:cs="Arial" w:hAnsi="Calibri"/>
      <w:sz w:val="18"/>
      <w:szCs w:val="18"/>
    </w:rPr>
  </w:style>
  <w:style w:type="paragraph" w:styleId="20">
    <w:name w:val="Body Text First Indent 2"/>
    <w:basedOn w:val="17"/>
    <w:pPr>
      <w:ind w:firstLineChars="200" w:firstLine="200"/>
    </w:pPr>
  </w:style>
  <w:style w:type="paragraph" w:customStyle="1" w:styleId="21">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Yozo_Office27021597764231179</Application>
  <Pages>19</Pages>
  <Words>8557</Words>
  <Characters>9059</Characters>
  <Lines>851</Lines>
  <Paragraphs>349</Paragraphs>
  <CharactersWithSpaces>9096</CharactersWithSpaces>
  <Company>Sky123.Org</Company>
</Properties>
</file>

<file path=docProps/core.xml><?xml version="1.0" encoding="utf-8"?>
<cp:coreProperties xmlns:cp="http://schemas.openxmlformats.org/package/2006/metadata/core-properties" xmlns:dc="http://purl.org/dc/elements/1.1/" xmlns:dcterms="http://purl.org/dc/terms/" xmlns:xsi="http://www.w3.org/2001/XMLSchema-instance">
  <dc:creator>Sky123.Org</dc:creator>
  <cp:lastModifiedBy>Administrator</cp:lastModifiedBy>
  <cp:revision>3</cp:revision>
  <dcterms:created xsi:type="dcterms:W3CDTF">2019-08-19T01:06:00Z</dcterms:created>
  <dcterms:modified xsi:type="dcterms:W3CDTF">2025-08-28T04:16:32Z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3115989309D741DA945EE44A488D69E1</vt:lpwstr>
  </property>
  <property fmtid="{D5CDD505-2E9C-101B-9397-08002B2CF9AE}" pid="4" name="KSOTemplateDocerSaveRecord">
    <vt:lpwstr>eyJoZGlkIjoiN2JhMTMyYjBmMmM3YjQ4NGJjMjBlYzdiNDk3NTAzMzgifQ==</vt:lpwstr>
  </property>
</Properties>
</file>