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</w:pPr>
      <w:bookmarkStart w:id="0" w:name="_Toc15396616"/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黑水县经济商务和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信息化局</w:t>
      </w:r>
    </w:p>
    <w:p>
      <w:pPr>
        <w:spacing w:line="600" w:lineRule="exact"/>
        <w:jc w:val="center"/>
        <w:outlineLvl w:val="0"/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2021年部门整体支出绩效评价报告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Cs/>
          <w:sz w:val="32"/>
          <w:szCs w:val="32"/>
        </w:rPr>
        <w:t>一、部门（单位）概况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（一）机构组成。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经济商务和信息化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下设办公室和综合业务股，内设招商引资服务中心。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仿宋" w:eastAsia="楷体_GB2312" w:cs="仿宋"/>
          <w:b/>
          <w:bCs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（二）机构职能。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经济商务和信息化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的主要职责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国内外贸易、外商投资和经济合作、博览事务、工业经济、信息化和无线电管理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制定全县商务和经济合作、工业经济、信息化和无线电管理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发展规划、年度计划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政策建议、办法措施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并组织实施。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负责统筹、协调、监督、管理全县服务业发展相关工作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城市商业网点规划、商业体系建设、涉及国内外贸易市场规划体系建设工作，拟订国内贸易、城乡市场体系发展规划和政策措施，并组织实施。负责组织或参与全县整顿和规范市场经济秩序相关工作，完善市场秩序举报投诉服务网络建设。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组织实施重要消费品市场调控和重要生产资料流通管理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重要消费品储备管理工作。按规定对汽车流通行业进行监督管理。负责全县对外贸易、交流、合作等相关工作。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负责全县开放合作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对外承包工程、对外劳务合作、出境就业、境外投资管理等相关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负责全县企业技术改造和创新、企业发展、企业对外合作和融资担保、行业管理等工作。负责全县产业园区建设发展服务工作。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负责工业和信息化领域的节能降耗、清洁生产和资源节约与综合利用工作。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负责全县信息化工作，指导电子政务、企业信息化、电子商务和物联网发展等相关工作。负责全县无线电监测、检测、干扰查处和无线电频谱规划、无线电电磁环境保护等无线电管理工作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接州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商务和经济合作局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、州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经济和信息化委员会办公室、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</w:rPr>
        <w:t>务科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人事教育科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以外的其他科室相关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（三）人员概况。</w:t>
      </w:r>
      <w:r>
        <w:rPr>
          <w:rFonts w:hint="eastAsia" w:ascii="仿宋_GB2312" w:hAnsi="仿宋" w:eastAsia="仿宋_GB2312" w:cs="仿宋"/>
          <w:sz w:val="32"/>
          <w:szCs w:val="32"/>
        </w:rPr>
        <w:t>总编制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32"/>
          <w:szCs w:val="32"/>
        </w:rPr>
        <w:t>名，其中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行政编制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名，工勤编制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名，事业编制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6人</w:t>
      </w:r>
      <w:r>
        <w:rPr>
          <w:rFonts w:hint="eastAsia" w:ascii="仿宋_GB2312" w:hAnsi="仿宋" w:eastAsia="仿宋_GB2312" w:cs="仿宋"/>
          <w:sz w:val="32"/>
          <w:szCs w:val="32"/>
        </w:rPr>
        <w:t>。在职人员总数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32"/>
          <w:szCs w:val="32"/>
        </w:rPr>
        <w:t>名，其中：行政人员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名，事业人员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名。</w:t>
      </w:r>
    </w:p>
    <w:p>
      <w:pPr>
        <w:spacing w:line="58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二、部门财政资金收支情况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（一）部门财政资金收入情况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2021年总收入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361.08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万元，其中：财政拨款收入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361.08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万元，占总收入100%。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（二）部门财政资金支出情况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2021年总支出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1518.31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万元。其中：基本支出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268.5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万元，占总支出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17.68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%，项目支出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1249.81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万元，占总支出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82.32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三、部门整体预算绩效管理情况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（一）预决算编制情况。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我局严格按照县财政局“人员经费按标准，公用经费按定额”的预算原则，编制2021年本级部门决算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1518.31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万元。根据县财政局关于做好2021年财务工作决算的通知要求，客观真实编制了2021年部门决算，2021年财政资金总支出为支出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1518.31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万元（其中人员经费支出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210.42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万元、公用经费支出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58.07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万元、项目经费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1249.81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）。我局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财政支出做出合理规划，对财政管理体制的完善、活动范围的合理界定、监督和约束都具有重要作用。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（二）执行管理情况。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局严格遵守县财政局经费来源和分配、管理、使用原则。一是规范账户管理。单位允许设立一个银行账户。严禁公款私存、私设小金库和账外账，所有资金收支必须在一个银行账户中反映。二是严格遵守支出审批制度。按照“量力而行、量入为出”的原则，合理安排经费。所有票据由经办人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室负责人签署意见，送财务室对票据的合法性、支出的真实性进行审核，报分管财务领导审核。单项支出金额无论大小，均由分管财务的领导审核后，报主要领导审批。公务支出一律使用公务卡支付。无划卡条件的，原则上采取银行转账方式支付。三是严格遵守财务内审和监督制度。我局历来高度重视内部财务管理，建立了内部财务管理制度。内部财务管理制度中包含了经费管理、经费审批、借款管理、现金及支票管理和财务管理五个方面。根据中央八项规定、省委十项规定、州委和县委相关规定，对“三公经费”、会议费、公务卡强制接算目录制度等进行了完善，单位领导干部加强对财政预算资金的管理，机关干部、职工都严格遵守财经纪律，严格按照财务管理制度照章办事，没有发生违反财经纪律、违反财务管理制度的情况。同时，在开支控制、办公用品采购、大宗印刷管理、公车改革、车辆租赁等方面严格执行相关制度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（三）综合管理情况。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（四）整体绩效。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1、部门支出绩效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（1）基本支出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本年度基本支出人员经费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210.42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万元，主要用于基本工资、津贴补贴、奖金、其他社会保障缴费、绩效工资、机关事业单位基本养老保险缴费、职业年金缴费、职工基本医疗保险缴费、退休费、生活补助、奖励金、住房公积金。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（2）公用支出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本年度基本支出公用经费支出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58.07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主要用于办公费、印刷费、水费、电费、邮电费、差旅费、维修（护）费、会议费、培训费、公务接待费、工会经费、福利费、其他交通费用、其他商品和服务支出、办公设备购置、信息网络及软件购置更新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（3）项目支出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本年度项目支出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1249.82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万元，主要用于2021年第一季度工业经济良好开局奖励资金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、兑现招商引资项目政策奖励资金、黑水县10KV石马县二期迁改（森林火灾隐患迁改）工程、2021年中央无线电管理经费预算、2020年疫情防控期间相关优惠政策资金、消费协作等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三公经费支出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我局2021年无因公出国（境）经费预算；本单位2021年“三公经费”支出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37.75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万元，其中公务用车运行维护费支出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4.75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万元，国内接待费支出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万元。与2020年公务用车运行维护费支出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3.47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万元，国内接待费支出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万元相比。公务用车运行维护费支出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1.28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万元，国内接待费支出减少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</w:t>
      </w:r>
      <w:bookmarkStart w:id="1" w:name="_GoBack"/>
      <w:bookmarkEnd w:id="1"/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3、其他重要事项的情况说明。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（1）机关运行经费：</w:t>
      </w:r>
      <w:r>
        <w:rPr>
          <w:rFonts w:hint="eastAsia" w:ascii="仿宋_GB2312" w:eastAsia="仿宋_GB2312"/>
          <w:color w:val="000000"/>
          <w:sz w:val="32"/>
          <w:szCs w:val="32"/>
        </w:rPr>
        <w:t>2021年，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color w:val="000000"/>
          <w:sz w:val="32"/>
          <w:szCs w:val="32"/>
        </w:rPr>
        <w:t>局机关运行经费支出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51.72</w:t>
      </w:r>
      <w:r>
        <w:rPr>
          <w:rFonts w:hint="eastAsia" w:ascii="仿宋_GB2312" w:eastAsia="仿宋_GB2312"/>
          <w:color w:val="000000"/>
          <w:sz w:val="32"/>
          <w:szCs w:val="32"/>
        </w:rPr>
        <w:t>万元，较2020年27.63万元增加24.09万元，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增长87.16%，原因是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今年新购置公务用车一辆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2.政府采购情况：2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021年安排政府采购预算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hAnsi="宋体" w:cs="仿宋_GB2312"/>
          <w:color w:val="000000"/>
          <w:sz w:val="31"/>
          <w:szCs w:val="31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3.国有资产占有使用情况：截至2021年底，财政局共有车辆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辆，单位价值200万元以上大型设备0台（套）。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（一）评价结论。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从自评情况来看，我局支出绩效水平较高，整体上完成了年初设定的绩效目标，保障了我局工作的正常运转，促进了我局的事业发展，充分发挥了财政资金的经济效益和社会效益。</w:t>
      </w:r>
    </w:p>
    <w:p>
      <w:pPr>
        <w:spacing w:line="580" w:lineRule="exact"/>
        <w:ind w:firstLine="643" w:firstLineChars="200"/>
        <w:rPr>
          <w:rFonts w:hint="default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（二）存在问题。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一是预算编制中的目标管理还有等加强。二是未执行中期评估，三是内控制度有待进一步建立健全。四是制度、方法、机制等创新力度不够。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（三）改进建议。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一是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二是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三是对相关人员加强培训，特别是针对《预算法》、《行政事业单位会计制度》等学习培训，规范部门预算收支核算，切实提高部门预算收支管理水平。四是进一步全面建立健全相关制度并在实际中运用，特别是加强单位内审和监督制度和机制的建立和健全工作;五是进一步加强学习，建立健全学习制度，在全局形成人人学法用法的良好氛围，真正做到工作有法可依，有法必依，通过学习创新工作方法、思路，进一步提高工作效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ODM4Mjc5NWJiZGQwMDc2ZDg1NGZkZWI5MDMwOWQifQ=="/>
  </w:docVars>
  <w:rsids>
    <w:rsidRoot w:val="00000000"/>
    <w:rsid w:val="050B1577"/>
    <w:rsid w:val="071A56B3"/>
    <w:rsid w:val="073B6B63"/>
    <w:rsid w:val="1B8E5E34"/>
    <w:rsid w:val="1FCD2542"/>
    <w:rsid w:val="31011B6F"/>
    <w:rsid w:val="38DE1A7D"/>
    <w:rsid w:val="549E7C13"/>
    <w:rsid w:val="56515122"/>
    <w:rsid w:val="599574F7"/>
    <w:rsid w:val="637E512E"/>
    <w:rsid w:val="6E4B4EE4"/>
    <w:rsid w:val="71B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3057</Words>
  <Characters>3235</Characters>
  <Lines>0</Lines>
  <Paragraphs>0</Paragraphs>
  <TotalTime>19</TotalTime>
  <ScaleCrop>false</ScaleCrop>
  <LinksUpToDate>false</LinksUpToDate>
  <CharactersWithSpaces>3237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2022-08-18T03:31:00Z</dcterms:created>
  <dc:creator>Administrator</dc:creator>
  <cp:lastModifiedBy>子矜</cp:lastModifiedBy>
  <dcterms:modified xsi:type="dcterms:W3CDTF">2022-08-20T03:12:20Z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C893852568D742E881D42F20454C3180</vt:lpwstr>
  </property>
</Properties>
</file>