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宋体" w:eastAsia="方正小标宋_GBK" w:cs="宋体"/>
          <w:bCs/>
          <w:sz w:val="44"/>
          <w:szCs w:val="44"/>
          <w:lang w:val="en-US" w:eastAsia="zh-CN"/>
        </w:rPr>
      </w:pPr>
      <w:bookmarkStart w:id="0" w:name="_Toc15396616"/>
      <w:r>
        <w:rPr>
          <w:rFonts w:hint="eastAsia" w:ascii="方正小标宋_GBK" w:hAnsi="宋体" w:eastAsia="方正小标宋_GBK" w:cs="宋体"/>
          <w:bCs/>
          <w:sz w:val="44"/>
          <w:szCs w:val="44"/>
          <w:lang w:eastAsia="zh-CN"/>
        </w:rPr>
        <w:t>黑水县经济商务和</w:t>
      </w:r>
      <w:r>
        <w:rPr>
          <w:rFonts w:hint="eastAsia" w:ascii="方正小标宋_GBK" w:hAnsi="宋体" w:eastAsia="方正小标宋_GBK" w:cs="宋体"/>
          <w:bCs/>
          <w:sz w:val="44"/>
          <w:szCs w:val="44"/>
          <w:lang w:val="en-US" w:eastAsia="zh-CN"/>
        </w:rPr>
        <w:t>信息化局</w:t>
      </w:r>
    </w:p>
    <w:p>
      <w:pPr>
        <w:spacing w:line="600" w:lineRule="exact"/>
        <w:jc w:val="center"/>
        <w:outlineLvl w:val="0"/>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2022年部门整体支出绩效评价报告</w:t>
      </w:r>
      <w:bookmarkEnd w:id="0"/>
    </w:p>
    <w:p>
      <w:pPr>
        <w:pStyle w:val="2"/>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仿宋" w:eastAsia="楷体_GB2312" w:cs="仿宋"/>
          <w:b/>
          <w:bCs/>
          <w:sz w:val="32"/>
          <w:szCs w:val="32"/>
        </w:rPr>
        <w:t>（一）机构组成。</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下设办公室和综合业务股，内设招商引资服务中心。</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lang w:eastAsia="zh-CN"/>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二</w:t>
      </w:r>
      <w:r>
        <w:rPr>
          <w:rFonts w:hint="eastAsia" w:ascii="楷体_GB2312" w:hAnsi="仿宋" w:eastAsia="楷体_GB2312" w:cs="仿宋"/>
          <w:b/>
          <w:bCs/>
          <w:sz w:val="32"/>
          <w:szCs w:val="32"/>
        </w:rPr>
        <w:t>）人员概况。</w:t>
      </w:r>
      <w:r>
        <w:rPr>
          <w:rFonts w:hint="eastAsia" w:ascii="仿宋_GB2312" w:hAnsi="仿宋" w:eastAsia="仿宋_GB2312" w:cs="仿宋"/>
          <w:sz w:val="32"/>
          <w:szCs w:val="32"/>
        </w:rPr>
        <w:t>行政编制</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名，工勤编制</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名，行政人员</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w:t>
      </w:r>
      <w:r>
        <w:rPr>
          <w:rFonts w:hint="eastAsia" w:ascii="楷体_GB2312" w:hAnsi="仿宋" w:eastAsia="楷体_GB2312" w:cs="仿宋"/>
          <w:b/>
          <w:bCs/>
          <w:sz w:val="32"/>
          <w:szCs w:val="32"/>
          <w:lang w:eastAsia="zh-CN"/>
        </w:rPr>
        <w:t>三</w:t>
      </w:r>
      <w:r>
        <w:rPr>
          <w:rFonts w:hint="eastAsia" w:ascii="楷体_GB2312" w:hAnsi="仿宋" w:eastAsia="楷体_GB2312" w:cs="仿宋"/>
          <w:b/>
          <w:bCs/>
          <w:sz w:val="32"/>
          <w:szCs w:val="32"/>
        </w:rPr>
        <w:t>）机构职能。</w:t>
      </w: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经济商务和信息化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的主要职责</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负责全县有关</w:t>
      </w:r>
      <w:r>
        <w:rPr>
          <w:rFonts w:hint="eastAsia" w:ascii="仿宋_GB2312" w:hAnsi="仿宋_GB2312" w:eastAsia="仿宋_GB2312" w:cs="仿宋_GB2312"/>
          <w:sz w:val="32"/>
          <w:szCs w:val="32"/>
        </w:rPr>
        <w:t>国内外贸易、外商投资和经济合作、博览事务、工业经济、信息化和无线电管理</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制定全县商务和经济合作、工业经济、信息化和无线电管理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发展规划、年度计划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政策建议、办法措施</w:t>
      </w:r>
      <w:r>
        <w:rPr>
          <w:rFonts w:hint="eastAsia" w:ascii="仿宋_GB2312" w:hAnsi="仿宋_GB2312" w:eastAsia="仿宋_GB2312" w:cs="仿宋_GB2312"/>
          <w:sz w:val="32"/>
          <w:szCs w:val="32"/>
        </w:rPr>
        <w:t>并组织实施。</w:t>
      </w:r>
      <w:r>
        <w:rPr>
          <w:rFonts w:hint="eastAsia" w:ascii="仿宋_GB2312" w:hAnsi="仿宋_GB2312" w:eastAsia="仿宋_GB2312" w:cs="仿宋_GB2312"/>
          <w:sz w:val="32"/>
          <w:szCs w:val="32"/>
          <w:lang w:val="en-US" w:eastAsia="zh-CN"/>
        </w:rPr>
        <w:t>负责统筹、协调、监督、管理全县服务业发展相关工作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负责城市商业网点规划、商业体系建设、涉及国内外贸易市场规划体系建设工作，拟订国内贸易、城乡市场体系发展规划和政策措施，并组织实施。负责组织或参与全县整顿和规范市场经济秩序相关工作，完善市场秩序举报投诉服务网络建设。负责</w:t>
      </w:r>
      <w:r>
        <w:rPr>
          <w:rFonts w:hint="eastAsia" w:ascii="仿宋_GB2312" w:hAnsi="仿宋_GB2312" w:eastAsia="仿宋_GB2312" w:cs="仿宋_GB2312"/>
          <w:sz w:val="32"/>
          <w:szCs w:val="32"/>
        </w:rPr>
        <w:t>组织实施重要消费品市场调控和重要生产资料流通管理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重要消费品储备管理工作。按规定对汽车流通行业进行监督管理。负责全县对外贸易、交流、合作等相关工作。</w:t>
      </w:r>
      <w:r>
        <w:rPr>
          <w:rFonts w:hint="eastAsia" w:ascii="仿宋_GB2312" w:hAnsi="仿宋_GB2312" w:eastAsia="仿宋_GB2312" w:cs="仿宋_GB2312"/>
          <w:sz w:val="32"/>
          <w:szCs w:val="32"/>
        </w:rPr>
        <w:t>负责全县开放合作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对外承包工程、对外劳务合作、出境就业、境外投资管理等相关</w:t>
      </w:r>
      <w:r>
        <w:rPr>
          <w:rFonts w:hint="eastAsia" w:ascii="仿宋_GB2312" w:hAnsi="仿宋_GB2312" w:eastAsia="仿宋_GB2312" w:cs="仿宋_GB2312"/>
          <w:sz w:val="32"/>
          <w:szCs w:val="32"/>
        </w:rPr>
        <w:t>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负责全县企业技术改造和创新、企业发展、企业对外合作和融资担保、行业管理等工作。负责全县产业园区建设发展服务工作。</w:t>
      </w:r>
      <w:r>
        <w:rPr>
          <w:rFonts w:hint="eastAsia" w:ascii="仿宋_GB2312" w:hAnsi="仿宋_GB2312" w:eastAsia="仿宋_GB2312" w:cs="仿宋_GB2312"/>
          <w:color w:val="000000"/>
          <w:sz w:val="32"/>
          <w:szCs w:val="32"/>
        </w:rPr>
        <w:t>负责工业和信息化领域的节能降耗、清洁生产和资源节约与综合利用工作。</w:t>
      </w:r>
      <w:r>
        <w:rPr>
          <w:rFonts w:hint="eastAsia" w:ascii="仿宋_GB2312" w:hAnsi="仿宋_GB2312" w:eastAsia="仿宋_GB2312" w:cs="仿宋_GB2312"/>
          <w:sz w:val="32"/>
          <w:szCs w:val="32"/>
          <w:lang w:val="en-US" w:eastAsia="zh-CN"/>
        </w:rPr>
        <w:t>负责全县信息化工作，指导电子政务、企业信息化、电子商务和物联网发展等相关工作。负责全县无线电监测、检测、干扰查处和无线电频谱规划、无线电电磁环境保护等无线电管理工作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eastAsia="zh-CN"/>
        </w:rPr>
        <w:t>接州</w:t>
      </w:r>
      <w:r>
        <w:rPr>
          <w:rFonts w:hint="eastAsia" w:ascii="仿宋_GB2312" w:hAnsi="仿宋_GB2312" w:eastAsia="仿宋_GB2312" w:cs="仿宋_GB2312"/>
          <w:sz w:val="32"/>
          <w:szCs w:val="32"/>
        </w:rPr>
        <w:t>商务和经济合作局</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经济和信息化委员会办公室、</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人事教育科</w:t>
      </w:r>
      <w:r>
        <w:rPr>
          <w:rFonts w:hint="eastAsia" w:ascii="仿宋_GB2312" w:hAnsi="仿宋_GB2312" w:eastAsia="仿宋_GB2312" w:cs="仿宋_GB2312"/>
          <w:sz w:val="32"/>
          <w:szCs w:val="32"/>
          <w:lang w:val="en-US" w:eastAsia="zh-CN"/>
        </w:rPr>
        <w:t>以外的其他科室相关</w:t>
      </w:r>
      <w:r>
        <w:rPr>
          <w:rFonts w:hint="eastAsia" w:ascii="仿宋_GB2312" w:hAnsi="仿宋_GB2312" w:eastAsia="仿宋_GB2312" w:cs="仿宋_GB2312"/>
          <w:sz w:val="32"/>
          <w:szCs w:val="32"/>
          <w:lang w:eastAsia="zh-CN"/>
        </w:rPr>
        <w:t>职责。</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二、部门财政资金收支情况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（一）部门财政资金收入情况</w:t>
      </w:r>
      <w:r>
        <w:rPr>
          <w:rFonts w:hint="eastAsia" w:ascii="楷体_GB2312" w:hAnsi="楷体_GB2312" w:eastAsia="楷体_GB2312" w:cs="楷体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年总收入</w:t>
      </w:r>
      <w:r>
        <w:rPr>
          <w:rFonts w:hint="eastAsia" w:ascii="仿宋_GB2312" w:hAnsi="仿宋" w:eastAsia="仿宋_GB2312"/>
          <w:color w:val="000000"/>
          <w:sz w:val="32"/>
          <w:szCs w:val="32"/>
          <w:lang w:val="en-US" w:eastAsia="zh-CN"/>
        </w:rPr>
        <w:t>1362.27</w:t>
      </w:r>
      <w:r>
        <w:rPr>
          <w:rFonts w:hint="eastAsia" w:ascii="仿宋_GB2312" w:hAnsi="仿宋" w:eastAsia="仿宋_GB2312"/>
          <w:color w:val="000000"/>
          <w:sz w:val="32"/>
          <w:szCs w:val="32"/>
        </w:rPr>
        <w:t>万元，其中：财政拨款收入</w:t>
      </w:r>
      <w:r>
        <w:rPr>
          <w:rFonts w:hint="eastAsia" w:ascii="仿宋_GB2312" w:hAnsi="仿宋" w:eastAsia="仿宋_GB2312"/>
          <w:color w:val="000000"/>
          <w:sz w:val="32"/>
          <w:szCs w:val="32"/>
          <w:lang w:val="en-US" w:eastAsia="zh-CN"/>
        </w:rPr>
        <w:t>1362.27</w:t>
      </w:r>
      <w:r>
        <w:rPr>
          <w:rFonts w:hint="eastAsia" w:ascii="仿宋_GB2312" w:hAnsi="仿宋" w:eastAsia="仿宋_GB2312"/>
          <w:color w:val="000000"/>
          <w:sz w:val="32"/>
          <w:szCs w:val="32"/>
        </w:rPr>
        <w:t>万元，占总收入100%。</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_GB2312"/>
          <w:sz w:val="32"/>
          <w:szCs w:val="32"/>
        </w:rPr>
      </w:pPr>
      <w:r>
        <w:rPr>
          <w:rFonts w:hint="eastAsia" w:ascii="楷体_GB2312" w:hAnsi="楷体_GB2312" w:eastAsia="楷体_GB2312" w:cs="楷体_GB2312"/>
          <w:b/>
          <w:bCs/>
          <w:sz w:val="32"/>
          <w:szCs w:val="32"/>
        </w:rPr>
        <w:t>（二）部门财政资金支出情况</w:t>
      </w:r>
      <w:r>
        <w:rPr>
          <w:rFonts w:hint="eastAsia" w:ascii="仿宋_GB2312" w:hAnsi="仿宋" w:eastAsia="仿宋_GB2312" w:cs="仿宋_GB2312"/>
          <w:sz w:val="32"/>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年总支出</w:t>
      </w:r>
      <w:r>
        <w:rPr>
          <w:rFonts w:hint="eastAsia" w:ascii="仿宋_GB2312" w:hAnsi="仿宋" w:eastAsia="仿宋_GB2312"/>
          <w:color w:val="000000"/>
          <w:sz w:val="32"/>
          <w:szCs w:val="32"/>
          <w:lang w:val="en-US" w:eastAsia="zh-CN"/>
        </w:rPr>
        <w:t>1397.06</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16.91</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12.11</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1227.94</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87..89</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_GB2312"/>
          <w:b/>
          <w:sz w:val="32"/>
          <w:szCs w:val="32"/>
        </w:rPr>
      </w:pPr>
      <w:r>
        <w:rPr>
          <w:rFonts w:hint="eastAsia" w:ascii="黑体" w:hAnsi="黑体" w:eastAsia="黑体" w:cs="黑体"/>
          <w:b/>
          <w:sz w:val="32"/>
          <w:szCs w:val="32"/>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部门预算管理。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1.</w:t>
      </w:r>
      <w:r>
        <w:rPr>
          <w:rFonts w:hint="eastAsia" w:ascii="仿宋_GB2312" w:hAnsi="仿宋" w:eastAsia="仿宋_GB2312"/>
          <w:b/>
          <w:bCs/>
          <w:color w:val="000000"/>
          <w:sz w:val="32"/>
          <w:szCs w:val="32"/>
        </w:rPr>
        <w:t>预决算编制情况。</w:t>
      </w:r>
      <w:r>
        <w:rPr>
          <w:rFonts w:hint="eastAsia" w:ascii="仿宋_GB2312" w:hAnsi="仿宋" w:eastAsia="仿宋_GB2312"/>
          <w:color w:val="000000"/>
          <w:sz w:val="32"/>
          <w:szCs w:val="32"/>
        </w:rPr>
        <w:t>我局严格按照县财政局“人员经费按标准，公用经费按定额”的预算原则，编制202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年本级部门决算</w:t>
      </w:r>
      <w:r>
        <w:rPr>
          <w:rFonts w:hint="eastAsia" w:ascii="仿宋_GB2312" w:hAnsi="仿宋" w:eastAsia="仿宋_GB2312"/>
          <w:color w:val="000000"/>
          <w:sz w:val="32"/>
          <w:szCs w:val="32"/>
          <w:lang w:val="en-US" w:eastAsia="zh-CN"/>
        </w:rPr>
        <w:t>1397.06</w:t>
      </w:r>
      <w:r>
        <w:rPr>
          <w:rFonts w:hint="eastAsia" w:ascii="仿宋_GB2312" w:hAnsi="仿宋" w:eastAsia="仿宋_GB2312"/>
          <w:color w:val="000000"/>
          <w:sz w:val="32"/>
          <w:szCs w:val="32"/>
        </w:rPr>
        <w:t>万元。根据县财政局关于做好202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年财务工作决算的通知要求，客观真实编制了202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年部门决算，202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年财政资金总支出为支出</w:t>
      </w:r>
      <w:r>
        <w:rPr>
          <w:rFonts w:hint="eastAsia" w:ascii="仿宋_GB2312" w:hAnsi="仿宋" w:eastAsia="仿宋_GB2312"/>
          <w:color w:val="000000"/>
          <w:sz w:val="32"/>
          <w:szCs w:val="32"/>
          <w:lang w:val="en-US" w:eastAsia="zh-CN"/>
        </w:rPr>
        <w:t>1397.06</w:t>
      </w:r>
      <w:r>
        <w:rPr>
          <w:rFonts w:hint="eastAsia" w:ascii="仿宋_GB2312" w:hAnsi="仿宋" w:eastAsia="仿宋_GB2312"/>
          <w:color w:val="000000"/>
          <w:sz w:val="32"/>
          <w:szCs w:val="32"/>
        </w:rPr>
        <w:t>万元（其中人员经费支出</w:t>
      </w:r>
      <w:r>
        <w:rPr>
          <w:rFonts w:hint="eastAsia" w:ascii="仿宋_GB2312" w:hAnsi="仿宋" w:eastAsia="仿宋_GB2312"/>
          <w:color w:val="000000"/>
          <w:sz w:val="32"/>
          <w:szCs w:val="32"/>
          <w:lang w:val="en-US" w:eastAsia="zh-CN"/>
        </w:rPr>
        <w:t>150.87</w:t>
      </w:r>
      <w:r>
        <w:rPr>
          <w:rFonts w:hint="eastAsia" w:ascii="仿宋_GB2312" w:hAnsi="仿宋" w:eastAsia="仿宋_GB2312"/>
          <w:color w:val="000000"/>
          <w:sz w:val="32"/>
          <w:szCs w:val="32"/>
        </w:rPr>
        <w:t>万元、公用经费支出</w:t>
      </w:r>
      <w:r>
        <w:rPr>
          <w:rFonts w:hint="eastAsia" w:ascii="仿宋_GB2312" w:hAnsi="仿宋" w:eastAsia="仿宋_GB2312"/>
          <w:color w:val="000000"/>
          <w:sz w:val="32"/>
          <w:szCs w:val="32"/>
          <w:lang w:val="en-US" w:eastAsia="zh-CN"/>
        </w:rPr>
        <w:t>18.25</w:t>
      </w:r>
      <w:r>
        <w:rPr>
          <w:rFonts w:hint="eastAsia" w:ascii="仿宋_GB2312" w:hAnsi="仿宋" w:eastAsia="仿宋_GB2312"/>
          <w:color w:val="000000"/>
          <w:sz w:val="32"/>
          <w:szCs w:val="32"/>
        </w:rPr>
        <w:t>万元、项目经费</w:t>
      </w:r>
      <w:r>
        <w:rPr>
          <w:rFonts w:hint="eastAsia" w:ascii="仿宋_GB2312" w:hAnsi="仿宋" w:eastAsia="仿宋_GB2312"/>
          <w:color w:val="000000"/>
          <w:sz w:val="32"/>
          <w:szCs w:val="32"/>
          <w:lang w:val="en-US" w:eastAsia="zh-CN"/>
        </w:rPr>
        <w:t>1227.94万元</w:t>
      </w:r>
      <w:r>
        <w:rPr>
          <w:rFonts w:hint="eastAsia" w:ascii="仿宋_GB2312" w:hAnsi="仿宋" w:eastAsia="仿宋_GB2312"/>
          <w:color w:val="000000"/>
          <w:sz w:val="32"/>
          <w:szCs w:val="32"/>
        </w:rPr>
        <w:t>）。我局</w:t>
      </w:r>
      <w:r>
        <w:rPr>
          <w:rFonts w:hint="eastAsia" w:ascii="仿宋_GB2312" w:hAnsi="仿宋" w:eastAsia="仿宋_GB2312"/>
          <w:color w:val="000000"/>
          <w:sz w:val="32"/>
          <w:szCs w:val="32"/>
          <w:lang w:eastAsia="zh-CN"/>
        </w:rPr>
        <w:t>对</w:t>
      </w:r>
      <w:r>
        <w:rPr>
          <w:rFonts w:hint="eastAsia" w:ascii="仿宋_GB2312" w:hAnsi="仿宋" w:eastAsia="仿宋_GB2312"/>
          <w:color w:val="000000"/>
          <w:sz w:val="32"/>
          <w:szCs w:val="32"/>
        </w:rPr>
        <w:t>财政支出做出合理规划，对财政管理体制的完善、活动范围的合理界定、监督和约束都具有重要作用。</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2.</w:t>
      </w:r>
      <w:r>
        <w:rPr>
          <w:rFonts w:hint="eastAsia" w:ascii="仿宋_GB2312" w:hAnsi="仿宋" w:eastAsia="仿宋_GB2312"/>
          <w:b/>
          <w:bCs/>
          <w:color w:val="000000"/>
          <w:sz w:val="32"/>
          <w:szCs w:val="32"/>
        </w:rPr>
        <w:t>执行管理情况</w:t>
      </w:r>
      <w:r>
        <w:rPr>
          <w:rFonts w:hint="eastAsia" w:ascii="楷体_GB2312" w:hAnsi="楷体_GB2312" w:eastAsia="楷体_GB2312" w:cs="楷体_GB2312"/>
          <w:b/>
          <w:bCs/>
          <w:sz w:val="32"/>
          <w:szCs w:val="32"/>
        </w:rPr>
        <w:t>。</w:t>
      </w:r>
      <w:r>
        <w:rPr>
          <w:rFonts w:hint="eastAsia" w:ascii="仿宋_GB2312" w:hAnsi="仿宋" w:eastAsia="仿宋_GB2312"/>
          <w:color w:val="000000"/>
          <w:sz w:val="32"/>
          <w:szCs w:val="32"/>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w:t>
      </w:r>
      <w:r>
        <w:rPr>
          <w:rFonts w:hint="eastAsia" w:ascii="仿宋_GB2312" w:hAnsi="仿宋" w:eastAsia="仿宋_GB2312"/>
          <w:color w:val="000000"/>
          <w:sz w:val="32"/>
          <w:szCs w:val="32"/>
          <w:lang w:eastAsia="zh-CN"/>
        </w:rPr>
        <w:t>股</w:t>
      </w:r>
      <w:r>
        <w:rPr>
          <w:rFonts w:hint="eastAsia" w:ascii="仿宋_GB2312" w:hAnsi="仿宋" w:eastAsia="仿宋_GB2312"/>
          <w:color w:val="000000"/>
          <w:sz w:val="32"/>
          <w:szCs w:val="32"/>
        </w:rPr>
        <w:t>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综合管理情况</w:t>
      </w:r>
      <w:r>
        <w:rPr>
          <w:rFonts w:hint="eastAsia" w:ascii="仿宋_GB2312" w:hAnsi="仿宋" w:eastAsia="仿宋_GB2312"/>
          <w:b/>
          <w:bCs/>
          <w:color w:val="000000"/>
          <w:sz w:val="32"/>
          <w:szCs w:val="32"/>
          <w:lang w:eastAsia="zh-CN"/>
        </w:rPr>
        <w:t>。</w:t>
      </w:r>
      <w:r>
        <w:rPr>
          <w:rFonts w:hint="eastAsia" w:ascii="仿宋_GB2312" w:hAnsi="仿宋" w:eastAsia="仿宋_GB2312"/>
          <w:color w:val="000000"/>
          <w:sz w:val="32"/>
          <w:szCs w:val="32"/>
        </w:rPr>
        <w:t>我</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（二）结果应用情况。</w:t>
      </w:r>
      <w:r>
        <w:rPr>
          <w:rFonts w:hint="eastAsia" w:ascii="楷体_GB2312" w:hAnsi="楷体_GB2312" w:eastAsia="楷体_GB2312" w:cs="楷体_GB2312"/>
          <w:b/>
          <w:bCs/>
          <w:sz w:val="32"/>
          <w:szCs w:val="32"/>
          <w:lang w:val="zh-CN"/>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zh-CN"/>
        </w:rPr>
        <w:t>我单位严格按照县财政通知要求公开预算、决算、部门整体绩效；严格按照县财政局要求对部门整体全面进行绩效评价，并及时上报财政，对绩效评价发现问题制定整改措施，并整改落实到位；严格按照县财政局文件要求及时进行自查，并上报材料，未发现违纪违规问题。2根据部门职能职责，认真完成县委县政府安排的各项专项工作任务及其他年度重点工作任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（四）整体绩效。</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仿宋_GB2312"/>
          <w:sz w:val="32"/>
          <w:szCs w:val="32"/>
        </w:rPr>
      </w:pPr>
      <w:r>
        <w:rPr>
          <w:rFonts w:hint="eastAsia" w:ascii="仿宋_GB2312" w:hAnsi="仿宋" w:eastAsia="仿宋_GB2312" w:cs="仿宋_GB2312"/>
          <w:b/>
          <w:bCs/>
          <w:sz w:val="32"/>
          <w:szCs w:val="32"/>
        </w:rPr>
        <w:t>1、部门支出绩效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hint="eastAsia" w:ascii="仿宋_GB2312" w:hAnsi="仿宋" w:eastAsia="仿宋_GB2312"/>
          <w:color w:val="000000"/>
          <w:sz w:val="32"/>
          <w:szCs w:val="32"/>
          <w:lang w:val="en-US" w:eastAsia="zh-CN"/>
        </w:rPr>
        <w:t>150.87</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w:t>
      </w:r>
      <w:bookmarkStart w:id="1" w:name="_GoBack"/>
      <w:bookmarkEnd w:id="1"/>
      <w:r>
        <w:rPr>
          <w:rFonts w:hint="eastAsia" w:ascii="仿宋_GB2312" w:hAnsi="仿宋" w:eastAsia="仿宋_GB2312"/>
          <w:color w:val="000000"/>
          <w:sz w:val="32"/>
          <w:szCs w:val="32"/>
        </w:rPr>
        <w:t>缴费、退休费、生活补助、奖励金、住房公积金。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hint="eastAsia" w:ascii="仿宋_GB2312" w:hAnsi="仿宋" w:eastAsia="仿宋_GB2312"/>
          <w:color w:val="000000"/>
          <w:sz w:val="32"/>
          <w:szCs w:val="32"/>
          <w:lang w:val="en-US" w:eastAsia="zh-CN"/>
        </w:rPr>
        <w:t>18.25</w:t>
      </w:r>
      <w:r>
        <w:rPr>
          <w:rFonts w:hint="eastAsia" w:ascii="仿宋_GB2312" w:hAnsi="仿宋" w:eastAsia="仿宋_GB2312"/>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（3）项目支出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本年度项目支出</w:t>
      </w:r>
      <w:r>
        <w:rPr>
          <w:rFonts w:hint="eastAsia" w:ascii="仿宋_GB2312" w:hAnsi="仿宋" w:eastAsia="仿宋_GB2312"/>
          <w:color w:val="000000"/>
          <w:sz w:val="32"/>
          <w:szCs w:val="32"/>
          <w:lang w:val="en-US" w:eastAsia="zh-CN"/>
        </w:rPr>
        <w:t>1227.94</w:t>
      </w:r>
      <w:r>
        <w:rPr>
          <w:rFonts w:hint="eastAsia" w:ascii="仿宋_GB2312" w:hAnsi="仿宋" w:eastAsia="仿宋_GB2312"/>
          <w:color w:val="000000"/>
          <w:sz w:val="32"/>
          <w:szCs w:val="32"/>
        </w:rPr>
        <w:t>万元，主要用于</w:t>
      </w:r>
      <w:r>
        <w:rPr>
          <w:rFonts w:hint="eastAsia" w:ascii="仿宋_GB2312" w:hAnsi="仿宋" w:eastAsia="仿宋_GB2312"/>
          <w:color w:val="000000"/>
          <w:sz w:val="32"/>
          <w:szCs w:val="32"/>
          <w:lang w:eastAsia="zh-CN"/>
        </w:rPr>
        <w:t>兑现招商引资项目政策奖励资金、黑水县</w:t>
      </w:r>
      <w:r>
        <w:rPr>
          <w:rFonts w:hint="eastAsia" w:ascii="仿宋_GB2312" w:hAnsi="仿宋" w:eastAsia="仿宋_GB2312"/>
          <w:color w:val="000000"/>
          <w:sz w:val="32"/>
          <w:szCs w:val="32"/>
          <w:lang w:val="en-US" w:eastAsia="zh-CN"/>
        </w:rPr>
        <w:t>长河坝生态农业产业园区产业配套实施提升改造项目</w:t>
      </w:r>
      <w:r>
        <w:rPr>
          <w:rFonts w:hint="eastAsia" w:ascii="仿宋_GB2312" w:hAnsi="仿宋" w:eastAsia="仿宋_GB2312"/>
          <w:color w:val="000000"/>
          <w:sz w:val="32"/>
          <w:szCs w:val="32"/>
          <w:lang w:eastAsia="zh-CN"/>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年中央无线电管理经费预算、消费协作等</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、其他重要事项的情况说明。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cs="仿宋_GB2312"/>
          <w:color w:val="000000"/>
          <w:sz w:val="31"/>
          <w:szCs w:val="31"/>
        </w:rPr>
      </w:pPr>
      <w:r>
        <w:rPr>
          <w:rFonts w:hint="eastAsia" w:ascii="仿宋_GB2312" w:hAnsi="仿宋" w:eastAsia="仿宋_GB2312" w:cs="仿宋_GB2312"/>
          <w:sz w:val="32"/>
          <w:szCs w:val="32"/>
        </w:rPr>
        <w:t>国有资产占有使用情况：截至202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年底，财政局共有车辆</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辆，单位价值200万元以上大型设备0台（套）。</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四、评价结论及建议</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_GB2312" w:hAnsi="仿宋" w:eastAsia="楷体_GB2312" w:cs="仿宋"/>
          <w:b/>
          <w:bCs/>
          <w:sz w:val="32"/>
          <w:szCs w:val="32"/>
          <w:lang w:val="en-US" w:eastAsia="zh-CN"/>
        </w:rPr>
      </w:pPr>
      <w:r>
        <w:rPr>
          <w:rFonts w:hint="eastAsia" w:ascii="楷体_GB2312" w:hAnsi="仿宋" w:eastAsia="楷体_GB2312" w:cs="仿宋"/>
          <w:b/>
          <w:bCs/>
          <w:sz w:val="32"/>
          <w:szCs w:val="32"/>
          <w:lang w:val="en-US" w:eastAsia="zh-CN"/>
        </w:rPr>
        <w:t>（一）评价结论。</w:t>
      </w:r>
      <w:r>
        <w:rPr>
          <w:rFonts w:hint="eastAsia" w:ascii="仿宋_GB2312" w:hAnsi="仿宋" w:eastAsia="仿宋_GB2312" w:cs="仿宋_GB2312"/>
          <w:sz w:val="32"/>
          <w:szCs w:val="32"/>
          <w:lang w:val="en-US" w:eastAsia="zh-CN"/>
        </w:rPr>
        <w:t>从自评情况来看，我局支出绩效水平较高，整体上完成了年初设定的绩效目标，保障了我局工作的正常运转，促进了我局的事业发展，充分发挥了财政资金的经济效益和社会效益。</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_GB2312" w:hAnsi="仿宋" w:eastAsia="仿宋_GB2312" w:cs="仿宋_GB2312"/>
          <w:sz w:val="32"/>
          <w:szCs w:val="32"/>
          <w:lang w:eastAsia="zh-CN"/>
        </w:rPr>
      </w:pPr>
      <w:r>
        <w:rPr>
          <w:rFonts w:hint="eastAsia" w:ascii="楷体_GB2312" w:hAnsi="仿宋" w:eastAsia="楷体_GB2312" w:cs="仿宋"/>
          <w:b/>
          <w:bCs/>
          <w:sz w:val="32"/>
          <w:szCs w:val="32"/>
          <w:lang w:val="en-US" w:eastAsia="zh-CN"/>
        </w:rPr>
        <w:t>（二）存在问题。</w:t>
      </w:r>
      <w:r>
        <w:rPr>
          <w:rFonts w:hint="eastAsia" w:ascii="仿宋_GB2312" w:hAnsi="仿宋" w:eastAsia="仿宋_GB2312" w:cs="仿宋_GB2312"/>
          <w:sz w:val="32"/>
          <w:szCs w:val="32"/>
          <w:lang w:val="en-US" w:eastAsia="zh-CN"/>
        </w:rPr>
        <w:t>一是预算编制中的目标管理还有待加强。二是未执行中期评估，三是内控制度有待进一步建立健全。四是制度、方法、机制等创新力度不够。</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 w:eastAsia="仿宋_GB2312" w:cs="仿宋_GB2312"/>
          <w:sz w:val="32"/>
          <w:szCs w:val="32"/>
          <w:lang w:val="en-US" w:eastAsia="zh-CN"/>
        </w:rPr>
      </w:pPr>
      <w:r>
        <w:rPr>
          <w:rFonts w:hint="eastAsia" w:ascii="楷体_GB2312" w:hAnsi="仿宋" w:eastAsia="楷体_GB2312" w:cs="仿宋"/>
          <w:b/>
          <w:bCs/>
          <w:sz w:val="32"/>
          <w:szCs w:val="32"/>
          <w:lang w:val="en-US" w:eastAsia="zh-CN"/>
        </w:rPr>
        <w:t>（三）改进建议。</w:t>
      </w:r>
      <w:r>
        <w:rPr>
          <w:rFonts w:hint="eastAsia" w:ascii="仿宋_GB2312" w:hAnsi="仿宋" w:eastAsia="仿宋_GB2312" w:cs="仿宋_GB2312"/>
          <w:sz w:val="32"/>
          <w:szCs w:val="32"/>
          <w:lang w:val="en-US" w:eastAsia="zh-CN"/>
        </w:rPr>
        <w:t>一是加强财务管理，严格财务审核。加强单位财务管理，健全单位财务管理制度体系，规范单位财务行为。在费用报账支付时，按照预算规定的费用项目和用途进行资金使用审核、列报支付、财务核算，杜绝超支现象的发生。二是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三是对相关人员加强培训，特别是针对《预算法》、《行政事业单位会计制度》等学习培训，规范部门预算收支核算，切实提高部门预算收支管理水平。四是进一步全面建立健全相关制度并在实际中运用，特别是加强单位内审和监督制度和机制的建立和健全工作;五是进一步加强学习，建立健全学习制度，在全局形成人人学法用法的良好氛围，真正做到工作有法可依，有法必依，通过学习创新工作方法、思路，进一步提高工作效率。</w:t>
      </w:r>
    </w:p>
    <w:p>
      <w:pPr>
        <w:keepNext w:val="0"/>
        <w:keepLines w:val="0"/>
        <w:pageBreakBefore w:val="0"/>
        <w:kinsoku/>
        <w:wordWrap/>
        <w:overflowPunct/>
        <w:topLinePunct w:val="0"/>
        <w:autoSpaceDE/>
        <w:autoSpaceDN/>
        <w:bidi w:val="0"/>
        <w:spacing w:line="560" w:lineRule="exact"/>
        <w:ind w:firstLine="420" w:firstLineChars="200"/>
        <w:textAlignment w:val="auto"/>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DNiMzE3YmFlMWM4YjA4OGZiN2MyZGQ1YzhhYWMifQ=="/>
  </w:docVars>
  <w:rsids>
    <w:rsidRoot w:val="00491B22"/>
    <w:rsid w:val="00291808"/>
    <w:rsid w:val="00491B22"/>
    <w:rsid w:val="0052390C"/>
    <w:rsid w:val="18E12321"/>
    <w:rsid w:val="34EB1F43"/>
    <w:rsid w:val="36435EC2"/>
    <w:rsid w:val="4B936091"/>
    <w:rsid w:val="60D032A5"/>
    <w:rsid w:val="627D22BC"/>
    <w:rsid w:val="6988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2989</Words>
  <Characters>3106</Characters>
  <Lines>2</Lines>
  <Paragraphs>1</Paragraphs>
  <TotalTime>8</TotalTime>
  <ScaleCrop>false</ScaleCrop>
  <LinksUpToDate>false</LinksUpToDate>
  <CharactersWithSpaces>3107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cp:lastModifiedBy>
  <cp:lastPrinted>2023-08-17T09:30:00Z</cp:lastPrinted>
  <dcterms:modified xsi:type="dcterms:W3CDTF">2023-08-24T16:15:15Z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9ECEAC5034C446D49A314C9674CB217B_13</vt:lpwstr>
  </property>
</Properties>
</file>