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2022年第一批省级内贸流通服务业发展</w:t>
      </w:r>
    </w:p>
    <w:p>
      <w:pPr>
        <w:pStyle w:val="12"/>
        <w:keepNext w:val="0"/>
        <w:keepLines w:val="0"/>
        <w:pageBreakBefore w:val="0"/>
        <w:widowControl w:val="0"/>
        <w:kinsoku/>
        <w:wordWrap/>
        <w:overflowPunct/>
        <w:topLinePunct w:val="0"/>
        <w:autoSpaceDE/>
        <w:autoSpaceDN/>
        <w:bidi w:val="0"/>
        <w:spacing w:line="578" w:lineRule="exact"/>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专项资金预算项目绩效评价报告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eastAsia="仿宋_GB2312" w:cs="仿宋_GB2312"/>
          <w:b w:val="0"/>
          <w:bCs/>
          <w:color w:val="auto"/>
          <w:sz w:val="32"/>
          <w:szCs w:val="32"/>
          <w:highlight w:val="none"/>
          <w:u w:val="none"/>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eastAsia="仿宋_GB2312" w:cs="仿宋_GB2312"/>
          <w:b w:val="0"/>
          <w:bCs/>
          <w:color w:val="auto"/>
          <w:sz w:val="32"/>
          <w:szCs w:val="32"/>
          <w:highlight w:val="none"/>
          <w:u w:val="none"/>
          <w:lang w:val="zh-CN"/>
        </w:rPr>
        <w:t>按照商务部《农贸市场建设规</w:t>
      </w:r>
      <w:bookmarkStart w:id="1" w:name="_GoBack"/>
      <w:bookmarkEnd w:id="1"/>
      <w:r>
        <w:rPr>
          <w:rFonts w:hint="eastAsia" w:ascii="仿宋_GB2312" w:hAnsi="仿宋_GB2312" w:eastAsia="仿宋_GB2312" w:cs="仿宋_GB2312"/>
          <w:b w:val="0"/>
          <w:bCs/>
          <w:color w:val="auto"/>
          <w:sz w:val="32"/>
          <w:szCs w:val="32"/>
          <w:highlight w:val="none"/>
          <w:u w:val="none"/>
          <w:lang w:val="zh-CN"/>
        </w:rPr>
        <w:t>范》和《标准化菜市场设备与管理规范》等系列标准，</w:t>
      </w:r>
      <w:r>
        <w:rPr>
          <w:rFonts w:hint="eastAsia" w:ascii="仿宋_GB2312" w:hAnsi="仿宋_GB2312" w:cs="仿宋_GB2312"/>
          <w:b w:val="0"/>
          <w:bCs/>
          <w:color w:val="auto"/>
          <w:sz w:val="32"/>
          <w:szCs w:val="32"/>
          <w:highlight w:val="none"/>
          <w:u w:val="none"/>
          <w:lang w:val="zh-CN"/>
        </w:rPr>
        <w:t>要求</w:t>
      </w:r>
      <w:r>
        <w:rPr>
          <w:rFonts w:hint="eastAsia" w:ascii="仿宋_GB2312" w:hAnsi="仿宋_GB2312" w:eastAsia="仿宋_GB2312" w:cs="仿宋_GB2312"/>
          <w:b w:val="0"/>
          <w:bCs/>
          <w:color w:val="auto"/>
          <w:sz w:val="32"/>
          <w:szCs w:val="32"/>
          <w:highlight w:val="none"/>
          <w:u w:val="none"/>
          <w:lang w:val="zh-CN"/>
        </w:rPr>
        <w:t>截止2024年完成</w:t>
      </w:r>
      <w:r>
        <w:rPr>
          <w:rFonts w:hint="eastAsia" w:ascii="仿宋_GB2312" w:hAnsi="仿宋_GB2312" w:cs="仿宋_GB2312"/>
          <w:b w:val="0"/>
          <w:bCs/>
          <w:color w:val="auto"/>
          <w:sz w:val="32"/>
          <w:szCs w:val="32"/>
          <w:highlight w:val="none"/>
          <w:u w:val="none"/>
          <w:lang w:val="en-US" w:eastAsia="zh-CN"/>
        </w:rPr>
        <w:t>1</w:t>
      </w:r>
      <w:r>
        <w:rPr>
          <w:rFonts w:hint="eastAsia" w:ascii="仿宋_GB2312" w:hAnsi="仿宋_GB2312" w:eastAsia="仿宋_GB2312" w:cs="仿宋_GB2312"/>
          <w:b w:val="0"/>
          <w:bCs/>
          <w:color w:val="auto"/>
          <w:sz w:val="32"/>
          <w:szCs w:val="32"/>
          <w:highlight w:val="none"/>
          <w:u w:val="none"/>
          <w:lang w:val="zh-CN"/>
        </w:rPr>
        <w:t>个中心镇农贸市场建设。黑水县辖7乡8镇，100 个行政村，4个居委会，2021年底常住人口4.3万人，其中：城市人口1.7万人，农村人口2.6万人。目前仅县级人民政府驻地芦花镇有1个农贸市场，占地面积2亩，共有摊位35个，入驻商户35户。其余乡镇无农贸市场。</w:t>
      </w:r>
      <w:r>
        <w:rPr>
          <w:rFonts w:hint="eastAsia" w:ascii="仿宋_GB2312" w:hAnsi="仿宋_GB2312" w:cs="仿宋_GB2312"/>
          <w:b w:val="0"/>
          <w:bCs/>
          <w:color w:val="auto"/>
          <w:sz w:val="32"/>
          <w:szCs w:val="32"/>
          <w:highlight w:val="none"/>
          <w:u w:val="none"/>
          <w:lang w:val="zh-CN"/>
        </w:rPr>
        <w:t>结合我县实际，建设实施</w:t>
      </w:r>
      <w:r>
        <w:rPr>
          <w:rFonts w:hint="eastAsia" w:ascii="仿宋_GB2312" w:hAnsi="仿宋_GB2312" w:cs="仿宋_GB2312"/>
          <w:color w:val="auto"/>
          <w:kern w:val="0"/>
          <w:sz w:val="32"/>
          <w:szCs w:val="32"/>
          <w:highlight w:val="none"/>
          <w:u w:val="none"/>
          <w:shd w:val="clear" w:color="auto" w:fill="FFFFFF"/>
          <w:lang w:val="zh-CN" w:eastAsia="zh-CN"/>
        </w:rPr>
        <w:t>黑水县中心镇农贸市场为知木林农贸</w:t>
      </w:r>
      <w:r>
        <w:rPr>
          <w:rFonts w:hint="eastAsia" w:ascii="仿宋_GB2312" w:hAnsi="仿宋_GB2312" w:eastAsia="仿宋_GB2312" w:cs="仿宋_GB2312"/>
          <w:b w:val="0"/>
          <w:bCs/>
          <w:color w:val="auto"/>
          <w:sz w:val="32"/>
          <w:szCs w:val="32"/>
          <w:highlight w:val="none"/>
          <w:u w:val="none"/>
          <w:lang w:val="zh-CN" w:eastAsia="zh-CN"/>
        </w:rPr>
        <w:t>市场，</w:t>
      </w:r>
      <w:r>
        <w:rPr>
          <w:rFonts w:hint="eastAsia" w:ascii="仿宋_GB2312" w:hAnsi="仿宋_GB2312" w:eastAsia="仿宋_GB2312" w:cs="仿宋_GB2312"/>
          <w:b w:val="0"/>
          <w:bCs/>
          <w:color w:val="auto"/>
          <w:sz w:val="32"/>
          <w:szCs w:val="32"/>
          <w:highlight w:val="none"/>
          <w:u w:val="none"/>
          <w:lang w:val="en-US" w:eastAsia="zh-CN"/>
        </w:rPr>
        <w:t>建筑面积287.56m2,建设内容包含新建知木林农贸市场和配套厕所维修，估算总投资126.49万元</w:t>
      </w:r>
      <w:r>
        <w:rPr>
          <w:rFonts w:hint="eastAsia" w:ascii="仿宋_GB2312" w:hAnsi="仿宋_GB2312" w:eastAsia="仿宋_GB2312" w:cs="仿宋_GB2312"/>
          <w:b w:val="0"/>
          <w:bCs/>
          <w:color w:val="auto"/>
          <w:sz w:val="32"/>
          <w:szCs w:val="32"/>
          <w:highlight w:val="none"/>
          <w:u w:val="none"/>
          <w:lang w:val="zh-CN" w:eastAsia="zh-CN"/>
        </w:rPr>
        <w:t>，</w:t>
      </w:r>
      <w:r>
        <w:rPr>
          <w:rFonts w:hint="eastAsia" w:ascii="仿宋_GB2312" w:hAnsi="仿宋_GB2312" w:eastAsia="仿宋_GB2312" w:cs="仿宋_GB2312"/>
          <w:b w:val="0"/>
          <w:bCs/>
          <w:color w:val="auto"/>
          <w:sz w:val="32"/>
          <w:szCs w:val="32"/>
          <w:highlight w:val="none"/>
          <w:u w:val="none"/>
          <w:lang w:val="en-US" w:eastAsia="zh-CN"/>
        </w:rPr>
        <w:t>项目于2023年7月10日开工，10月20日竣工，目前已完成财务决算</w:t>
      </w:r>
      <w:r>
        <w:rPr>
          <w:rFonts w:hint="eastAsia" w:ascii="仿宋_GB2312" w:hAnsi="仿宋_GB2312" w:eastAsia="仿宋_GB2312" w:cs="仿宋_GB2312"/>
          <w:b w:val="0"/>
          <w:bCs/>
          <w:color w:val="auto"/>
          <w:sz w:val="32"/>
          <w:szCs w:val="32"/>
          <w:highlight w:val="none"/>
          <w:u w:val="none"/>
          <w:lang w:val="zh-CN" w:eastAsia="zh-CN"/>
        </w:rPr>
        <w:t>，2023年资金全部拨付完成。</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cs="仿宋_GB2312"/>
          <w:color w:val="auto"/>
          <w:kern w:val="0"/>
          <w:sz w:val="32"/>
          <w:szCs w:val="32"/>
          <w:highlight w:val="none"/>
          <w:u w:val="none"/>
          <w:shd w:val="clear" w:color="auto" w:fill="FFFFFF"/>
          <w:lang w:val="en-US" w:eastAsia="zh-CN"/>
        </w:rPr>
        <w:t>支持黑水县增强中心镇商贸流通能力，提升农贸市场食品安全、疫情防控水平，促进县域商业体系高质量发展</w:t>
      </w:r>
      <w:r>
        <w:rPr>
          <w:rFonts w:hint="eastAsia" w:ascii="仿宋_GB2312" w:hAnsi="仿宋_GB2312" w:cs="仿宋_GB2312"/>
          <w:color w:val="auto"/>
          <w:kern w:val="0"/>
          <w:sz w:val="32"/>
          <w:szCs w:val="32"/>
          <w:highlight w:val="none"/>
          <w:u w:val="none"/>
          <w:shd w:val="clear" w:color="auto" w:fill="FFFFFF"/>
          <w:lang w:val="zh-CN"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2" w:firstLineChars="200"/>
        <w:contextualSpacing/>
        <w:jc w:val="left"/>
        <w:textAlignment w:val="auto"/>
        <w:rPr>
          <w:rFonts w:hint="default" w:ascii="仿宋_GB2312" w:hAnsi="仿宋_GB2312" w:eastAsia="仿宋_GB2312" w:cs="仿宋_GB2312"/>
          <w:b w:val="0"/>
          <w:bCs/>
          <w:color w:val="auto"/>
          <w:sz w:val="32"/>
          <w:szCs w:val="32"/>
          <w:highlight w:val="none"/>
          <w:u w:val="none"/>
          <w:lang w:val="en-US" w:eastAsia="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eastAsia="仿宋_GB2312" w:cs="仿宋_GB2312"/>
          <w:b w:val="0"/>
          <w:bCs/>
          <w:color w:val="auto"/>
          <w:sz w:val="32"/>
          <w:szCs w:val="32"/>
          <w:highlight w:val="none"/>
          <w:u w:val="none"/>
          <w:lang w:val="zh-CN" w:eastAsia="zh-CN"/>
        </w:rPr>
        <w:t>资金来源于省级内贸流通服务业发展专项资金100万元，已通过阿州财建〔2022〕68号文件和黑财建〔2022〕10号文件下达，黑水县中心镇农贸市场建设项目预算总投资126.49万元，</w:t>
      </w:r>
      <w:r>
        <w:rPr>
          <w:rFonts w:hint="eastAsia" w:ascii="仿宋_GB2312" w:hAnsi="仿宋_GB2312" w:eastAsia="仿宋_GB2312" w:cs="仿宋_GB2312"/>
          <w:b w:val="0"/>
          <w:bCs/>
          <w:color w:val="auto"/>
          <w:sz w:val="32"/>
          <w:szCs w:val="32"/>
          <w:highlight w:val="none"/>
          <w:u w:val="none"/>
          <w:lang w:val="en-US" w:eastAsia="zh-CN"/>
        </w:rPr>
        <w:t>实际总投资105.85万元，其中施工费91.42万元，二类费14.43万元</w:t>
      </w:r>
      <w:r>
        <w:rPr>
          <w:rFonts w:hint="eastAsia" w:ascii="仿宋_GB2312" w:hAnsi="仿宋_GB2312" w:eastAsia="仿宋_GB2312" w:cs="仿宋_GB2312"/>
          <w:b w:val="0"/>
          <w:bCs/>
          <w:color w:val="auto"/>
          <w:sz w:val="32"/>
          <w:szCs w:val="32"/>
          <w:highlight w:val="none"/>
          <w:u w:val="none"/>
          <w:lang w:val="zh-CN" w:eastAsia="zh-CN"/>
        </w:rPr>
        <w:t>，目前资金已全额拨付，拨付率</w:t>
      </w:r>
      <w:r>
        <w:rPr>
          <w:rFonts w:hint="eastAsia" w:ascii="仿宋_GB2312" w:hAnsi="仿宋_GB2312" w:eastAsia="仿宋_GB2312" w:cs="仿宋_GB2312"/>
          <w:b w:val="0"/>
          <w:bCs/>
          <w:color w:val="auto"/>
          <w:sz w:val="32"/>
          <w:szCs w:val="32"/>
          <w:highlight w:val="none"/>
          <w:u w:val="none"/>
          <w:lang w:val="en-US" w:eastAsia="zh-CN"/>
        </w:rPr>
        <w:t>100%。</w:t>
      </w:r>
    </w:p>
    <w:p>
      <w:pPr>
        <w:keepNext w:val="0"/>
        <w:keepLines w:val="0"/>
        <w:pageBreakBefore w:val="0"/>
        <w:widowControl w:val="0"/>
        <w:kinsoku/>
        <w:wordWrap/>
        <w:overflowPunct/>
        <w:topLinePunct w:val="0"/>
        <w:autoSpaceDE/>
        <w:autoSpaceDN/>
        <w:adjustRightInd w:val="0"/>
        <w:snapToGrid w:val="0"/>
        <w:spacing w:line="578" w:lineRule="exact"/>
        <w:ind w:firstLine="642" w:firstLineChars="200"/>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cs="仿宋_GB2312"/>
          <w:color w:val="auto"/>
          <w:kern w:val="0"/>
          <w:sz w:val="32"/>
          <w:szCs w:val="32"/>
          <w:highlight w:val="none"/>
          <w:u w:val="none"/>
          <w:shd w:val="clear" w:color="auto" w:fill="FFFFFF"/>
          <w:lang w:val="zh-CN" w:eastAsia="zh-CN"/>
        </w:rPr>
        <w:t>项目整体、区域和具体绩效目标设置情况，项目自评工作开展情况。</w:t>
      </w:r>
      <w:r>
        <w:rPr>
          <w:rFonts w:hint="eastAsia" w:ascii="仿宋_GB2312" w:eastAsia="仿宋_GB2312" w:cs="仿宋"/>
          <w:b w:val="0"/>
          <w:sz w:val="32"/>
          <w:szCs w:val="32"/>
          <w:lang w:val="zh-CN" w:eastAsia="zh-CN"/>
        </w:rPr>
        <w:t>项目按照基本建设程序执行。</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ascii="楷体_GB2312" w:hAnsi="宋体" w:eastAsia="楷体_GB2312"/>
          <w:b/>
          <w:lang w:val="zh-CN"/>
        </w:rPr>
      </w:pPr>
      <w:r>
        <w:rPr>
          <w:rFonts w:hint="eastAsia" w:ascii="楷体_GB2312" w:hAnsi="宋体" w:eastAsia="楷体_GB2312" w:cs="Times New Roman"/>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本次评价主要针对该项目的规划编制的内容完整性和项目实施工作的质量问题，结合该项目资金的使用情况来完整的体现。</w:t>
      </w:r>
    </w:p>
    <w:p>
      <w:pPr>
        <w:adjustRightInd w:val="0"/>
        <w:snapToGrid w:val="0"/>
        <w:spacing w:line="578" w:lineRule="exact"/>
        <w:ind w:firstLine="642" w:firstLineChars="200"/>
        <w:rPr>
          <w:rFonts w:hint="eastAsia"/>
          <w:kern w:val="0"/>
          <w:szCs w:val="28"/>
        </w:rPr>
      </w:pPr>
      <w:r>
        <w:rPr>
          <w:rFonts w:hint="eastAsia" w:ascii="楷体_GB2312" w:hAnsi="宋体" w:eastAsia="楷体_GB2312" w:cs="Times New Roman"/>
          <w:b/>
          <w:color w:val="auto"/>
          <w:sz w:val="32"/>
          <w:szCs w:val="32"/>
          <w:highlight w:val="none"/>
          <w:u w:val="none"/>
          <w:lang w:val="zh-CN"/>
        </w:rPr>
        <w:t>（三）评价选点。</w:t>
      </w:r>
      <w:r>
        <w:rPr>
          <w:rFonts w:hint="eastAsia" w:ascii="Times New Roman" w:hAnsi="Times New Roman" w:cs="Times New Roman"/>
          <w:kern w:val="0"/>
          <w:szCs w:val="28"/>
          <w:lang w:val="zh-CN" w:eastAsia="zh-CN"/>
        </w:rPr>
        <w:t>2022年第一批省级内贸流通服务业发展专项资金</w:t>
      </w:r>
      <w:r>
        <w:rPr>
          <w:rFonts w:hint="eastAsia" w:ascii="Times New Roman" w:hAnsi="Times New Roman" w:cs="Times New Roman"/>
          <w:kern w:val="0"/>
          <w:szCs w:val="28"/>
        </w:rPr>
        <w:t>项</w:t>
      </w:r>
      <w:r>
        <w:rPr>
          <w:rFonts w:hint="eastAsia"/>
          <w:kern w:val="0"/>
          <w:szCs w:val="28"/>
        </w:rPr>
        <w:t>目主要开展工作地点为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阿坝州财政局</w:t>
      </w:r>
      <w:r>
        <w:rPr>
          <w:rFonts w:hint="eastAsia"/>
          <w:kern w:val="0"/>
          <w:szCs w:val="28"/>
        </w:rPr>
        <w:t>，项目不</w:t>
      </w:r>
      <w:r>
        <w:rPr>
          <w:rFonts w:hint="eastAsia"/>
          <w:kern w:val="0"/>
          <w:szCs w:val="28"/>
          <w:lang w:eastAsia="zh-CN"/>
        </w:rPr>
        <w:t>涉及其他</w:t>
      </w:r>
      <w:r>
        <w:rPr>
          <w:rFonts w:hint="eastAsia"/>
          <w:kern w:val="0"/>
          <w:szCs w:val="28"/>
        </w:rPr>
        <w:t>点位。</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eastAsia="仿宋_GB2312" w:cs="Times New Roman"/>
          <w:szCs w:val="32"/>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ascii="仿宋_GB2312" w:hAnsi="仿宋_GB2312" w:cs="仿宋_GB2312"/>
          <w:color w:val="auto"/>
          <w:kern w:val="0"/>
          <w:sz w:val="32"/>
          <w:szCs w:val="32"/>
          <w:highlight w:val="none"/>
          <w:u w:val="none"/>
          <w:shd w:val="clear" w:color="auto" w:fill="FFFFFF"/>
          <w:lang w:val="zh-CN" w:eastAsia="zh-CN"/>
        </w:rPr>
        <w:t>单位进行自评。</w:t>
      </w:r>
    </w:p>
    <w:p>
      <w:pPr>
        <w:adjustRightInd w:val="0"/>
        <w:snapToGrid w:val="0"/>
        <w:spacing w:line="578" w:lineRule="exact"/>
        <w:ind w:firstLine="642" w:firstLineChars="20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adjustRightInd w:val="0"/>
        <w:snapToGrid w:val="0"/>
        <w:spacing w:line="578" w:lineRule="exact"/>
        <w:ind w:firstLine="642" w:firstLineChars="200"/>
        <w:rPr>
          <w:rFonts w:hint="eastAsia" w:ascii="楷体_GB2312" w:hAnsi="宋体" w:eastAsia="楷体_GB2312" w:cs="Times New Roman"/>
          <w:b/>
          <w:color w:val="auto"/>
          <w:sz w:val="32"/>
          <w:szCs w:val="32"/>
          <w:highlight w:val="none"/>
          <w:u w:val="none"/>
          <w:lang w:val="en-US" w:eastAsia="zh-CN"/>
        </w:rPr>
      </w:pPr>
      <w:r>
        <w:rPr>
          <w:rFonts w:hint="eastAsia" w:ascii="楷体_GB2312" w:hAnsi="宋体" w:eastAsia="楷体_GB2312" w:cs="Times New Roman"/>
          <w:b/>
          <w:color w:val="auto"/>
          <w:sz w:val="32"/>
          <w:szCs w:val="32"/>
          <w:highlight w:val="none"/>
          <w:u w:val="none"/>
          <w:lang w:val="zh-CN"/>
        </w:rPr>
        <w:t>（一）</w:t>
      </w:r>
      <w:r>
        <w:rPr>
          <w:rFonts w:hint="eastAsia" w:ascii="楷体_GB2312" w:hAnsi="宋体" w:eastAsia="楷体_GB2312" w:cs="Times New Roman"/>
          <w:b/>
          <w:color w:val="auto"/>
          <w:sz w:val="32"/>
          <w:szCs w:val="32"/>
          <w:highlight w:val="none"/>
          <w:u w:val="none"/>
          <w:lang w:val="en-US" w:eastAsia="zh-CN"/>
        </w:rPr>
        <w:t>通用指标</w:t>
      </w:r>
      <w:r>
        <w:rPr>
          <w:rFonts w:hint="default" w:ascii="楷体_GB2312" w:hAnsi="宋体" w:eastAsia="楷体_GB2312" w:cs="Times New Roman"/>
          <w:b/>
          <w:color w:val="auto"/>
          <w:sz w:val="32"/>
          <w:szCs w:val="32"/>
          <w:highlight w:val="none"/>
          <w:u w:val="none"/>
          <w:lang w:val="zh-CN"/>
        </w:rPr>
        <w:t>绩效分析。</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仿宋_GB2312"/>
          <w:color w:val="auto"/>
          <w:sz w:val="32"/>
          <w:szCs w:val="32"/>
          <w:highlight w:val="none"/>
          <w:u w:val="none"/>
          <w:lang w:val="zh-CN"/>
        </w:rPr>
      </w:pPr>
      <w:r>
        <w:rPr>
          <w:rFonts w:hint="eastAsia" w:ascii="黑体" w:eastAsia="黑体"/>
          <w:highlight w:val="none"/>
          <w:shd w:val="clear" w:color="auto" w:fill="auto"/>
        </w:rPr>
        <w:t>三、</w:t>
      </w:r>
      <w:r>
        <w:rPr>
          <w:rFonts w:hint="eastAsia" w:ascii="黑体" w:eastAsia="黑体"/>
          <w:highlight w:val="none"/>
          <w:shd w:val="clear" w:color="auto" w:fill="auto"/>
          <w:lang w:eastAsia="zh-CN"/>
        </w:rPr>
        <w:t>绩效分析</w:t>
      </w:r>
      <w:r>
        <w:rPr>
          <w:rFonts w:hint="eastAsia" w:ascii="仿宋_GB2312"/>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52"/>
        <w:textAlignment w:val="auto"/>
        <w:outlineLvl w:val="9"/>
        <w:rPr>
          <w:rFonts w:hint="eastAsia" w:ascii="仿宋_GB2312" w:cs="Times New Roman"/>
          <w:szCs w:val="32"/>
          <w:lang w:val="en-US" w:eastAsia="zh-CN"/>
        </w:rPr>
      </w:pPr>
      <w:r>
        <w:rPr>
          <w:rFonts w:hint="eastAsia" w:ascii="仿宋_GB2312" w:cs="Times New Roman"/>
          <w:szCs w:val="32"/>
          <w:lang w:val="zh-CN" w:eastAsia="zh-CN"/>
        </w:rPr>
        <w:t>根据项目预算绩效评价指标体系“通用指标”“专用指标”“个性指标”涉及二、三级指标进行逐项绩效分析并评分</w:t>
      </w:r>
      <w:r>
        <w:rPr>
          <w:rFonts w:hint="eastAsia" w:ascii="仿宋_GB2312"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仿宋_GB2312" w:cs="Times New Roman"/>
          <w:b/>
          <w:color w:val="auto"/>
          <w:sz w:val="32"/>
          <w:szCs w:val="32"/>
          <w:highlight w:val="none"/>
          <w:u w:val="none"/>
          <w:lang w:val="en-US"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楷体_GB2312"/>
          <w:color w:val="auto"/>
          <w:szCs w:val="32"/>
          <w:lang w:eastAsia="zh-CN"/>
        </w:rPr>
        <w:t>分值</w:t>
      </w:r>
      <w:r>
        <w:rPr>
          <w:rFonts w:hint="eastAsia" w:ascii="仿宋_GB2312" w:cs="楷体_GB2312"/>
          <w:color w:val="auto"/>
          <w:szCs w:val="32"/>
          <w:lang w:val="en-US" w:eastAsia="zh-CN"/>
        </w:rPr>
        <w:t>54分，自评打分54分。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仿宋_GB2312" w:cs="楷体_GB2312"/>
          <w:color w:val="auto"/>
          <w:szCs w:val="32"/>
          <w:lang w:val="en-US" w:eastAsia="zh-CN"/>
        </w:rPr>
      </w:pPr>
      <w:r>
        <w:rPr>
          <w:rFonts w:hint="eastAsia" w:ascii="仿宋_GB2312" w:cs="楷体_GB2312"/>
          <w:color w:val="auto"/>
          <w:szCs w:val="32"/>
          <w:lang w:val="en-US" w:eastAsia="zh-CN"/>
        </w:rPr>
        <w:t>1.</w:t>
      </w:r>
      <w:r>
        <w:rPr>
          <w:rFonts w:hint="eastAsia" w:ascii="仿宋_GB2312" w:cs="楷体_GB2312"/>
          <w:color w:val="auto"/>
          <w:szCs w:val="32"/>
          <w:lang w:eastAsia="zh-CN"/>
        </w:rPr>
        <w:t>项目决策。分值</w:t>
      </w:r>
      <w:r>
        <w:rPr>
          <w:rFonts w:hint="eastAsia" w:ascii="仿宋_GB2312" w:cs="楷体_GB2312"/>
          <w:color w:val="auto"/>
          <w:szCs w:val="32"/>
          <w:lang w:val="en-US" w:eastAsia="zh-CN"/>
        </w:rPr>
        <w:t>18分，自评打分18分。</w:t>
      </w:r>
    </w:p>
    <w:p>
      <w:pPr>
        <w:keepNext w:val="0"/>
        <w:keepLines w:val="0"/>
        <w:pageBreakBefore w:val="0"/>
        <w:widowControl w:val="0"/>
        <w:kinsoku/>
        <w:wordWrap/>
        <w:overflowPunct/>
        <w:topLinePunct w:val="0"/>
        <w:autoSpaceDE/>
        <w:autoSpaceDN/>
        <w:adjustRightInd/>
        <w:snapToGrid/>
        <w:spacing w:line="578" w:lineRule="exact"/>
        <w:ind w:firstLine="640"/>
        <w:rPr>
          <w:rFonts w:ascii="仿宋_GB2312" w:cs="Times New Roman"/>
          <w:color w:val="auto"/>
          <w:szCs w:val="32"/>
          <w:lang w:val="en-US" w:eastAsia="zh-CN"/>
        </w:rPr>
      </w:pPr>
      <w:r>
        <w:rPr>
          <w:rFonts w:hint="eastAsia" w:ascii="仿宋_GB2312" w:cs="Times New Roman"/>
          <w:color w:val="auto"/>
          <w:szCs w:val="32"/>
          <w:lang w:eastAsia="zh-CN"/>
        </w:rPr>
        <w:t>决策程序项目设立、调整延续等方面符合资金管理基本规范和决策程序要求，分值</w:t>
      </w:r>
      <w:r>
        <w:rPr>
          <w:rFonts w:hint="eastAsia" w:ascii="仿宋_GB2312" w:cs="Times New Roman"/>
          <w:color w:val="auto"/>
          <w:szCs w:val="32"/>
          <w:lang w:val="en-US" w:eastAsia="zh-CN"/>
        </w:rPr>
        <w:t>6分，自评打分6分。</w:t>
      </w:r>
    </w:p>
    <w:p>
      <w:pPr>
        <w:keepNext w:val="0"/>
        <w:keepLines w:val="0"/>
        <w:pageBreakBefore w:val="0"/>
        <w:widowControl w:val="0"/>
        <w:kinsoku/>
        <w:wordWrap/>
        <w:overflowPunct/>
        <w:topLinePunct w:val="0"/>
        <w:autoSpaceDE/>
        <w:autoSpaceDN/>
        <w:adjustRightInd/>
        <w:snapToGrid/>
        <w:spacing w:line="578" w:lineRule="exact"/>
        <w:ind w:firstLine="640"/>
        <w:rPr>
          <w:rFonts w:ascii="仿宋_GB2312" w:eastAsia="仿宋_GB2312" w:cs="Times New Roman"/>
          <w:b w:val="0"/>
          <w:color w:val="auto"/>
          <w:kern w:val="2"/>
          <w:sz w:val="32"/>
          <w:szCs w:val="32"/>
          <w:lang w:val="en-US" w:eastAsia="zh-CN" w:bidi="ar-SA"/>
        </w:rPr>
      </w:pPr>
      <w:r>
        <w:rPr>
          <w:rFonts w:hint="eastAsia" w:ascii="仿宋_GB2312" w:eastAsia="仿宋_GB2312" w:cs="Times New Roman"/>
          <w:b w:val="0"/>
          <w:color w:val="auto"/>
          <w:kern w:val="2"/>
          <w:sz w:val="32"/>
          <w:szCs w:val="32"/>
          <w:lang w:val="en-US" w:eastAsia="zh-CN" w:bidi="ar-SA"/>
        </w:rPr>
        <w:t>规划论证：项目规划论证是否符合</w:t>
      </w:r>
      <w:r>
        <w:rPr>
          <w:rFonts w:hint="eastAsia" w:ascii="仿宋_GB2312" w:cs="Times New Roman"/>
          <w:b w:val="0"/>
          <w:color w:val="auto"/>
          <w:kern w:val="2"/>
          <w:sz w:val="32"/>
          <w:szCs w:val="32"/>
          <w:lang w:val="en-US" w:eastAsia="zh-CN" w:bidi="ar-SA"/>
        </w:rPr>
        <w:t>中央、省委</w:t>
      </w:r>
      <w:r>
        <w:rPr>
          <w:rFonts w:hint="eastAsia" w:ascii="仿宋_GB2312" w:eastAsia="仿宋_GB2312" w:cs="Times New Roman"/>
          <w:b w:val="0"/>
          <w:color w:val="auto"/>
          <w:kern w:val="2"/>
          <w:sz w:val="32"/>
          <w:szCs w:val="32"/>
          <w:lang w:val="en-US" w:eastAsia="zh-CN" w:bidi="ar-SA"/>
        </w:rPr>
        <w:t>要求，项目绩效目标设置较为科学合理，分值6分，自评打分5分。</w:t>
      </w:r>
    </w:p>
    <w:p>
      <w:pPr>
        <w:keepNext w:val="0"/>
        <w:keepLines w:val="0"/>
        <w:pageBreakBefore w:val="0"/>
        <w:widowControl w:val="0"/>
        <w:kinsoku/>
        <w:wordWrap/>
        <w:overflowPunct/>
        <w:topLinePunct w:val="0"/>
        <w:autoSpaceDE/>
        <w:autoSpaceDN/>
        <w:adjustRightInd/>
        <w:snapToGrid/>
        <w:spacing w:line="578" w:lineRule="exact"/>
        <w:ind w:firstLine="640"/>
        <w:rPr>
          <w:rFonts w:hint="eastAsia" w:ascii="仿宋_GB2312"/>
        </w:rPr>
      </w:pPr>
      <w:r>
        <w:rPr>
          <w:rFonts w:hint="eastAsia" w:ascii="仿宋_GB2312" w:cs="Times New Roman"/>
          <w:b w:val="0"/>
          <w:color w:val="auto"/>
          <w:kern w:val="2"/>
          <w:sz w:val="32"/>
          <w:szCs w:val="32"/>
          <w:lang w:val="en-US" w:eastAsia="zh-CN" w:bidi="ar-SA"/>
        </w:rPr>
        <w:t>资金投向：项目资金与项目总体规划、相关行业事业发展相匹配，分值6分，自评打分6分。</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0" w:firstLine="640"/>
        <w:textAlignment w:val="auto"/>
        <w:outlineLvl w:val="9"/>
        <w:rPr>
          <w:rFonts w:hint="eastAsia" w:ascii="仿宋_GB2312" w:cs="楷体_GB2312"/>
          <w:color w:val="auto"/>
          <w:szCs w:val="32"/>
          <w:lang w:val="en-US" w:eastAsia="zh-CN"/>
        </w:rPr>
      </w:pPr>
      <w:r>
        <w:rPr>
          <w:rFonts w:hint="eastAsia" w:ascii="仿宋_GB2312" w:cs="楷体_GB2312"/>
          <w:color w:val="auto"/>
          <w:szCs w:val="32"/>
          <w:lang w:eastAsia="zh-CN"/>
        </w:rPr>
        <w:t>项目管理。分值</w:t>
      </w:r>
      <w:r>
        <w:rPr>
          <w:rFonts w:hint="eastAsia" w:ascii="仿宋_GB2312" w:cs="楷体_GB2312"/>
          <w:color w:val="auto"/>
          <w:szCs w:val="32"/>
          <w:lang w:val="en-US" w:eastAsia="zh-CN"/>
        </w:rPr>
        <w:t>18分，自评打分18分。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A.</w:t>
      </w:r>
      <w:r>
        <w:rPr>
          <w:rFonts w:hint="eastAsia" w:ascii="仿宋_GB2312" w:cs="Times New Roman"/>
          <w:color w:val="auto"/>
          <w:szCs w:val="32"/>
          <w:lang w:eastAsia="zh-CN"/>
        </w:rPr>
        <w:t>制度办法：项目制度办法体系健全、要素完备，分值</w:t>
      </w:r>
      <w:r>
        <w:rPr>
          <w:rFonts w:hint="eastAsia" w:ascii="仿宋_GB2312" w:cs="Times New Roman"/>
          <w:color w:val="auto"/>
          <w:szCs w:val="32"/>
          <w:lang w:val="en-US" w:eastAsia="zh-CN"/>
        </w:rPr>
        <w:t>2分，自评打分2分。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B.</w:t>
      </w:r>
      <w:r>
        <w:rPr>
          <w:rFonts w:hint="eastAsia" w:ascii="仿宋_GB2312" w:cs="Times New Roman"/>
          <w:color w:val="auto"/>
          <w:szCs w:val="32"/>
          <w:lang w:eastAsia="zh-CN"/>
        </w:rPr>
        <w:t>分配管理</w:t>
      </w:r>
      <w:r>
        <w:rPr>
          <w:rFonts w:hint="eastAsia" w:ascii="仿宋_GB2312" w:cs="Times New Roman"/>
          <w:color w:val="auto"/>
          <w:szCs w:val="32"/>
          <w:lang w:val="en-US" w:eastAsia="zh-CN"/>
        </w:rPr>
        <w:t>:</w:t>
      </w:r>
      <w:r>
        <w:rPr>
          <w:rFonts w:hint="eastAsia" w:ascii="仿宋_GB2312" w:cs="Times New Roman"/>
          <w:color w:val="auto"/>
          <w:szCs w:val="32"/>
          <w:lang w:eastAsia="zh-CN"/>
        </w:rPr>
        <w:t>项目资金分配因素选取、权重设置、区域分布，项目管理、审批符合管理要求</w:t>
      </w:r>
      <w:r>
        <w:rPr>
          <w:rFonts w:hint="eastAsia" w:ascii="仿宋_GB2312" w:cs="Times New Roman"/>
          <w:color w:val="auto"/>
          <w:szCs w:val="32"/>
          <w:lang w:val="en-US" w:eastAsia="zh-CN"/>
        </w:rPr>
        <w:t>,1.</w:t>
      </w:r>
      <w:r>
        <w:rPr>
          <w:rFonts w:hint="eastAsia" w:ascii="仿宋_GB2312" w:cs="Times New Roman"/>
          <w:color w:val="auto"/>
          <w:szCs w:val="32"/>
          <w:lang w:eastAsia="zh-CN"/>
        </w:rPr>
        <w:t>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w:t>
      </w:r>
      <w:r>
        <w:rPr>
          <w:rFonts w:hint="eastAsia" w:ascii="仿宋_GB2312" w:cs="Times New Roman"/>
          <w:color w:val="auto"/>
          <w:szCs w:val="32"/>
          <w:lang w:val="en-US" w:eastAsia="zh-CN"/>
        </w:rPr>
        <w:t>10分，自评打分10分。</w:t>
      </w:r>
    </w:p>
    <w:p>
      <w:pPr>
        <w:keepNext w:val="0"/>
        <w:keepLines w:val="0"/>
        <w:pageBreakBefore w:val="0"/>
        <w:widowControl w:val="0"/>
        <w:kinsoku/>
        <w:wordWrap/>
        <w:overflowPunct/>
        <w:topLinePunct w:val="0"/>
        <w:autoSpaceDE/>
        <w:autoSpaceDN/>
        <w:adjustRightInd/>
        <w:snapToGrid/>
        <w:spacing w:line="578" w:lineRule="exact"/>
        <w:ind w:left="0" w:firstLine="640" w:firstLineChars="200"/>
        <w:rPr>
          <w:rFonts w:ascii="仿宋_GB2312" w:cs="Times New Roman"/>
          <w:color w:val="auto"/>
          <w:szCs w:val="32"/>
          <w:lang w:val="en-US" w:eastAsia="zh-CN"/>
        </w:rPr>
      </w:pPr>
      <w:r>
        <w:rPr>
          <w:rFonts w:hint="eastAsia" w:ascii="仿宋_GB2312" w:cs="Times New Roman"/>
          <w:color w:val="auto"/>
          <w:szCs w:val="32"/>
          <w:lang w:val="en-US" w:eastAsia="zh-CN"/>
        </w:rPr>
        <w:t>C.</w:t>
      </w:r>
      <w:r>
        <w:rPr>
          <w:rFonts w:hint="eastAsia" w:ascii="仿宋_GB2312" w:cs="Times New Roman"/>
          <w:color w:val="auto"/>
          <w:szCs w:val="32"/>
          <w:lang w:eastAsia="zh-CN"/>
        </w:rPr>
        <w:t>绩效监管</w:t>
      </w:r>
      <w:r>
        <w:rPr>
          <w:rFonts w:hint="eastAsia" w:ascii="仿宋_GB2312" w:cs="Times New Roman"/>
          <w:color w:val="auto"/>
          <w:szCs w:val="32"/>
          <w:lang w:val="en-US" w:eastAsia="zh-CN"/>
        </w:rPr>
        <w:t>:管资金、项目、政策并管绩效，项目绩效监管按要求开展，对下指导有力有效</w:t>
      </w:r>
      <w:r>
        <w:rPr>
          <w:rFonts w:hint="eastAsia" w:ascii="仿宋_GB2312" w:cs="Times New Roman"/>
          <w:color w:val="auto"/>
          <w:szCs w:val="32"/>
          <w:lang w:eastAsia="zh-CN"/>
        </w:rPr>
        <w:t>。分值</w:t>
      </w:r>
      <w:r>
        <w:rPr>
          <w:rFonts w:hint="eastAsia" w:ascii="仿宋_GB2312" w:cs="Times New Roman"/>
          <w:color w:val="auto"/>
          <w:szCs w:val="32"/>
          <w:lang w:val="en-US" w:eastAsia="zh-CN"/>
        </w:rPr>
        <w:t>6分，自评打分6分。</w:t>
      </w:r>
    </w:p>
    <w:p>
      <w:pPr>
        <w:keepNext w:val="0"/>
        <w:keepLines w:val="0"/>
        <w:pageBreakBefore w:val="0"/>
        <w:widowControl w:val="0"/>
        <w:kinsoku/>
        <w:wordWrap/>
        <w:overflowPunct/>
        <w:topLinePunct w:val="0"/>
        <w:autoSpaceDE/>
        <w:autoSpaceDN/>
        <w:adjustRightInd/>
        <w:snapToGrid/>
        <w:spacing w:line="578" w:lineRule="exact"/>
        <w:ind w:left="0" w:firstLine="640" w:firstLineChars="200"/>
        <w:rPr>
          <w:rFonts w:hint="eastAsia" w:ascii="仿宋_GB2312"/>
        </w:rPr>
      </w:pPr>
      <w:r>
        <w:rPr>
          <w:rFonts w:hint="eastAsia" w:ascii="仿宋_GB2312" w:cs="楷体_GB2312"/>
          <w:color w:val="auto"/>
          <w:szCs w:val="32"/>
          <w:lang w:val="en-US" w:eastAsia="zh-CN"/>
        </w:rPr>
        <w:t>3.项目实施。</w:t>
      </w:r>
      <w:r>
        <w:rPr>
          <w:rFonts w:hint="eastAsia" w:ascii="仿宋_GB2312" w:cs="Times New Roman"/>
          <w:color w:val="auto"/>
          <w:szCs w:val="32"/>
          <w:lang w:eastAsia="zh-CN"/>
        </w:rPr>
        <w:t>分值</w:t>
      </w:r>
      <w:r>
        <w:rPr>
          <w:rFonts w:hint="eastAsia" w:ascii="仿宋_GB2312" w:cs="Times New Roman"/>
          <w:color w:val="auto"/>
          <w:szCs w:val="32"/>
          <w:lang w:val="en-US" w:eastAsia="zh-CN"/>
        </w:rPr>
        <w:t>9分，自评打分9分。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eastAsia="zh-CN"/>
        </w:rPr>
        <w:t>预算执行</w:t>
      </w:r>
      <w:r>
        <w:rPr>
          <w:rFonts w:hint="eastAsia" w:ascii="仿宋_GB2312" w:cs="Times New Roman"/>
          <w:color w:val="auto"/>
          <w:szCs w:val="32"/>
          <w:lang w:val="en-US" w:eastAsia="zh-CN"/>
        </w:rPr>
        <w:t>:</w:t>
      </w:r>
      <w:r>
        <w:rPr>
          <w:rFonts w:hint="eastAsia" w:ascii="仿宋_GB2312" w:cs="Times New Roman"/>
          <w:color w:val="auto"/>
          <w:szCs w:val="32"/>
          <w:lang w:eastAsia="zh-CN"/>
        </w:rPr>
        <w:t>项目资金财政拨付、单位执行和地方配套到位相结合，省级资金到位</w:t>
      </w:r>
      <w:r>
        <w:rPr>
          <w:rFonts w:hint="eastAsia" w:ascii="仿宋_GB2312" w:cs="Times New Roman"/>
          <w:color w:val="auto"/>
          <w:szCs w:val="32"/>
          <w:lang w:val="en-US" w:eastAsia="zh-CN"/>
        </w:rPr>
        <w:t>100万元</w:t>
      </w:r>
      <w:r>
        <w:rPr>
          <w:rFonts w:hint="eastAsia" w:ascii="仿宋_GB2312" w:cs="Times New Roman"/>
          <w:color w:val="auto"/>
          <w:szCs w:val="32"/>
          <w:lang w:eastAsia="zh-CN"/>
        </w:rPr>
        <w:t>。分值</w:t>
      </w:r>
      <w:r>
        <w:rPr>
          <w:rFonts w:hint="eastAsia" w:ascii="仿宋_GB2312" w:cs="Times New Roman"/>
          <w:color w:val="auto"/>
          <w:szCs w:val="32"/>
          <w:lang w:val="en-US" w:eastAsia="zh-CN"/>
        </w:rPr>
        <w:t>6分，自评打分6分。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eastAsia="zh-CN"/>
        </w:rPr>
      </w:pPr>
      <w:r>
        <w:rPr>
          <w:rFonts w:hint="eastAsia" w:ascii="仿宋_GB2312" w:cs="Times New Roman"/>
          <w:color w:val="auto"/>
          <w:szCs w:val="32"/>
          <w:lang w:eastAsia="zh-CN"/>
        </w:rPr>
        <w:t>资金使用</w:t>
      </w:r>
      <w:r>
        <w:rPr>
          <w:rFonts w:hint="eastAsia" w:ascii="仿宋_GB2312" w:cs="Times New Roman"/>
          <w:color w:val="auto"/>
          <w:szCs w:val="32"/>
          <w:lang w:val="en-US" w:eastAsia="zh-CN"/>
        </w:rPr>
        <w:t>:</w:t>
      </w:r>
      <w:r>
        <w:rPr>
          <w:rFonts w:hint="eastAsia" w:ascii="仿宋_GB2312" w:cs="Times New Roman"/>
          <w:color w:val="auto"/>
          <w:szCs w:val="32"/>
          <w:lang w:eastAsia="zh-CN"/>
        </w:rPr>
        <w:t>资金使用专款专用、按时拨付。分值</w:t>
      </w:r>
      <w:r>
        <w:rPr>
          <w:rFonts w:hint="eastAsia" w:ascii="仿宋_GB2312" w:cs="Times New Roman"/>
          <w:color w:val="auto"/>
          <w:szCs w:val="32"/>
          <w:lang w:val="en-US" w:eastAsia="zh-CN"/>
        </w:rPr>
        <w:t>3分，自评打分3分。</w:t>
      </w:r>
    </w:p>
    <w:p>
      <w:pPr>
        <w:keepNext w:val="0"/>
        <w:keepLines w:val="0"/>
        <w:pageBreakBefore w:val="0"/>
        <w:widowControl w:val="0"/>
        <w:kinsoku/>
        <w:wordWrap/>
        <w:overflowPunct/>
        <w:topLinePunct w:val="0"/>
        <w:autoSpaceDE/>
        <w:autoSpaceDN/>
        <w:bidi w:val="0"/>
        <w:adjustRightInd/>
        <w:snapToGrid/>
        <w:spacing w:line="578" w:lineRule="exact"/>
        <w:ind w:left="640" w:leftChars="200" w:firstLine="0"/>
        <w:textAlignment w:val="auto"/>
        <w:outlineLvl w:val="9"/>
        <w:rPr>
          <w:rFonts w:hint="eastAsia" w:ascii="仿宋_GB2312" w:cs="楷体_GB2312"/>
          <w:color w:val="auto"/>
          <w:szCs w:val="32"/>
          <w:lang w:val="en-US" w:eastAsia="zh-CN"/>
        </w:rPr>
      </w:pPr>
      <w:r>
        <w:rPr>
          <w:rFonts w:hint="eastAsia" w:ascii="仿宋_GB2312" w:cs="楷体_GB2312"/>
          <w:color w:val="auto"/>
          <w:szCs w:val="32"/>
          <w:lang w:val="en-US" w:eastAsia="zh-CN"/>
        </w:rPr>
        <w:t>4.项目结果。分值9分，自评打分9分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项目完成：预期目标，实施结果与绩效目标相匹配，目标实现程度100%</w:t>
      </w:r>
      <w:r>
        <w:rPr>
          <w:rFonts w:hint="eastAsia" w:ascii="仿宋_GB2312" w:cs="Times New Roman"/>
          <w:color w:val="auto"/>
          <w:szCs w:val="32"/>
          <w:lang w:eastAsia="zh-CN"/>
        </w:rPr>
        <w:t>。</w:t>
      </w:r>
      <w:r>
        <w:rPr>
          <w:rFonts w:hint="eastAsia" w:ascii="仿宋_GB2312" w:cs="Times New Roman"/>
          <w:color w:val="auto"/>
          <w:szCs w:val="32"/>
          <w:lang w:val="en-US" w:eastAsia="zh-CN"/>
        </w:rPr>
        <w:t>。</w:t>
      </w:r>
      <w:r>
        <w:rPr>
          <w:rFonts w:hint="eastAsia" w:ascii="仿宋_GB2312" w:cs="楷体_GB2312"/>
          <w:color w:val="auto"/>
          <w:szCs w:val="32"/>
          <w:lang w:val="en-US" w:eastAsia="zh-CN"/>
        </w:rPr>
        <w:t>分值6分，自评打分6分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outlineLvl w:val="9"/>
        <w:rPr>
          <w:rFonts w:hint="eastAsia" w:ascii="仿宋_GB2312"/>
          <w:lang w:val="en-US" w:eastAsia="zh-CN"/>
        </w:rPr>
      </w:pPr>
      <w:r>
        <w:rPr>
          <w:rFonts w:hint="eastAsia" w:ascii="仿宋_GB2312" w:cs="Times New Roman"/>
          <w:b w:val="0"/>
          <w:color w:val="auto"/>
          <w:kern w:val="2"/>
          <w:sz w:val="32"/>
          <w:szCs w:val="32"/>
          <w:lang w:val="en-US" w:eastAsia="zh-CN" w:bidi="ar-SA"/>
        </w:rPr>
        <w:t>完成时效：项目实际完成时间与计划完成时间一致，分值，</w:t>
      </w:r>
      <w:r>
        <w:rPr>
          <w:rFonts w:hint="eastAsia" w:ascii="仿宋_GB2312" w:cs="楷体_GB2312"/>
          <w:color w:val="auto"/>
          <w:szCs w:val="32"/>
          <w:lang w:val="en-US" w:eastAsia="zh-CN"/>
        </w:rPr>
        <w:t>分值,3分，自评打分3分.</w:t>
      </w:r>
    </w:p>
    <w:p>
      <w:pPr>
        <w:keepNext w:val="0"/>
        <w:keepLines w:val="0"/>
        <w:pageBreakBefore w:val="0"/>
        <w:widowControl w:val="0"/>
        <w:kinsoku/>
        <w:wordWrap/>
        <w:overflowPunct/>
        <w:topLinePunct w:val="0"/>
        <w:autoSpaceDE/>
        <w:autoSpaceDN/>
        <w:bidi w:val="0"/>
        <w:adjustRightInd/>
        <w:snapToGrid/>
        <w:spacing w:line="578" w:lineRule="exact"/>
        <w:ind w:left="30"/>
        <w:textAlignment w:val="auto"/>
        <w:outlineLvl w:val="9"/>
        <w:rPr>
          <w:rFonts w:hint="eastAsia" w:ascii="仿宋_GB2312" w:cs="楷体_GB2312"/>
          <w:color w:val="auto"/>
          <w:szCs w:val="32"/>
          <w:lang w:val="zh-CN" w:eastAsia="zh-CN"/>
        </w:rPr>
      </w:pPr>
      <w:r>
        <w:rPr>
          <w:rFonts w:hint="eastAsia" w:ascii="楷体_GB2312" w:eastAsia="楷体_GB2312" w:cs="Times New Roman"/>
          <w:b/>
          <w:color w:val="auto"/>
          <w:sz w:val="32"/>
          <w:szCs w:val="32"/>
          <w:highlight w:val="none"/>
          <w:u w:val="none"/>
          <w:lang w:val="zh-CN"/>
        </w:rPr>
        <w:t>（二）</w:t>
      </w: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30分，自评打分28分。</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cs="楷体_GB2312"/>
          <w:color w:val="auto"/>
          <w:szCs w:val="32"/>
          <w:lang w:val="en-US" w:eastAsia="zh-CN"/>
        </w:rPr>
      </w:pPr>
      <w:r>
        <w:rPr>
          <w:rFonts w:hint="eastAsia" w:ascii="仿宋_GB2312" w:cs="楷体_GB2312"/>
          <w:color w:val="auto"/>
          <w:szCs w:val="32"/>
          <w:lang w:val="en-US" w:eastAsia="zh-CN"/>
        </w:rPr>
        <w:t>基础设施。建成项目</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Chars="0" w:firstLine="640" w:firstLineChars="200"/>
        <w:contextualSpacing/>
        <w:jc w:val="left"/>
        <w:textAlignment w:val="auto"/>
        <w:rPr>
          <w:rFonts w:hint="eastAsia" w:ascii="仿宋_GB2312" w:cs="楷体_GB2312"/>
          <w:color w:val="auto"/>
          <w:szCs w:val="32"/>
          <w:lang w:val="en-US" w:eastAsia="zh-CN"/>
        </w:rPr>
      </w:pPr>
      <w:r>
        <w:rPr>
          <w:rFonts w:hint="eastAsia" w:ascii="仿宋_GB2312" w:cs="Times New Roman"/>
          <w:color w:val="auto"/>
          <w:szCs w:val="32"/>
          <w:lang w:val="en-US" w:eastAsia="zh-CN"/>
        </w:rPr>
        <w:t>3.</w:t>
      </w:r>
      <w:r>
        <w:rPr>
          <w:rFonts w:hint="eastAsia" w:ascii="仿宋_GB2312" w:cs="Times New Roman"/>
          <w:color w:val="auto"/>
          <w:szCs w:val="32"/>
          <w:lang w:eastAsia="zh-CN"/>
        </w:rPr>
        <w:t>项目验收：项目完工后及时组织实施项目验收，分值</w:t>
      </w:r>
      <w:r>
        <w:rPr>
          <w:rFonts w:hint="eastAsia" w:ascii="仿宋_GB2312" w:cs="Times New Roman"/>
          <w:color w:val="auto"/>
          <w:szCs w:val="32"/>
          <w:lang w:val="en-US" w:eastAsia="zh-CN"/>
        </w:rPr>
        <w:t>10分，</w:t>
      </w:r>
      <w:r>
        <w:rPr>
          <w:rFonts w:hint="eastAsia" w:ascii="仿宋_GB2312" w:cs="楷体_GB2312"/>
          <w:color w:val="auto"/>
          <w:szCs w:val="32"/>
          <w:lang w:val="en-US" w:eastAsia="zh-CN"/>
        </w:rPr>
        <w:t>自评打分10分；</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Chars="0" w:firstLine="640" w:firstLineChars="200"/>
        <w:contextualSpacing/>
        <w:jc w:val="left"/>
        <w:textAlignment w:val="auto"/>
        <w:rPr>
          <w:rFonts w:hint="eastAsia" w:ascii="仿宋_GB2312" w:cs="楷体_GB2312"/>
          <w:color w:val="auto"/>
          <w:szCs w:val="32"/>
          <w:lang w:val="en-US" w:eastAsia="zh-CN"/>
        </w:rPr>
      </w:pPr>
      <w:r>
        <w:rPr>
          <w:rFonts w:hint="eastAsia" w:ascii="仿宋_GB2312" w:cs="Times New Roman"/>
          <w:color w:val="auto"/>
          <w:szCs w:val="32"/>
          <w:lang w:val="en-US" w:eastAsia="zh-CN"/>
        </w:rPr>
        <w:t>2.</w:t>
      </w:r>
      <w:r>
        <w:rPr>
          <w:rFonts w:hint="eastAsia" w:ascii="仿宋_GB2312" w:cs="Times New Roman"/>
          <w:color w:val="auto"/>
          <w:szCs w:val="32"/>
          <w:lang w:eastAsia="zh-CN"/>
        </w:rPr>
        <w:t>功能实现：中心镇农贸市场</w:t>
      </w:r>
      <w:r>
        <w:rPr>
          <w:rFonts w:hint="eastAsia" w:ascii="仿宋_GB2312" w:hAnsi="仿宋_GB2312" w:cs="仿宋_GB2312"/>
          <w:color w:val="auto"/>
          <w:kern w:val="0"/>
          <w:sz w:val="32"/>
          <w:szCs w:val="32"/>
          <w:highlight w:val="none"/>
          <w:u w:val="none"/>
          <w:shd w:val="clear" w:color="auto" w:fill="FFFFFF"/>
          <w:lang w:val="en-US" w:eastAsia="zh-CN"/>
        </w:rPr>
        <w:t>提升农贸市场食品安全、疫情防控水平，促进县域商业体系高质量发展</w:t>
      </w:r>
      <w:r>
        <w:rPr>
          <w:rFonts w:hint="eastAsia" w:ascii="仿宋_GB2312" w:cs="Times New Roman"/>
          <w:color w:val="auto"/>
          <w:szCs w:val="32"/>
          <w:lang w:eastAsia="zh-CN"/>
        </w:rPr>
        <w:t>，分值</w:t>
      </w:r>
      <w:r>
        <w:rPr>
          <w:rFonts w:hint="eastAsia" w:ascii="仿宋_GB2312" w:cs="Times New Roman"/>
          <w:color w:val="auto"/>
          <w:szCs w:val="32"/>
          <w:lang w:val="en-US" w:eastAsia="zh-CN"/>
        </w:rPr>
        <w:t>10分，</w:t>
      </w:r>
      <w:r>
        <w:rPr>
          <w:rFonts w:hint="eastAsia" w:ascii="仿宋_GB2312" w:cs="楷体_GB2312"/>
          <w:color w:val="auto"/>
          <w:szCs w:val="32"/>
          <w:lang w:val="en-US" w:eastAsia="zh-CN"/>
        </w:rPr>
        <w:t>自评打分10分；</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Chars="0" w:firstLine="640" w:firstLineChars="200"/>
        <w:contextualSpacing/>
        <w:jc w:val="left"/>
        <w:textAlignment w:val="auto"/>
        <w:rPr>
          <w:rFonts w:hint="eastAsia" w:ascii="仿宋_GB2312" w:cs="楷体_GB2312"/>
          <w:color w:val="auto"/>
          <w:szCs w:val="32"/>
          <w:lang w:val="en-US" w:eastAsia="zh-CN"/>
        </w:rPr>
      </w:pPr>
      <w:r>
        <w:rPr>
          <w:rFonts w:hint="eastAsia" w:ascii="仿宋_GB2312" w:cs="楷体_GB2312"/>
          <w:color w:val="auto"/>
          <w:szCs w:val="32"/>
          <w:lang w:val="en-US" w:eastAsia="zh-CN"/>
        </w:rPr>
        <w:t>3.</w:t>
      </w:r>
      <w:r>
        <w:rPr>
          <w:rFonts w:hint="eastAsia" w:ascii="仿宋_GB2312" w:cs="Times New Roman"/>
          <w:color w:val="auto"/>
          <w:szCs w:val="32"/>
          <w:lang w:eastAsia="zh-CN"/>
        </w:rPr>
        <w:t>后续管护：后续专人管护，分值</w:t>
      </w:r>
      <w:r>
        <w:rPr>
          <w:rFonts w:hint="eastAsia" w:ascii="仿宋_GB2312" w:cs="Times New Roman"/>
          <w:color w:val="auto"/>
          <w:szCs w:val="32"/>
          <w:lang w:val="en-US" w:eastAsia="zh-CN"/>
        </w:rPr>
        <w:t>10分，</w:t>
      </w:r>
      <w:r>
        <w:rPr>
          <w:rFonts w:hint="eastAsia" w:ascii="仿宋_GB2312" w:cs="楷体_GB2312"/>
          <w:color w:val="auto"/>
          <w:szCs w:val="32"/>
          <w:lang w:val="en-US" w:eastAsia="zh-CN"/>
        </w:rPr>
        <w:t>自评打分8分。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en-US" w:eastAsia="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1.用途合规性：按规定用途、适用范围进行本地区专项资金分配</w:t>
      </w:r>
      <w:r>
        <w:rPr>
          <w:rFonts w:hint="eastAsia" w:ascii="仿宋_GB2312" w:cs="Times New Roman"/>
          <w:color w:val="auto"/>
          <w:szCs w:val="32"/>
          <w:lang w:val="zh-CN" w:eastAsia="zh-CN"/>
        </w:rPr>
        <w:t>。整个施工过程安全质量达标实现预期效果。</w:t>
      </w:r>
      <w:r>
        <w:rPr>
          <w:rFonts w:hint="eastAsia" w:ascii="仿宋_GB2312" w:cs="Times New Roman"/>
          <w:color w:val="auto"/>
          <w:szCs w:val="32"/>
          <w:lang w:val="en-US" w:eastAsia="zh-CN"/>
        </w:rPr>
        <w:t>分值5分，自评打分5分，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3.标准合规性：资金分配标准符合专项资金管理要求分值6分，自评打分6分</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default"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cs="仿宋_GB2312"/>
          <w:color w:val="auto"/>
          <w:kern w:val="0"/>
          <w:sz w:val="32"/>
          <w:szCs w:val="32"/>
          <w:highlight w:val="none"/>
          <w:u w:val="none"/>
          <w:shd w:val="clear" w:color="auto" w:fill="FFFFFF"/>
          <w:lang w:val="zh-CN" w:eastAsia="zh-CN"/>
        </w:rPr>
        <w:t>黑水县中心镇农贸市场建设项目预算总投资126.49万元，</w:t>
      </w:r>
      <w:r>
        <w:rPr>
          <w:rFonts w:hint="eastAsia" w:ascii="仿宋_GB2312" w:hAnsi="仿宋_GB2312" w:eastAsia="仿宋_GB2312" w:cs="仿宋_GB2312"/>
          <w:b w:val="0"/>
          <w:bCs w:val="0"/>
          <w:kern w:val="0"/>
          <w:position w:val="0"/>
          <w:sz w:val="32"/>
          <w:szCs w:val="32"/>
          <w:highlight w:val="none"/>
          <w:lang w:val="en-US" w:eastAsia="zh-CN" w:bidi="ar-SA"/>
        </w:rPr>
        <w:t>结合2023年黑水县经济商务和信息化局自评情况，该项目自评总分9</w:t>
      </w:r>
      <w:r>
        <w:rPr>
          <w:rFonts w:hint="eastAsia" w:ascii="仿宋_GB2312" w:hAnsi="仿宋_GB2312" w:cs="仿宋_GB2312"/>
          <w:b w:val="0"/>
          <w:bCs w:val="0"/>
          <w:kern w:val="0"/>
          <w:position w:val="0"/>
          <w:sz w:val="32"/>
          <w:szCs w:val="32"/>
          <w:highlight w:val="none"/>
          <w:lang w:val="en-US" w:eastAsia="zh-CN" w:bidi="ar-SA"/>
        </w:rPr>
        <w:t>8</w:t>
      </w:r>
      <w:r>
        <w:rPr>
          <w:rFonts w:hint="eastAsia" w:ascii="仿宋_GB2312" w:hAnsi="仿宋_GB2312" w:eastAsia="仿宋_GB2312" w:cs="仿宋_GB2312"/>
          <w:b w:val="0"/>
          <w:bCs w:val="0"/>
          <w:kern w:val="0"/>
          <w:position w:val="0"/>
          <w:sz w:val="32"/>
          <w:szCs w:val="32"/>
          <w:highlight w:val="none"/>
          <w:lang w:val="en-US" w:eastAsia="zh-CN" w:bidi="ar-SA"/>
        </w:rPr>
        <w:t>分，有利于支持提升</w:t>
      </w:r>
      <w:r>
        <w:rPr>
          <w:rFonts w:hint="eastAsia" w:ascii="仿宋_GB2312" w:hAnsi="仿宋_GB2312" w:cs="仿宋_GB2312"/>
          <w:b w:val="0"/>
          <w:bCs w:val="0"/>
          <w:kern w:val="0"/>
          <w:position w:val="0"/>
          <w:sz w:val="32"/>
          <w:szCs w:val="32"/>
          <w:highlight w:val="none"/>
          <w:lang w:val="en-US" w:eastAsia="zh-CN" w:bidi="ar-SA"/>
        </w:rPr>
        <w:t>黑水</w:t>
      </w:r>
      <w:r>
        <w:rPr>
          <w:rFonts w:hint="eastAsia" w:ascii="仿宋_GB2312" w:hAnsi="仿宋_GB2312" w:eastAsia="仿宋_GB2312" w:cs="仿宋_GB2312"/>
          <w:b w:val="0"/>
          <w:bCs w:val="0"/>
          <w:kern w:val="0"/>
          <w:position w:val="0"/>
          <w:sz w:val="32"/>
          <w:szCs w:val="32"/>
          <w:highlight w:val="none"/>
          <w:lang w:val="en-US" w:eastAsia="zh-CN" w:bidi="ar-SA"/>
        </w:rPr>
        <w:t>农贸市场食品安全、疫情防控水平，促进县域商业体系高质量发展，助力巩固拓展脱贫攻坚成果同乡村振兴有效衔接</w:t>
      </w:r>
      <w:r>
        <w:rPr>
          <w:rFonts w:hint="eastAsia" w:ascii="仿宋_GB2312" w:hAnsi="仿宋_GB2312" w:cs="仿宋_GB2312"/>
          <w:b w:val="0"/>
          <w:bCs w:val="0"/>
          <w:kern w:val="0"/>
          <w:position w:val="0"/>
          <w:sz w:val="32"/>
          <w:szCs w:val="32"/>
          <w:highlight w:val="none"/>
          <w:lang w:val="en-US" w:eastAsia="zh-CN" w:bidi="ar-SA"/>
        </w:rPr>
        <w:t>.</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keepNext w:val="0"/>
        <w:keepLines w:val="0"/>
        <w:pageBreakBefore w:val="0"/>
        <w:kinsoku/>
        <w:wordWrap/>
        <w:overflowPunct/>
        <w:topLinePunct w:val="0"/>
        <w:autoSpaceDE/>
        <w:autoSpaceDN/>
        <w:bidi w:val="0"/>
        <w:adjustRightInd/>
        <w:snapToGrid w:val="0"/>
        <w:spacing w:line="578" w:lineRule="exact"/>
        <w:ind w:left="0" w:leftChars="0" w:firstLine="640" w:firstLineChars="200"/>
        <w:textAlignment w:val="auto"/>
        <w:outlineLvl w:val="9"/>
        <w:rPr>
          <w:rFonts w:hint="eastAsia" w:ascii="Times New Roman" w:hAnsi="Times New Roman" w:cs="Times New Roman"/>
          <w:color w:val="000000"/>
          <w:kern w:val="0"/>
          <w:szCs w:val="32"/>
          <w:highlight w:val="none"/>
          <w:shd w:val="clear" w:color="auto" w:fill="FFFFFF"/>
          <w:lang w:val="zh-CN" w:eastAsia="zh-CN"/>
        </w:rPr>
      </w:pPr>
    </w:p>
    <w:p>
      <w:pPr>
        <w:keepNext w:val="0"/>
        <w:keepLines w:val="0"/>
        <w:pageBreakBefore w:val="0"/>
        <w:kinsoku/>
        <w:wordWrap/>
        <w:overflowPunct/>
        <w:topLinePunct w:val="0"/>
        <w:autoSpaceDE/>
        <w:autoSpaceDN/>
        <w:bidi w:val="0"/>
        <w:adjustRightInd/>
        <w:snapToGrid w:val="0"/>
        <w:spacing w:line="240" w:lineRule="auto"/>
        <w:textAlignment w:val="auto"/>
        <w:outlineLvl w:val="9"/>
        <w:rPr>
          <w:rFonts w:hint="default" w:ascii="黑体" w:hAnsi="黑体" w:eastAsia="黑体" w:cs="黑体"/>
          <w:sz w:val="24"/>
          <w:szCs w:val="24"/>
          <w:highlight w:val="none"/>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7829D2"/>
    <w:multiLevelType w:val="singleLevel"/>
    <w:tmpl w:val="167829D2"/>
    <w:lvl w:ilvl="0" w:tentative="0">
      <w:start w:val="2"/>
      <w:numFmt w:val="decimal"/>
      <w:lvlText w:val="%1."/>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 w:name="KSO_WPS_MARK_KEY" w:val="aa6a7506-4852-47da-ac2c-64897462d18f"/>
  </w:docVars>
  <w:rsids>
    <w:rsidRoot w:val="771D4D51"/>
    <w:rsid w:val="02405CE2"/>
    <w:rsid w:val="047D5273"/>
    <w:rsid w:val="08A70B11"/>
    <w:rsid w:val="098826F0"/>
    <w:rsid w:val="0BF059ED"/>
    <w:rsid w:val="0F4075C9"/>
    <w:rsid w:val="10284C2D"/>
    <w:rsid w:val="10AF4A06"/>
    <w:rsid w:val="11581445"/>
    <w:rsid w:val="13D053C0"/>
    <w:rsid w:val="143F0797"/>
    <w:rsid w:val="149208C7"/>
    <w:rsid w:val="156D4E90"/>
    <w:rsid w:val="15A443BE"/>
    <w:rsid w:val="17D66D1D"/>
    <w:rsid w:val="1B041BC6"/>
    <w:rsid w:val="1C25106F"/>
    <w:rsid w:val="1CFD8DF6"/>
    <w:rsid w:val="1E206F43"/>
    <w:rsid w:val="1FFF9AD9"/>
    <w:rsid w:val="22AD555F"/>
    <w:rsid w:val="26CF2DB3"/>
    <w:rsid w:val="28915495"/>
    <w:rsid w:val="28F74D45"/>
    <w:rsid w:val="2ACB6B5A"/>
    <w:rsid w:val="2AF86ED7"/>
    <w:rsid w:val="2AFDF212"/>
    <w:rsid w:val="2B385C88"/>
    <w:rsid w:val="2B6BF484"/>
    <w:rsid w:val="2EFA733D"/>
    <w:rsid w:val="2FFF7DE7"/>
    <w:rsid w:val="30EA5ED5"/>
    <w:rsid w:val="32FF3174"/>
    <w:rsid w:val="33F748AD"/>
    <w:rsid w:val="35874596"/>
    <w:rsid w:val="35F2A362"/>
    <w:rsid w:val="36162CAE"/>
    <w:rsid w:val="36EA2AC9"/>
    <w:rsid w:val="371A51D2"/>
    <w:rsid w:val="373BBD0C"/>
    <w:rsid w:val="39BFEDBA"/>
    <w:rsid w:val="39DBABD8"/>
    <w:rsid w:val="3AED12ED"/>
    <w:rsid w:val="3AFF6A5D"/>
    <w:rsid w:val="3BDD34D2"/>
    <w:rsid w:val="3BDDFF97"/>
    <w:rsid w:val="3BFFD43B"/>
    <w:rsid w:val="3C7BD5C9"/>
    <w:rsid w:val="3F4F77BB"/>
    <w:rsid w:val="3FBF9251"/>
    <w:rsid w:val="3FED766E"/>
    <w:rsid w:val="3FFEEAD9"/>
    <w:rsid w:val="3FFFE931"/>
    <w:rsid w:val="403326AF"/>
    <w:rsid w:val="413E3268"/>
    <w:rsid w:val="426F5588"/>
    <w:rsid w:val="42EF7AEE"/>
    <w:rsid w:val="43CD4BC8"/>
    <w:rsid w:val="457F07F2"/>
    <w:rsid w:val="4B4C0AC8"/>
    <w:rsid w:val="4CC6FDBD"/>
    <w:rsid w:val="4E07F45D"/>
    <w:rsid w:val="4E4B5067"/>
    <w:rsid w:val="4E634DB6"/>
    <w:rsid w:val="4EA47A73"/>
    <w:rsid w:val="4FF59AF5"/>
    <w:rsid w:val="503D00E8"/>
    <w:rsid w:val="50F9512B"/>
    <w:rsid w:val="517754B0"/>
    <w:rsid w:val="531243A6"/>
    <w:rsid w:val="55872E29"/>
    <w:rsid w:val="55FE10A2"/>
    <w:rsid w:val="56EF6619"/>
    <w:rsid w:val="572528F9"/>
    <w:rsid w:val="57AF1E73"/>
    <w:rsid w:val="5AB21C33"/>
    <w:rsid w:val="5B778EC0"/>
    <w:rsid w:val="5BFD93EC"/>
    <w:rsid w:val="5CBA8FF2"/>
    <w:rsid w:val="5D5F7E21"/>
    <w:rsid w:val="5F5B35E4"/>
    <w:rsid w:val="5FC548DC"/>
    <w:rsid w:val="609FA7B0"/>
    <w:rsid w:val="63E61662"/>
    <w:rsid w:val="661029C7"/>
    <w:rsid w:val="66692CE9"/>
    <w:rsid w:val="67916330"/>
    <w:rsid w:val="694B6269"/>
    <w:rsid w:val="69FCE5E7"/>
    <w:rsid w:val="6BCDA9CC"/>
    <w:rsid w:val="6D9F2765"/>
    <w:rsid w:val="6DB508E5"/>
    <w:rsid w:val="6DDFA6BD"/>
    <w:rsid w:val="6E767ACE"/>
    <w:rsid w:val="6E781687"/>
    <w:rsid w:val="6EEE3ED1"/>
    <w:rsid w:val="6EFFED40"/>
    <w:rsid w:val="6F1B2166"/>
    <w:rsid w:val="6F5FC1DE"/>
    <w:rsid w:val="6FB3E1FD"/>
    <w:rsid w:val="6FD768E4"/>
    <w:rsid w:val="6FF341F1"/>
    <w:rsid w:val="6FFEBD86"/>
    <w:rsid w:val="70893AA1"/>
    <w:rsid w:val="70F87828"/>
    <w:rsid w:val="71495829"/>
    <w:rsid w:val="73027B3B"/>
    <w:rsid w:val="73AB1F81"/>
    <w:rsid w:val="73FF1F09"/>
    <w:rsid w:val="73FF684B"/>
    <w:rsid w:val="74A708C5"/>
    <w:rsid w:val="76DFCB7D"/>
    <w:rsid w:val="771D4D51"/>
    <w:rsid w:val="7735A28E"/>
    <w:rsid w:val="77778F6D"/>
    <w:rsid w:val="77ABFD6B"/>
    <w:rsid w:val="77B7A121"/>
    <w:rsid w:val="77C748BA"/>
    <w:rsid w:val="77DD24F1"/>
    <w:rsid w:val="77F10335"/>
    <w:rsid w:val="77F7E860"/>
    <w:rsid w:val="77FB8D34"/>
    <w:rsid w:val="7969788E"/>
    <w:rsid w:val="797D0128"/>
    <w:rsid w:val="79EDB415"/>
    <w:rsid w:val="7ABBCDAB"/>
    <w:rsid w:val="7AFCAD25"/>
    <w:rsid w:val="7AFEB9B4"/>
    <w:rsid w:val="7B4F3A2A"/>
    <w:rsid w:val="7B5E0C37"/>
    <w:rsid w:val="7B63F034"/>
    <w:rsid w:val="7B735637"/>
    <w:rsid w:val="7B7DE504"/>
    <w:rsid w:val="7BFEC4F8"/>
    <w:rsid w:val="7DA14F75"/>
    <w:rsid w:val="7DB57A61"/>
    <w:rsid w:val="7DC7DC1F"/>
    <w:rsid w:val="7DF95E12"/>
    <w:rsid w:val="7DFDF40F"/>
    <w:rsid w:val="7DFF9BC7"/>
    <w:rsid w:val="7EB645E3"/>
    <w:rsid w:val="7EB6B7AB"/>
    <w:rsid w:val="7EDEF702"/>
    <w:rsid w:val="7EFD6908"/>
    <w:rsid w:val="7EFF8787"/>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4">
    <w:name w:val="Body Text Indent"/>
    <w:basedOn w:val="1"/>
    <w:qFormat/>
    <w:uiPriority w:val="0"/>
    <w:pPr>
      <w:spacing w:after="120"/>
      <w:ind w:leftChars="200"/>
    </w:pPr>
    <w:rPr>
      <w:rFonts w:ascii="仿宋_GB2312"/>
      <w:szCs w:val="32"/>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paragraph" w:styleId="8">
    <w:name w:val="Body Text First Indent 2"/>
    <w:basedOn w:val="4"/>
    <w:unhideWhenUsed/>
    <w:qFormat/>
    <w:uiPriority w:val="99"/>
    <w:pPr>
      <w:ind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3818</Words>
  <Characters>4064</Characters>
  <Lines>0</Lines>
  <Paragraphs>0</Paragraphs>
  <TotalTime>3</TotalTime>
  <ScaleCrop>false</ScaleCrop>
  <LinksUpToDate>false</LinksUpToDate>
  <CharactersWithSpaces>4193</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289F9C90B1234247B385F36CB09652D2_13</vt:lpwstr>
  </property>
</Properties>
</file>