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jc w:val="center"/>
        <w:rPr>
          <w:rFonts w:hint="eastAsia"/>
          <w:b w:val="0"/>
          <w:bCs/>
          <w:lang w:val="en-US" w:eastAsia="zh-CN"/>
        </w:rPr>
      </w:pPr>
      <w:bookmarkStart w:id="1" w:name="_GoBack"/>
      <w:r>
        <w:rPr>
          <w:rFonts w:hint="eastAsia"/>
          <w:b w:val="0"/>
          <w:bCs/>
          <w:lang w:val="en-US" w:eastAsia="zh-CN"/>
        </w:rPr>
        <w:t>中小微园区标准厂房建设项目绩效评价报告</w:t>
      </w:r>
    </w:p>
    <w:p>
      <w:pPr>
        <w:pStyle w:val="3"/>
        <w:bidi w:val="0"/>
        <w:jc w:val="center"/>
        <w:rPr>
          <w:rFonts w:hint="eastAsia"/>
          <w:b w:val="0"/>
          <w:bCs/>
          <w:lang w:val="en-US" w:eastAsia="zh-CN"/>
        </w:rPr>
      </w:pPr>
    </w:p>
    <w:p>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ascii="黑体" w:hAnsi="宋体" w:eastAsia="黑体"/>
          <w:highlight w:val="none"/>
          <w:lang w:val="zh-CN"/>
        </w:rPr>
      </w:pPr>
      <w:r>
        <w:rPr>
          <w:rFonts w:hint="eastAsia" w:ascii="黑体" w:hAnsi="宋体" w:eastAsia="黑体"/>
          <w:highlight w:val="none"/>
        </w:rPr>
        <w:t>一、</w:t>
      </w:r>
      <w:r>
        <w:rPr>
          <w:rFonts w:hint="eastAsia" w:ascii="黑体" w:hAnsi="宋体" w:eastAsia="黑体"/>
          <w:highlight w:val="none"/>
          <w:lang w:val="zh-CN"/>
        </w:rPr>
        <w:t>项目概况</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rPr>
          <w:rFonts w:hint="eastAsia" w:ascii="仿宋_GB2312" w:hAnsi="仿宋_GB2312" w:cs="仿宋_GB2312"/>
          <w:color w:val="auto"/>
          <w:kern w:val="0"/>
          <w:sz w:val="32"/>
          <w:szCs w:val="32"/>
          <w:highlight w:val="yellow"/>
          <w:u w:val="none"/>
          <w:shd w:val="clear" w:color="auto" w:fill="FFFFFF"/>
          <w:lang w:val="zh-CN" w:eastAsia="zh-CN"/>
        </w:rPr>
      </w:pPr>
      <w:r>
        <w:rPr>
          <w:rFonts w:hint="eastAsia" w:ascii="楷体_GB2312" w:hAnsi="宋体" w:eastAsia="楷体_GB2312"/>
          <w:b/>
          <w:color w:val="auto"/>
          <w:sz w:val="32"/>
          <w:szCs w:val="32"/>
          <w:highlight w:val="none"/>
          <w:u w:val="none"/>
          <w:lang w:val="zh-CN"/>
        </w:rPr>
        <w:t>（一）设立背景及基本情况。</w:t>
      </w:r>
      <w:r>
        <w:rPr>
          <w:rFonts w:hint="eastAsia" w:ascii="仿宋_GB2312" w:hAnsi="仿宋_GB2312" w:cs="仿宋_GB2312"/>
          <w:color w:val="auto"/>
          <w:kern w:val="0"/>
          <w:sz w:val="32"/>
          <w:szCs w:val="32"/>
          <w:highlight w:val="none"/>
          <w:u w:val="none"/>
          <w:shd w:val="clear" w:color="auto" w:fill="FFFFFF"/>
          <w:lang w:val="zh-CN" w:eastAsia="zh-CN"/>
        </w:rPr>
        <w:t>为深入贯彻落实州委十一届九次、十次全会和全州新型工业化发展大会精神，加快推进各县(市)中小微企业产业园区建设，促进县域经济快速健康发展，根据黑水县发展和改革局关于转下达浙江省对口支援黑水县2023年项目实施计划的通知，决定实施黑水县中小微园区标准厂房建设项目。项目</w:t>
      </w:r>
      <w:r>
        <w:rPr>
          <w:rFonts w:hint="eastAsia" w:ascii="仿宋" w:hAnsi="仿宋" w:eastAsia="仿宋" w:cs="仿宋"/>
          <w:sz w:val="32"/>
          <w:szCs w:val="32"/>
        </w:rPr>
        <w:t>估算总投资3862.40万元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资金来源为浙江对口支援资金</w:t>
      </w:r>
      <w:r>
        <w:rPr>
          <w:rFonts w:hint="eastAsia" w:ascii="仿宋" w:hAnsi="仿宋" w:eastAsia="仿宋" w:cs="仿宋"/>
          <w:sz w:val="32"/>
          <w:szCs w:val="32"/>
        </w:rPr>
        <w:t>,</w:t>
      </w:r>
      <w:r>
        <w:rPr>
          <w:rFonts w:hint="eastAsia" w:ascii="仿宋" w:hAnsi="仿宋" w:eastAsia="仿宋" w:cs="仿宋"/>
          <w:sz w:val="32"/>
          <w:szCs w:val="32"/>
          <w:lang w:val="en-US" w:eastAsia="zh-CN"/>
        </w:rPr>
        <w:t>项目规划</w:t>
      </w:r>
      <w:r>
        <w:rPr>
          <w:rFonts w:hint="eastAsia" w:ascii="仿宋" w:hAnsi="仿宋" w:eastAsia="仿宋" w:cs="仿宋"/>
          <w:sz w:val="32"/>
          <w:szCs w:val="32"/>
        </w:rPr>
        <w:t>用地12699.9㎡（约19.05亩），总建筑面积</w:t>
      </w:r>
      <w:r>
        <w:rPr>
          <w:rFonts w:hint="eastAsia" w:ascii="仿宋" w:hAnsi="仿宋" w:eastAsia="仿宋" w:cs="仿宋"/>
          <w:sz w:val="32"/>
          <w:szCs w:val="32"/>
          <w:lang w:val="en-US" w:eastAsia="zh-CN"/>
        </w:rPr>
        <w:t>9684.06</w:t>
      </w:r>
      <w:r>
        <w:rPr>
          <w:rFonts w:hint="eastAsia" w:ascii="仿宋" w:hAnsi="仿宋" w:eastAsia="仿宋" w:cs="仿宋"/>
          <w:sz w:val="32"/>
          <w:szCs w:val="32"/>
        </w:rPr>
        <w:t>㎡，其中：1#厂房</w:t>
      </w:r>
      <w:r>
        <w:rPr>
          <w:rFonts w:hint="eastAsia" w:ascii="仿宋" w:hAnsi="仿宋" w:eastAsia="仿宋" w:cs="仿宋"/>
          <w:sz w:val="32"/>
          <w:szCs w:val="32"/>
          <w:lang w:val="en-US" w:eastAsia="zh-CN"/>
        </w:rPr>
        <w:t>4314.06</w:t>
      </w:r>
      <w:r>
        <w:rPr>
          <w:rFonts w:hint="eastAsia" w:ascii="仿宋" w:hAnsi="仿宋" w:eastAsia="仿宋" w:cs="仿宋"/>
          <w:sz w:val="32"/>
          <w:szCs w:val="32"/>
        </w:rPr>
        <w:t>㎡、2#厂房</w:t>
      </w:r>
      <w:r>
        <w:rPr>
          <w:rFonts w:hint="eastAsia" w:ascii="仿宋" w:hAnsi="仿宋" w:eastAsia="仿宋" w:cs="仿宋"/>
          <w:sz w:val="32"/>
          <w:szCs w:val="32"/>
          <w:lang w:val="en-US" w:eastAsia="zh-CN"/>
        </w:rPr>
        <w:t>2990.73</w:t>
      </w:r>
      <w:r>
        <w:rPr>
          <w:rFonts w:hint="eastAsia" w:ascii="仿宋" w:hAnsi="仿宋" w:eastAsia="仿宋" w:cs="仿宋"/>
          <w:sz w:val="32"/>
          <w:szCs w:val="32"/>
        </w:rPr>
        <w:t>㎡、库房9</w:t>
      </w:r>
      <w:r>
        <w:rPr>
          <w:rFonts w:hint="eastAsia" w:ascii="仿宋" w:hAnsi="仿宋" w:eastAsia="仿宋" w:cs="仿宋"/>
          <w:sz w:val="32"/>
          <w:szCs w:val="32"/>
          <w:lang w:val="en-US" w:eastAsia="zh-CN"/>
        </w:rPr>
        <w:t>57</w:t>
      </w:r>
      <w:r>
        <w:rPr>
          <w:rFonts w:hint="eastAsia" w:ascii="仿宋" w:hAnsi="仿宋" w:eastAsia="仿宋" w:cs="仿宋"/>
          <w:sz w:val="32"/>
          <w:szCs w:val="32"/>
        </w:rPr>
        <w:t>.</w:t>
      </w:r>
      <w:r>
        <w:rPr>
          <w:rFonts w:hint="eastAsia" w:ascii="仿宋" w:hAnsi="仿宋" w:eastAsia="仿宋" w:cs="仿宋"/>
          <w:sz w:val="32"/>
          <w:szCs w:val="32"/>
          <w:lang w:val="en-US" w:eastAsia="zh-CN"/>
        </w:rPr>
        <w:t>64</w:t>
      </w:r>
      <w:r>
        <w:rPr>
          <w:rFonts w:hint="eastAsia" w:ascii="仿宋" w:hAnsi="仿宋" w:eastAsia="仿宋" w:cs="仿宋"/>
          <w:sz w:val="32"/>
          <w:szCs w:val="32"/>
        </w:rPr>
        <w:t>㎡、办公楼</w:t>
      </w:r>
      <w:r>
        <w:rPr>
          <w:rFonts w:hint="eastAsia" w:ascii="仿宋" w:hAnsi="仿宋" w:eastAsia="仿宋" w:cs="仿宋"/>
          <w:sz w:val="32"/>
          <w:szCs w:val="32"/>
          <w:lang w:val="en-US" w:eastAsia="zh-CN"/>
        </w:rPr>
        <w:t>782.46</w:t>
      </w:r>
      <w:r>
        <w:rPr>
          <w:rFonts w:hint="eastAsia" w:ascii="仿宋" w:hAnsi="仿宋" w:eastAsia="仿宋" w:cs="仿宋"/>
          <w:sz w:val="32"/>
          <w:szCs w:val="32"/>
        </w:rPr>
        <w:t>㎡、设备房</w:t>
      </w:r>
      <w:r>
        <w:rPr>
          <w:rFonts w:hint="eastAsia" w:ascii="仿宋" w:hAnsi="仿宋" w:eastAsia="仿宋" w:cs="仿宋"/>
          <w:sz w:val="32"/>
          <w:szCs w:val="32"/>
          <w:lang w:val="en-US" w:eastAsia="zh-CN"/>
        </w:rPr>
        <w:t>607.04</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污水收集池425.21㎡，门卫室32.13㎡</w:t>
      </w:r>
      <w:r>
        <w:rPr>
          <w:rFonts w:hint="eastAsia" w:ascii="仿宋" w:hAnsi="仿宋" w:eastAsia="仿宋" w:cs="仿宋"/>
          <w:sz w:val="32"/>
          <w:szCs w:val="32"/>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rPr>
          <w:rFonts w:ascii="楷体_GB2312" w:hAnsi="宋体" w:eastAsia="楷体_GB2312"/>
          <w:b/>
          <w:color w:val="auto"/>
          <w:sz w:val="32"/>
          <w:szCs w:val="32"/>
          <w:highlight w:val="none"/>
          <w:u w:val="none"/>
          <w:lang w:val="zh-CN"/>
        </w:rPr>
      </w:pPr>
      <w:r>
        <w:rPr>
          <w:rFonts w:hint="eastAsia" w:ascii="楷体_GB2312" w:hAnsi="宋体" w:eastAsia="楷体_GB2312"/>
          <w:b/>
          <w:color w:val="auto"/>
          <w:sz w:val="32"/>
          <w:szCs w:val="32"/>
          <w:highlight w:val="none"/>
          <w:u w:val="none"/>
          <w:lang w:val="zh-CN"/>
        </w:rPr>
        <w:t>（</w:t>
      </w:r>
      <w:r>
        <w:rPr>
          <w:rFonts w:hint="eastAsia" w:ascii="楷体_GB2312" w:hAnsi="宋体" w:eastAsia="楷体_GB2312" w:cs="Times New Roman"/>
          <w:b/>
          <w:color w:val="auto"/>
          <w:sz w:val="32"/>
          <w:szCs w:val="32"/>
          <w:highlight w:val="none"/>
          <w:u w:val="none"/>
          <w:lang w:val="zh-CN"/>
        </w:rPr>
        <w:t>二）</w:t>
      </w:r>
      <w:r>
        <w:rPr>
          <w:rFonts w:hint="default" w:ascii="楷体_GB2312" w:hAnsi="宋体" w:eastAsia="楷体_GB2312" w:cs="Times New Roman"/>
          <w:b/>
          <w:color w:val="auto"/>
          <w:sz w:val="32"/>
          <w:szCs w:val="32"/>
          <w:highlight w:val="none"/>
          <w:u w:val="none"/>
          <w:lang w:val="en-US" w:eastAsia="zh-CN"/>
        </w:rPr>
        <w:t>实施目的及支持方向</w:t>
      </w:r>
      <w:r>
        <w:rPr>
          <w:rFonts w:hint="eastAsia" w:ascii="楷体_GB2312" w:hAnsi="宋体" w:eastAsia="楷体_GB2312" w:cs="Times New Roman"/>
          <w:b/>
          <w:color w:val="auto"/>
          <w:sz w:val="32"/>
          <w:szCs w:val="32"/>
          <w:highlight w:val="none"/>
          <w:u w:val="none"/>
          <w:lang w:val="en-US" w:eastAsia="zh-CN"/>
        </w:rPr>
        <w:t>。</w:t>
      </w:r>
      <w:r>
        <w:rPr>
          <w:rFonts w:hint="eastAsia" w:ascii="仿宋_GB2312" w:hAnsi="仿宋_GB2312" w:cs="仿宋_GB2312"/>
          <w:color w:val="auto"/>
          <w:kern w:val="0"/>
          <w:sz w:val="32"/>
          <w:szCs w:val="32"/>
          <w:highlight w:val="none"/>
          <w:u w:val="none"/>
          <w:shd w:val="clear" w:color="auto" w:fill="FFFFFF"/>
          <w:lang w:val="zh-CN" w:eastAsia="zh-CN"/>
        </w:rPr>
        <w:t>推进黑水县中小微企业产业园区建设，促进县域经济快速健康发展。</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2" w:firstLineChars="200"/>
        <w:contextualSpacing/>
        <w:jc w:val="left"/>
        <w:textAlignment w:val="auto"/>
        <w:rPr>
          <w:rFonts w:hint="default" w:ascii="仿宋_GB2312" w:hAnsi="仿宋_GB2312" w:cs="仿宋_GB2312"/>
          <w:color w:val="auto"/>
          <w:kern w:val="0"/>
          <w:sz w:val="32"/>
          <w:szCs w:val="32"/>
          <w:highlight w:val="none"/>
          <w:u w:val="none"/>
          <w:shd w:val="clear" w:color="auto" w:fill="FFFFFF"/>
          <w:lang w:val="en-US" w:eastAsia="zh-CN"/>
        </w:rPr>
      </w:pPr>
      <w:r>
        <w:rPr>
          <w:rFonts w:hint="eastAsia" w:ascii="楷体_GB2312" w:hAnsi="宋体" w:eastAsia="楷体_GB2312" w:cs="Times New Roman"/>
          <w:b/>
          <w:color w:val="auto"/>
          <w:sz w:val="32"/>
          <w:szCs w:val="32"/>
          <w:highlight w:val="none"/>
          <w:u w:val="none"/>
          <w:lang w:val="zh-CN" w:eastAsia="zh-CN"/>
        </w:rPr>
        <w:t>（三）</w:t>
      </w:r>
      <w:r>
        <w:rPr>
          <w:rFonts w:hint="default" w:ascii="楷体_GB2312" w:hAnsi="宋体" w:eastAsia="楷体_GB2312" w:cs="Times New Roman"/>
          <w:b/>
          <w:color w:val="auto"/>
          <w:sz w:val="32"/>
          <w:szCs w:val="32"/>
          <w:highlight w:val="none"/>
          <w:u w:val="none"/>
          <w:lang w:val="en-US" w:eastAsia="zh-CN"/>
        </w:rPr>
        <w:t>预算安排及分配管理</w:t>
      </w:r>
      <w:r>
        <w:rPr>
          <w:rFonts w:hint="eastAsia" w:ascii="楷体_GB2312" w:hAnsi="宋体" w:eastAsia="楷体_GB2312" w:cs="Times New Roman"/>
          <w:b/>
          <w:color w:val="auto"/>
          <w:sz w:val="32"/>
          <w:szCs w:val="32"/>
          <w:highlight w:val="none"/>
          <w:u w:val="none"/>
          <w:lang w:val="zh-CN" w:eastAsia="zh-CN"/>
        </w:rPr>
        <w:t>。</w:t>
      </w:r>
      <w:r>
        <w:rPr>
          <w:rFonts w:hint="eastAsia" w:ascii="仿宋_GB2312" w:hAnsi="仿宋_GB2312" w:cs="仿宋_GB2312"/>
          <w:color w:val="auto"/>
          <w:kern w:val="0"/>
          <w:sz w:val="32"/>
          <w:szCs w:val="32"/>
          <w:highlight w:val="none"/>
          <w:u w:val="none"/>
          <w:shd w:val="clear" w:color="auto" w:fill="FFFFFF"/>
          <w:lang w:val="zh-CN" w:eastAsia="zh-CN"/>
        </w:rPr>
        <w:t>黑水县中小微园区标准厂房建设项目</w:t>
      </w:r>
      <w:r>
        <w:rPr>
          <w:rFonts w:hint="eastAsia" w:ascii="仿宋_GB2312" w:hAnsi="仿宋_GB2312" w:eastAsia="仿宋_GB2312" w:cs="仿宋_GB2312"/>
          <w:b w:val="0"/>
          <w:bCs/>
          <w:color w:val="auto"/>
          <w:sz w:val="32"/>
          <w:szCs w:val="32"/>
          <w:highlight w:val="none"/>
          <w:u w:val="none"/>
          <w:lang w:val="zh-CN" w:eastAsia="zh-CN"/>
        </w:rPr>
        <w:t>资金来源</w:t>
      </w:r>
      <w:r>
        <w:rPr>
          <w:rFonts w:hint="eastAsia" w:ascii="仿宋_GB2312" w:hAnsi="仿宋_GB2312" w:cs="仿宋_GB2312"/>
          <w:b w:val="0"/>
          <w:bCs/>
          <w:color w:val="auto"/>
          <w:sz w:val="32"/>
          <w:szCs w:val="32"/>
          <w:highlight w:val="none"/>
          <w:u w:val="none"/>
          <w:lang w:val="zh-CN" w:eastAsia="zh-CN"/>
        </w:rPr>
        <w:t>于</w:t>
      </w:r>
      <w:r>
        <w:rPr>
          <w:rFonts w:hint="eastAsia" w:ascii="仿宋_GB2312" w:hAnsi="仿宋_GB2312" w:cs="仿宋_GB2312"/>
          <w:color w:val="auto"/>
          <w:kern w:val="0"/>
          <w:sz w:val="32"/>
          <w:szCs w:val="32"/>
          <w:highlight w:val="none"/>
          <w:u w:val="none"/>
          <w:shd w:val="clear" w:color="auto" w:fill="FFFFFF"/>
          <w:lang w:val="zh-CN" w:eastAsia="zh-CN"/>
        </w:rPr>
        <w:t>浙江对口支援资金100万元，已通过黑财综〔202</w:t>
      </w:r>
      <w:r>
        <w:rPr>
          <w:rFonts w:hint="eastAsia" w:ascii="仿宋_GB2312" w:hAnsi="仿宋_GB2312" w:cs="仿宋_GB2312"/>
          <w:color w:val="auto"/>
          <w:kern w:val="0"/>
          <w:sz w:val="32"/>
          <w:szCs w:val="32"/>
          <w:highlight w:val="none"/>
          <w:u w:val="none"/>
          <w:shd w:val="clear" w:color="auto" w:fill="FFFFFF"/>
          <w:lang w:val="en-US" w:eastAsia="zh-CN"/>
        </w:rPr>
        <w:t>3</w:t>
      </w:r>
      <w:r>
        <w:rPr>
          <w:rFonts w:hint="eastAsia" w:ascii="仿宋_GB2312" w:hAnsi="仿宋_GB2312" w:cs="仿宋_GB2312"/>
          <w:color w:val="auto"/>
          <w:kern w:val="0"/>
          <w:sz w:val="32"/>
          <w:szCs w:val="32"/>
          <w:highlight w:val="none"/>
          <w:u w:val="none"/>
          <w:shd w:val="clear" w:color="auto" w:fill="FFFFFF"/>
          <w:lang w:val="zh-CN" w:eastAsia="zh-CN"/>
        </w:rPr>
        <w:t>〕</w:t>
      </w:r>
      <w:r>
        <w:rPr>
          <w:rFonts w:hint="eastAsia" w:ascii="仿宋_GB2312" w:hAnsi="仿宋_GB2312" w:cs="仿宋_GB2312"/>
          <w:color w:val="auto"/>
          <w:kern w:val="0"/>
          <w:sz w:val="32"/>
          <w:szCs w:val="32"/>
          <w:highlight w:val="none"/>
          <w:u w:val="none"/>
          <w:shd w:val="clear" w:color="auto" w:fill="FFFFFF"/>
          <w:lang w:val="en-US" w:eastAsia="zh-CN"/>
        </w:rPr>
        <w:t>7</w:t>
      </w:r>
      <w:r>
        <w:rPr>
          <w:rFonts w:hint="eastAsia" w:ascii="仿宋_GB2312" w:hAnsi="仿宋_GB2312" w:cs="仿宋_GB2312"/>
          <w:color w:val="auto"/>
          <w:kern w:val="0"/>
          <w:sz w:val="32"/>
          <w:szCs w:val="32"/>
          <w:highlight w:val="none"/>
          <w:u w:val="none"/>
          <w:shd w:val="clear" w:color="auto" w:fill="FFFFFF"/>
          <w:lang w:val="zh-CN" w:eastAsia="zh-CN"/>
        </w:rPr>
        <w:t>号文件下达，</w:t>
      </w:r>
      <w:r>
        <w:rPr>
          <w:rFonts w:hint="eastAsia" w:ascii="仿宋_GB2312" w:cs="Times New Roman"/>
          <w:sz w:val="32"/>
          <w:szCs w:val="32"/>
          <w:lang w:val="en-US" w:eastAsia="zh-CN"/>
        </w:rPr>
        <w:t>估算工程总投资3862.40万元，其中：工程费用为3343.48万元（施工费用为3003.48万元，锅炉、工业污水处理设备、变压器、柴油发电机设施设备费340万元），工程建设其他费用335.00万元，预备费为183.92万元</w:t>
      </w:r>
      <w:r>
        <w:rPr>
          <w:rFonts w:hint="eastAsia" w:ascii="仿宋_GB2312" w:hAnsi="仿宋_GB2312" w:cs="仿宋_GB2312"/>
          <w:color w:val="auto"/>
          <w:kern w:val="0"/>
          <w:sz w:val="32"/>
          <w:szCs w:val="32"/>
          <w:highlight w:val="none"/>
          <w:u w:val="none"/>
          <w:shd w:val="clear" w:color="auto" w:fill="FFFFFF"/>
          <w:lang w:val="en-US" w:eastAsia="zh-CN"/>
        </w:rPr>
        <w:t>。</w:t>
      </w:r>
    </w:p>
    <w:p>
      <w:pPr>
        <w:keepNext w:val="0"/>
        <w:keepLines w:val="0"/>
        <w:pageBreakBefore w:val="0"/>
        <w:kinsoku/>
        <w:wordWrap/>
        <w:overflowPunct/>
        <w:topLinePunct w:val="0"/>
        <w:autoSpaceDE/>
        <w:autoSpaceDN/>
        <w:bidi w:val="0"/>
        <w:adjustRightInd w:val="0"/>
        <w:snapToGrid w:val="0"/>
        <w:spacing w:line="578" w:lineRule="exact"/>
        <w:ind w:left="0" w:leftChars="0" w:firstLine="642" w:firstLineChars="200"/>
        <w:textAlignment w:val="auto"/>
        <w:rPr>
          <w:rFonts w:hint="default" w:ascii="仿宋_GB2312" w:hAnsi="仿宋_GB2312" w:cs="仿宋_GB2312"/>
          <w:color w:val="auto"/>
          <w:kern w:val="0"/>
          <w:sz w:val="32"/>
          <w:szCs w:val="32"/>
          <w:highlight w:val="none"/>
          <w:u w:val="none"/>
          <w:shd w:val="clear" w:color="auto" w:fill="FFFFFF"/>
          <w:lang w:val="zh-CN" w:eastAsia="zh-CN"/>
        </w:rPr>
      </w:pPr>
      <w:r>
        <w:rPr>
          <w:rFonts w:hint="eastAsia" w:ascii="楷体_GB2312" w:hAnsi="宋体" w:eastAsia="楷体_GB2312" w:cs="Times New Roman"/>
          <w:b/>
          <w:color w:val="auto"/>
          <w:sz w:val="32"/>
          <w:szCs w:val="32"/>
          <w:highlight w:val="none"/>
          <w:u w:val="none"/>
          <w:lang w:val="zh-CN" w:eastAsia="zh-CN"/>
        </w:rPr>
        <w:t>（四）项目绩效目标设置。</w:t>
      </w:r>
      <w:r>
        <w:rPr>
          <w:rFonts w:hint="eastAsia" w:ascii="仿宋_GB2312" w:hAnsi="仿宋_GB2312" w:cs="仿宋_GB2312"/>
          <w:color w:val="auto"/>
          <w:kern w:val="0"/>
          <w:sz w:val="32"/>
          <w:szCs w:val="32"/>
          <w:highlight w:val="none"/>
          <w:u w:val="none"/>
          <w:shd w:val="clear" w:color="auto" w:fill="FFFFFF"/>
          <w:lang w:val="zh-CN" w:eastAsia="zh-CN"/>
        </w:rPr>
        <w:t>积极推动黑水县中小微园区标准厂房建设项目，力争工程形象进度≥</w:t>
      </w:r>
      <w:r>
        <w:rPr>
          <w:rFonts w:hint="eastAsia" w:ascii="仿宋_GB2312" w:hAnsi="仿宋_GB2312" w:cs="仿宋_GB2312"/>
          <w:color w:val="auto"/>
          <w:kern w:val="0"/>
          <w:sz w:val="32"/>
          <w:szCs w:val="32"/>
          <w:highlight w:val="none"/>
          <w:u w:val="none"/>
          <w:shd w:val="clear" w:color="auto" w:fill="FFFFFF"/>
          <w:lang w:val="en-US" w:eastAsia="zh-CN"/>
        </w:rPr>
        <w:t>80</w:t>
      </w:r>
      <w:r>
        <w:rPr>
          <w:rFonts w:hint="eastAsia" w:ascii="仿宋_GB2312" w:hAnsi="仿宋_GB2312" w:cs="仿宋_GB2312"/>
          <w:color w:val="auto"/>
          <w:kern w:val="0"/>
          <w:sz w:val="32"/>
          <w:szCs w:val="32"/>
          <w:highlight w:val="none"/>
          <w:u w:val="none"/>
          <w:shd w:val="clear" w:color="auto" w:fill="FFFFFF"/>
          <w:lang w:val="zh-CN" w:eastAsia="zh-CN"/>
        </w:rPr>
        <w:t>%，资金拨付≥</w:t>
      </w:r>
      <w:r>
        <w:rPr>
          <w:rFonts w:hint="eastAsia" w:ascii="仿宋_GB2312" w:hAnsi="仿宋_GB2312" w:cs="仿宋_GB2312"/>
          <w:color w:val="auto"/>
          <w:kern w:val="0"/>
          <w:sz w:val="32"/>
          <w:szCs w:val="32"/>
          <w:highlight w:val="none"/>
          <w:u w:val="none"/>
          <w:shd w:val="clear" w:color="auto" w:fill="FFFFFF"/>
          <w:lang w:val="en-US" w:eastAsia="zh-CN"/>
        </w:rPr>
        <w:t>90</w:t>
      </w:r>
      <w:r>
        <w:rPr>
          <w:rFonts w:hint="eastAsia" w:ascii="仿宋_GB2312" w:hAnsi="仿宋_GB2312" w:cs="仿宋_GB2312"/>
          <w:color w:val="auto"/>
          <w:kern w:val="0"/>
          <w:sz w:val="32"/>
          <w:szCs w:val="32"/>
          <w:highlight w:val="none"/>
          <w:u w:val="none"/>
          <w:shd w:val="clear" w:color="auto" w:fill="FFFFFF"/>
          <w:lang w:val="zh-CN" w:eastAsia="zh-CN"/>
        </w:rPr>
        <w:t>%，促进黑水县牦牛养殖及牦牛绒加工产业的持续健康发展。。</w:t>
      </w:r>
    </w:p>
    <w:p>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outlineLvl w:val="9"/>
        <w:rPr>
          <w:rFonts w:hint="eastAsia" w:ascii="黑体" w:hAnsi="宋体" w:eastAsia="黑体"/>
          <w:highlight w:val="none"/>
          <w:lang w:eastAsia="zh-CN"/>
        </w:rPr>
      </w:pPr>
      <w:r>
        <w:rPr>
          <w:rFonts w:hint="eastAsia" w:ascii="黑体" w:hAnsi="宋体" w:eastAsia="黑体"/>
          <w:highlight w:val="none"/>
        </w:rPr>
        <w:t>二、</w:t>
      </w:r>
      <w:r>
        <w:rPr>
          <w:rFonts w:hint="eastAsia" w:ascii="黑体" w:hAnsi="宋体" w:eastAsia="黑体"/>
          <w:highlight w:val="none"/>
          <w:lang w:eastAsia="zh-CN"/>
        </w:rPr>
        <w:t>评价实施</w:t>
      </w:r>
    </w:p>
    <w:p>
      <w:pPr>
        <w:adjustRightInd w:val="0"/>
        <w:snapToGrid w:val="0"/>
        <w:spacing w:line="578" w:lineRule="exact"/>
        <w:ind w:firstLine="642" w:firstLineChars="200"/>
        <w:rPr>
          <w:rFonts w:eastAsia="仿宋_GB2312" w:cs="Times New Roman"/>
          <w:szCs w:val="32"/>
        </w:rPr>
      </w:pPr>
      <w:r>
        <w:rPr>
          <w:rFonts w:hint="eastAsia" w:ascii="楷体_GB2312" w:hAnsi="宋体" w:eastAsia="楷体_GB2312"/>
          <w:b/>
          <w:color w:val="auto"/>
          <w:sz w:val="32"/>
          <w:szCs w:val="32"/>
          <w:highlight w:val="none"/>
          <w:u w:val="none"/>
          <w:lang w:val="zh-CN"/>
        </w:rPr>
        <w:t>（一）评价目的。</w:t>
      </w:r>
      <w:r>
        <w:rPr>
          <w:rFonts w:hint="eastAsia" w:ascii="Times New Roman" w:hAnsi="Times New Roman" w:cs="Times New Roman"/>
          <w:kern w:val="0"/>
          <w:szCs w:val="28"/>
        </w:rPr>
        <w:t>为了进一步规范和加强预算绩效管理和专项资金管理，为项目设立和预算安排提供重要参考依据，提高预算编制科学性、合理性，优化财政支出结构，从源头上防控财政资源配置的低效无效，提高财政资源配置效率和财政资金使用效益，</w:t>
      </w:r>
      <w:r>
        <w:rPr>
          <w:rFonts w:hint="eastAsia" w:ascii="Times New Roman" w:hAnsi="Times New Roman" w:cs="Times New Roman"/>
          <w:kern w:val="0"/>
          <w:szCs w:val="28"/>
          <w:lang w:val="en-US" w:eastAsia="zh-CN"/>
        </w:rPr>
        <w:t>阿坝州财政局</w:t>
      </w:r>
      <w:r>
        <w:rPr>
          <w:rFonts w:hint="eastAsia" w:ascii="Times New Roman" w:hAnsi="Times New Roman" w:cs="Times New Roman"/>
          <w:kern w:val="0"/>
          <w:szCs w:val="28"/>
        </w:rPr>
        <w:t>印发《</w:t>
      </w:r>
      <w:r>
        <w:rPr>
          <w:rFonts w:hint="eastAsia" w:ascii="Times New Roman" w:hAnsi="Times New Roman" w:cs="Times New Roman"/>
          <w:kern w:val="0"/>
          <w:szCs w:val="28"/>
          <w:lang w:val="en-US" w:eastAsia="zh-CN"/>
        </w:rPr>
        <w:t>阿坝州财政局关于开展2024年州级部门绩效自评工作的</w:t>
      </w:r>
      <w:r>
        <w:rPr>
          <w:rFonts w:hint="eastAsia" w:ascii="Times New Roman" w:hAnsi="Times New Roman" w:cs="Times New Roman"/>
          <w:kern w:val="0"/>
          <w:szCs w:val="28"/>
          <w:lang w:eastAsia="zh-CN"/>
        </w:rPr>
        <w:t>通知</w:t>
      </w:r>
      <w:r>
        <w:rPr>
          <w:rFonts w:hint="eastAsia" w:ascii="Times New Roman" w:hAnsi="Times New Roman" w:cs="Times New Roman"/>
          <w:kern w:val="0"/>
          <w:szCs w:val="28"/>
        </w:rPr>
        <w:t>》（</w:t>
      </w:r>
      <w:r>
        <w:rPr>
          <w:rFonts w:hint="eastAsia" w:ascii="Times New Roman" w:hAnsi="Times New Roman" w:cs="Times New Roman"/>
          <w:kern w:val="0"/>
          <w:szCs w:val="28"/>
          <w:lang w:val="en-US" w:eastAsia="zh-CN"/>
        </w:rPr>
        <w:t>阿州财监绩〔2024〕19号</w:t>
      </w:r>
      <w:r>
        <w:rPr>
          <w:rFonts w:hint="eastAsia" w:ascii="Times New Roman" w:hAnsi="Times New Roman" w:cs="Times New Roman"/>
          <w:kern w:val="0"/>
          <w:szCs w:val="28"/>
        </w:rPr>
        <w:t>），要求</w:t>
      </w:r>
      <w:r>
        <w:rPr>
          <w:rFonts w:hint="eastAsia" w:ascii="Times New Roman" w:hAnsi="Times New Roman" w:cs="Times New Roman"/>
          <w:kern w:val="0"/>
          <w:szCs w:val="28"/>
          <w:lang w:eastAsia="zh-CN"/>
        </w:rPr>
        <w:t>各部门（单位）</w:t>
      </w:r>
      <w:r>
        <w:rPr>
          <w:rFonts w:hint="eastAsia" w:ascii="Times New Roman" w:hAnsi="Times New Roman" w:cs="Times New Roman"/>
          <w:kern w:val="0"/>
          <w:szCs w:val="28"/>
        </w:rPr>
        <w:t>按照</w:t>
      </w:r>
      <w:r>
        <w:rPr>
          <w:rFonts w:hint="eastAsia" w:ascii="Times New Roman" w:hAnsi="Times New Roman" w:cs="Times New Roman"/>
          <w:kern w:val="0"/>
          <w:szCs w:val="28"/>
          <w:lang w:eastAsia="zh-CN"/>
        </w:rPr>
        <w:t>州财政局</w:t>
      </w:r>
      <w:r>
        <w:rPr>
          <w:rFonts w:hint="eastAsia" w:ascii="Times New Roman" w:hAnsi="Times New Roman" w:cs="Times New Roman"/>
          <w:kern w:val="0"/>
          <w:szCs w:val="28"/>
        </w:rPr>
        <w:t>制定的相关制度办法和共性绩效指标框架，建立涵盖项目决策、项目管理、项目实施、项目结果、民生保障五个板块，覆盖所有管理对象，贯穿绩效目标管理、事前评估、事中监控、事后评价以及绩效结果应用全过程的本部门的具体措施、实施细则和指标体系，形成全州全面实施预算绩效管理制度体系格局。通过本次评价总结经验，发现问题，提出改进建议，进一步提升加强项目支出绩效管理水平、提升预算管理水平、提升项目管理水平。</w:t>
      </w:r>
    </w:p>
    <w:p>
      <w:pPr>
        <w:adjustRightInd w:val="0"/>
        <w:snapToGrid w:val="0"/>
        <w:spacing w:line="578" w:lineRule="exact"/>
        <w:ind w:firstLine="642" w:firstLineChars="200"/>
        <w:rPr>
          <w:rFonts w:ascii="楷体_GB2312" w:hAnsi="宋体" w:eastAsia="楷体_GB2312"/>
          <w:b/>
          <w:lang w:val="zh-CN"/>
        </w:rPr>
      </w:pPr>
      <w:r>
        <w:rPr>
          <w:rFonts w:hint="eastAsia" w:ascii="楷体_GB2312" w:hAnsi="宋体" w:eastAsia="楷体_GB2312" w:cs="Times New Roman"/>
          <w:b/>
          <w:color w:val="auto"/>
          <w:sz w:val="32"/>
          <w:szCs w:val="32"/>
          <w:highlight w:val="none"/>
          <w:u w:val="none"/>
          <w:lang w:val="zh-CN"/>
        </w:rPr>
        <w:t>（二）预设问题及评价重点。</w:t>
      </w:r>
      <w:r>
        <w:rPr>
          <w:rFonts w:hint="eastAsia"/>
          <w:kern w:val="0"/>
          <w:szCs w:val="28"/>
        </w:rPr>
        <w:t>本次评价主要针对该项目的规划编制的内容完整性和项目实施工作的质量问题，结合该项目资金的使用情况来完整的体现。</w:t>
      </w:r>
    </w:p>
    <w:p>
      <w:pPr>
        <w:adjustRightInd w:val="0"/>
        <w:snapToGrid w:val="0"/>
        <w:spacing w:line="578" w:lineRule="exact"/>
        <w:ind w:firstLine="642" w:firstLineChars="200"/>
        <w:rPr>
          <w:rFonts w:hint="eastAsia"/>
          <w:kern w:val="0"/>
          <w:szCs w:val="28"/>
        </w:rPr>
      </w:pPr>
      <w:r>
        <w:rPr>
          <w:rFonts w:hint="eastAsia" w:ascii="楷体_GB2312" w:hAnsi="宋体" w:eastAsia="楷体_GB2312" w:cs="Times New Roman"/>
          <w:b/>
          <w:color w:val="auto"/>
          <w:sz w:val="32"/>
          <w:szCs w:val="32"/>
          <w:highlight w:val="none"/>
          <w:u w:val="none"/>
          <w:lang w:val="zh-CN"/>
        </w:rPr>
        <w:t>（三）评价选点。</w:t>
      </w:r>
      <w:r>
        <w:rPr>
          <w:rFonts w:hint="eastAsia" w:cs="Times New Roman"/>
          <w:kern w:val="0"/>
          <w:szCs w:val="28"/>
          <w:lang w:val="en-US" w:eastAsia="zh-CN"/>
        </w:rPr>
        <w:t>2023年浙江对口支援</w:t>
      </w:r>
      <w:r>
        <w:rPr>
          <w:rFonts w:hint="eastAsia" w:ascii="Times New Roman" w:hAnsi="Times New Roman" w:cs="Times New Roman"/>
          <w:kern w:val="0"/>
          <w:szCs w:val="28"/>
          <w:lang w:val="zh-CN" w:eastAsia="zh-CN"/>
        </w:rPr>
        <w:t>资金</w:t>
      </w:r>
      <w:r>
        <w:rPr>
          <w:rFonts w:hint="eastAsia" w:ascii="Times New Roman" w:hAnsi="Times New Roman" w:cs="Times New Roman"/>
          <w:kern w:val="0"/>
          <w:szCs w:val="28"/>
        </w:rPr>
        <w:t>项</w:t>
      </w:r>
      <w:r>
        <w:rPr>
          <w:rFonts w:hint="eastAsia"/>
          <w:kern w:val="0"/>
          <w:szCs w:val="28"/>
        </w:rPr>
        <w:t>目主要开展工作地点为</w:t>
      </w:r>
      <w:r>
        <w:rPr>
          <w:rFonts w:hint="eastAsia"/>
          <w:kern w:val="0"/>
          <w:szCs w:val="28"/>
          <w:lang w:eastAsia="zh-CN"/>
        </w:rPr>
        <w:t>黑水</w:t>
      </w:r>
      <w:r>
        <w:rPr>
          <w:rFonts w:hint="eastAsia"/>
          <w:kern w:val="0"/>
          <w:szCs w:val="28"/>
        </w:rPr>
        <w:t>县，本次绩效评价主体为</w:t>
      </w:r>
      <w:r>
        <w:rPr>
          <w:rFonts w:hint="eastAsia"/>
          <w:kern w:val="0"/>
          <w:szCs w:val="28"/>
          <w:lang w:eastAsia="zh-CN"/>
        </w:rPr>
        <w:t>阿坝州财政局</w:t>
      </w:r>
      <w:r>
        <w:rPr>
          <w:rFonts w:hint="eastAsia"/>
          <w:kern w:val="0"/>
          <w:szCs w:val="28"/>
        </w:rPr>
        <w:t>，项目不</w:t>
      </w:r>
      <w:r>
        <w:rPr>
          <w:rFonts w:hint="eastAsia"/>
          <w:kern w:val="0"/>
          <w:szCs w:val="28"/>
          <w:lang w:eastAsia="zh-CN"/>
        </w:rPr>
        <w:t>涉及其他</w:t>
      </w:r>
      <w:r>
        <w:rPr>
          <w:rFonts w:hint="eastAsia"/>
          <w:kern w:val="0"/>
          <w:szCs w:val="28"/>
        </w:rPr>
        <w:t>点位。</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eastAsia="仿宋_GB2312" w:cs="Times New Roman"/>
          <w:szCs w:val="32"/>
        </w:rPr>
      </w:pPr>
      <w:r>
        <w:rPr>
          <w:rFonts w:hint="eastAsia" w:ascii="楷体_GB2312" w:hAnsi="宋体" w:eastAsia="楷体_GB2312"/>
          <w:b/>
          <w:color w:val="auto"/>
          <w:sz w:val="32"/>
          <w:szCs w:val="32"/>
          <w:highlight w:val="none"/>
          <w:u w:val="none"/>
          <w:lang w:val="zh-CN"/>
        </w:rPr>
        <w:t>（四）评价方法。</w:t>
      </w:r>
      <w:r>
        <w:rPr>
          <w:rFonts w:eastAsia="仿宋_GB2312" w:cs="Times New Roman"/>
          <w:szCs w:val="32"/>
        </w:rPr>
        <w:t>根据项目情况和评价重点，</w:t>
      </w:r>
      <w:r>
        <w:rPr>
          <w:rFonts w:hint="eastAsia" w:ascii="仿宋_GB2312" w:hAnsi="仿宋_GB2312" w:cs="仿宋_GB2312"/>
          <w:color w:val="auto"/>
          <w:kern w:val="0"/>
          <w:sz w:val="32"/>
          <w:szCs w:val="32"/>
          <w:highlight w:val="none"/>
          <w:u w:val="none"/>
          <w:shd w:val="clear" w:color="auto" w:fill="FFFFFF"/>
          <w:lang w:val="zh-CN" w:eastAsia="zh-CN"/>
        </w:rPr>
        <w:t>单位进行自评。</w:t>
      </w:r>
    </w:p>
    <w:p>
      <w:pPr>
        <w:adjustRightInd w:val="0"/>
        <w:snapToGrid w:val="0"/>
        <w:spacing w:line="578" w:lineRule="exact"/>
        <w:ind w:firstLine="642" w:firstLineChars="200"/>
        <w:rPr>
          <w:rFonts w:hint="eastAsia" w:ascii="楷体_GB2312" w:hAnsi="宋体" w:eastAsia="楷体_GB2312"/>
          <w:b/>
          <w:color w:val="auto"/>
          <w:sz w:val="32"/>
          <w:szCs w:val="32"/>
          <w:highlight w:val="none"/>
          <w:u w:val="none"/>
          <w:lang w:val="zh-CN"/>
        </w:rPr>
      </w:pPr>
      <w:r>
        <w:rPr>
          <w:rFonts w:hint="eastAsia" w:ascii="楷体_GB2312" w:hAnsi="宋体" w:eastAsia="楷体_GB2312"/>
          <w:b/>
          <w:color w:val="auto"/>
          <w:sz w:val="32"/>
          <w:szCs w:val="32"/>
          <w:highlight w:val="none"/>
          <w:u w:val="none"/>
          <w:lang w:val="zh-CN"/>
        </w:rPr>
        <w:t>（五）评价组织。</w:t>
      </w:r>
    </w:p>
    <w:p>
      <w:pPr>
        <w:adjustRightInd w:val="0"/>
        <w:snapToGrid w:val="0"/>
        <w:spacing w:line="578" w:lineRule="exact"/>
        <w:ind w:firstLine="640" w:firstLineChars="200"/>
        <w:rPr>
          <w:kern w:val="0"/>
          <w:szCs w:val="28"/>
        </w:rPr>
      </w:pPr>
      <w:r>
        <w:rPr>
          <w:rFonts w:hint="eastAsia"/>
          <w:kern w:val="0"/>
          <w:szCs w:val="28"/>
        </w:rPr>
        <w:t>1.</w:t>
      </w:r>
      <w:r>
        <w:rPr>
          <w:kern w:val="0"/>
          <w:szCs w:val="28"/>
        </w:rPr>
        <w:t>领导小组职责：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研究和决定同级政府公共事业管理绩效评价中的重大问题。</w:t>
      </w:r>
    </w:p>
    <w:p>
      <w:pPr>
        <w:adjustRightInd w:val="0"/>
        <w:snapToGrid w:val="0"/>
        <w:spacing w:line="578" w:lineRule="exact"/>
        <w:ind w:firstLine="640" w:firstLineChars="200"/>
        <w:rPr>
          <w:kern w:val="0"/>
          <w:szCs w:val="28"/>
        </w:rPr>
      </w:pPr>
      <w:r>
        <w:rPr>
          <w:rFonts w:hint="eastAsia"/>
          <w:kern w:val="0"/>
          <w:szCs w:val="28"/>
        </w:rPr>
        <w:t>（2）</w:t>
      </w:r>
      <w:r>
        <w:rPr>
          <w:kern w:val="0"/>
          <w:szCs w:val="28"/>
        </w:rPr>
        <w:t>组织协调绩效评价工作，确保评价的顺利进行。</w:t>
      </w:r>
    </w:p>
    <w:p>
      <w:pPr>
        <w:adjustRightInd w:val="0"/>
        <w:snapToGrid w:val="0"/>
        <w:spacing w:line="578" w:lineRule="exact"/>
        <w:ind w:firstLine="640" w:firstLineChars="200"/>
        <w:rPr>
          <w:kern w:val="0"/>
          <w:szCs w:val="28"/>
        </w:rPr>
      </w:pPr>
      <w:r>
        <w:rPr>
          <w:rFonts w:hint="eastAsia"/>
          <w:kern w:val="0"/>
          <w:szCs w:val="28"/>
        </w:rPr>
        <w:t>（3）</w:t>
      </w:r>
      <w:r>
        <w:rPr>
          <w:kern w:val="0"/>
          <w:szCs w:val="28"/>
        </w:rPr>
        <w:t>对各单位的工作目标、绩效考核结果和等次、奖惩方案进行审核，并报同级党委和政府审定。</w:t>
      </w:r>
    </w:p>
    <w:p>
      <w:pPr>
        <w:adjustRightInd w:val="0"/>
        <w:snapToGrid w:val="0"/>
        <w:spacing w:line="578" w:lineRule="exact"/>
        <w:ind w:firstLine="640" w:firstLineChars="200"/>
        <w:rPr>
          <w:kern w:val="0"/>
          <w:szCs w:val="28"/>
        </w:rPr>
      </w:pPr>
      <w:r>
        <w:rPr>
          <w:rFonts w:hint="eastAsia"/>
          <w:kern w:val="0"/>
          <w:szCs w:val="28"/>
        </w:rPr>
        <w:t>2.</w:t>
      </w:r>
      <w:r>
        <w:rPr>
          <w:kern w:val="0"/>
          <w:szCs w:val="28"/>
        </w:rPr>
        <w:t>办公室职责：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提出全省（市、县）政府公共事业管理绩效评价的工作方案，并负责具体组织实施。</w:t>
      </w:r>
    </w:p>
    <w:p>
      <w:pPr>
        <w:adjustRightInd w:val="0"/>
        <w:snapToGrid w:val="0"/>
        <w:spacing w:line="578" w:lineRule="exact"/>
        <w:ind w:firstLine="640" w:firstLineChars="200"/>
        <w:rPr>
          <w:kern w:val="0"/>
          <w:szCs w:val="28"/>
        </w:rPr>
      </w:pPr>
      <w:r>
        <w:rPr>
          <w:rFonts w:hint="eastAsia"/>
          <w:kern w:val="0"/>
          <w:szCs w:val="28"/>
        </w:rPr>
        <w:t>（2）</w:t>
      </w:r>
      <w:r>
        <w:rPr>
          <w:kern w:val="0"/>
          <w:szCs w:val="28"/>
        </w:rPr>
        <w:t>综合评价信息，提出评价结果</w:t>
      </w:r>
      <w:r>
        <w:rPr>
          <w:rFonts w:hint="eastAsia"/>
          <w:kern w:val="0"/>
          <w:szCs w:val="28"/>
          <w:lang w:eastAsia="zh-CN"/>
        </w:rPr>
        <w:t>等</w:t>
      </w:r>
      <w:r>
        <w:rPr>
          <w:kern w:val="0"/>
          <w:szCs w:val="28"/>
        </w:rPr>
        <w:t>次认定方案及奖惩方案等。</w:t>
      </w:r>
    </w:p>
    <w:p>
      <w:pPr>
        <w:adjustRightInd w:val="0"/>
        <w:snapToGrid w:val="0"/>
        <w:spacing w:line="578" w:lineRule="exact"/>
        <w:ind w:firstLine="640" w:firstLineChars="200"/>
        <w:rPr>
          <w:kern w:val="0"/>
          <w:szCs w:val="28"/>
        </w:rPr>
      </w:pPr>
      <w:r>
        <w:rPr>
          <w:rFonts w:hint="eastAsia"/>
          <w:kern w:val="0"/>
          <w:szCs w:val="28"/>
        </w:rPr>
        <w:t>（3）</w:t>
      </w:r>
      <w:r>
        <w:rPr>
          <w:kern w:val="0"/>
          <w:szCs w:val="28"/>
        </w:rPr>
        <w:t>负责绩效评价的日常工作，包括宣传、沟通、协调等。</w:t>
      </w:r>
    </w:p>
    <w:p>
      <w:pPr>
        <w:adjustRightInd w:val="0"/>
        <w:snapToGrid w:val="0"/>
        <w:spacing w:line="578" w:lineRule="exact"/>
        <w:ind w:firstLine="640" w:firstLineChars="200"/>
        <w:rPr>
          <w:kern w:val="0"/>
          <w:szCs w:val="28"/>
        </w:rPr>
      </w:pPr>
      <w:r>
        <w:rPr>
          <w:rFonts w:hint="eastAsia"/>
          <w:kern w:val="0"/>
          <w:szCs w:val="28"/>
        </w:rPr>
        <w:t>（4）</w:t>
      </w:r>
      <w:r>
        <w:rPr>
          <w:kern w:val="0"/>
          <w:szCs w:val="28"/>
        </w:rPr>
        <w:t>根据评价结果撰写绩效评价报告，并递交给领导小组。</w:t>
      </w:r>
    </w:p>
    <w:p>
      <w:pPr>
        <w:adjustRightInd w:val="0"/>
        <w:snapToGrid w:val="0"/>
        <w:spacing w:line="578" w:lineRule="exact"/>
        <w:ind w:firstLine="640" w:firstLineChars="200"/>
        <w:rPr>
          <w:kern w:val="0"/>
          <w:szCs w:val="28"/>
        </w:rPr>
      </w:pPr>
      <w:r>
        <w:rPr>
          <w:rFonts w:hint="eastAsia"/>
          <w:kern w:val="0"/>
          <w:szCs w:val="28"/>
        </w:rPr>
        <w:t>3.</w:t>
      </w:r>
      <w:r>
        <w:rPr>
          <w:kern w:val="0"/>
          <w:szCs w:val="28"/>
        </w:rPr>
        <w:t>具体执行人员职责：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组长：审批绩效自评方案，监督、检查、核实绩效自评结果。</w:t>
      </w:r>
    </w:p>
    <w:p>
      <w:pPr>
        <w:adjustRightInd w:val="0"/>
        <w:snapToGrid w:val="0"/>
        <w:spacing w:line="578" w:lineRule="exact"/>
        <w:ind w:firstLine="640" w:firstLineChars="200"/>
        <w:rPr>
          <w:kern w:val="0"/>
          <w:szCs w:val="28"/>
        </w:rPr>
      </w:pPr>
      <w:r>
        <w:rPr>
          <w:rFonts w:hint="eastAsia"/>
          <w:kern w:val="0"/>
          <w:szCs w:val="28"/>
        </w:rPr>
        <w:t>（2）</w:t>
      </w:r>
      <w:r>
        <w:rPr>
          <w:kern w:val="0"/>
          <w:szCs w:val="28"/>
        </w:rPr>
        <w:t>副组长：审核修改拟定的绩效自评方案，并提交考评工作组会议讨论通过；监督、部署、确认绩效自评过程及反馈意见的处理。</w:t>
      </w:r>
    </w:p>
    <w:p>
      <w:pPr>
        <w:adjustRightInd w:val="0"/>
        <w:snapToGrid w:val="0"/>
        <w:spacing w:line="578" w:lineRule="exact"/>
        <w:ind w:firstLine="640" w:firstLineChars="200"/>
        <w:rPr>
          <w:rFonts w:hint="eastAsia" w:eastAsia="仿宋_GB2312" w:cs="Times New Roman"/>
          <w:bCs/>
          <w:lang w:eastAsia="zh-CN"/>
        </w:rPr>
      </w:pPr>
      <w:r>
        <w:rPr>
          <w:rFonts w:hint="eastAsia"/>
          <w:kern w:val="0"/>
          <w:szCs w:val="28"/>
        </w:rPr>
        <w:t>（3）</w:t>
      </w:r>
      <w:r>
        <w:rPr>
          <w:kern w:val="0"/>
          <w:szCs w:val="28"/>
        </w:rPr>
        <w:t>小组成员：起草和修改绩效考评方案报自评领导工作组会议讨论通过，实施执行绩效自评方案；牵头组织并实施年度绩效自评，根据组长、副组长指示，对考评结果进行复核，完成绩效自核工作组安排的其他工作。</w:t>
      </w:r>
    </w:p>
    <w:p>
      <w:pPr>
        <w:keepNext w:val="0"/>
        <w:keepLines w:val="0"/>
        <w:pageBreakBefore w:val="0"/>
        <w:kinsoku/>
        <w:wordWrap/>
        <w:overflowPunct/>
        <w:topLinePunct w:val="0"/>
        <w:autoSpaceDE/>
        <w:autoSpaceDN/>
        <w:bidi w:val="0"/>
        <w:adjustRightInd w:val="0"/>
        <w:snapToGrid w:val="0"/>
        <w:spacing w:line="578" w:lineRule="exact"/>
        <w:ind w:firstLine="640" w:firstLineChars="200"/>
        <w:textAlignment w:val="auto"/>
        <w:rPr>
          <w:rFonts w:ascii="仿宋_GB2312" w:hAnsi="宋体"/>
          <w:color w:val="auto"/>
          <w:sz w:val="32"/>
          <w:szCs w:val="32"/>
          <w:highlight w:val="none"/>
          <w:u w:val="none"/>
          <w:lang w:val="zh-CN"/>
        </w:rPr>
      </w:pPr>
      <w:r>
        <w:rPr>
          <w:rFonts w:hint="eastAsia" w:ascii="黑体" w:hAnsi="宋体" w:eastAsia="黑体"/>
          <w:color w:val="auto"/>
          <w:sz w:val="32"/>
          <w:szCs w:val="32"/>
          <w:highlight w:val="none"/>
          <w:u w:val="none"/>
        </w:rPr>
        <w:t>三、</w:t>
      </w:r>
      <w:r>
        <w:rPr>
          <w:rFonts w:hint="eastAsia" w:ascii="黑体" w:hAnsi="宋体" w:eastAsia="黑体"/>
          <w:color w:val="auto"/>
          <w:sz w:val="32"/>
          <w:szCs w:val="32"/>
          <w:highlight w:val="none"/>
          <w:u w:val="none"/>
          <w:lang w:eastAsia="zh-CN"/>
        </w:rPr>
        <w:t>绩效分析</w:t>
      </w:r>
      <w:r>
        <w:rPr>
          <w:rFonts w:hint="eastAsia" w:ascii="仿宋_GB2312" w:hAnsi="宋体"/>
          <w:color w:val="auto"/>
          <w:sz w:val="32"/>
          <w:szCs w:val="32"/>
          <w:highlight w:val="none"/>
          <w:u w:val="none"/>
          <w:lang w:val="zh-CN"/>
        </w:rPr>
        <w:tab/>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eastAsia="仿宋_GB2312" w:cs="Times New Roman"/>
          <w:szCs w:val="32"/>
          <w:lang w:val="en-US" w:eastAsia="zh-CN"/>
        </w:rPr>
      </w:pPr>
      <w:r>
        <w:rPr>
          <w:rFonts w:hint="default" w:eastAsia="仿宋_GB2312" w:cs="Times New Roman"/>
          <w:szCs w:val="32"/>
          <w:lang w:val="zh-CN" w:eastAsia="zh-CN"/>
        </w:rPr>
        <w:t>根据</w:t>
      </w:r>
      <w:r>
        <w:rPr>
          <w:rFonts w:hint="eastAsia" w:eastAsia="仿宋_GB2312" w:cs="Times New Roman"/>
          <w:szCs w:val="32"/>
          <w:lang w:val="zh-CN" w:eastAsia="zh-CN"/>
        </w:rPr>
        <w:t>项目</w:t>
      </w:r>
      <w:r>
        <w:rPr>
          <w:rFonts w:hint="default" w:eastAsia="仿宋_GB2312" w:cs="Times New Roman"/>
          <w:szCs w:val="32"/>
          <w:lang w:val="zh-CN" w:eastAsia="zh-CN"/>
        </w:rPr>
        <w:t>预算绩效评价指标体系“</w:t>
      </w:r>
      <w:r>
        <w:rPr>
          <w:rFonts w:hint="eastAsia" w:eastAsia="仿宋_GB2312" w:cs="Times New Roman"/>
          <w:szCs w:val="32"/>
          <w:lang w:val="zh-CN" w:eastAsia="zh-CN"/>
        </w:rPr>
        <w:t>通用指标</w:t>
      </w:r>
      <w:r>
        <w:rPr>
          <w:rFonts w:hint="default" w:eastAsia="仿宋_GB2312" w:cs="Times New Roman"/>
          <w:szCs w:val="32"/>
          <w:lang w:val="zh-CN" w:eastAsia="zh-CN"/>
        </w:rPr>
        <w:t>”</w:t>
      </w:r>
      <w:r>
        <w:rPr>
          <w:rFonts w:hint="eastAsia" w:eastAsia="仿宋_GB2312" w:cs="Times New Roman"/>
          <w:szCs w:val="32"/>
          <w:lang w:val="zh-CN" w:eastAsia="zh-CN"/>
        </w:rPr>
        <w:t>“专用指标”“个性指标”</w:t>
      </w:r>
      <w:r>
        <w:rPr>
          <w:rFonts w:hint="default" w:eastAsia="仿宋_GB2312" w:cs="Times New Roman"/>
          <w:szCs w:val="32"/>
          <w:lang w:val="zh-CN" w:eastAsia="zh-CN"/>
        </w:rPr>
        <w:t>涉及</w:t>
      </w:r>
      <w:r>
        <w:rPr>
          <w:rFonts w:hint="eastAsia" w:eastAsia="仿宋_GB2312" w:cs="Times New Roman"/>
          <w:szCs w:val="32"/>
          <w:lang w:val="zh-CN" w:eastAsia="zh-CN"/>
        </w:rPr>
        <w:t>二、三级</w:t>
      </w:r>
      <w:r>
        <w:rPr>
          <w:rFonts w:hint="default" w:eastAsia="仿宋_GB2312" w:cs="Times New Roman"/>
          <w:szCs w:val="32"/>
          <w:lang w:val="zh-CN" w:eastAsia="zh-CN"/>
        </w:rPr>
        <w:t>指标进行</w:t>
      </w:r>
      <w:r>
        <w:rPr>
          <w:rFonts w:hint="eastAsia" w:eastAsia="仿宋_GB2312" w:cs="Times New Roman"/>
          <w:szCs w:val="32"/>
          <w:lang w:val="zh-CN" w:eastAsia="zh-CN"/>
        </w:rPr>
        <w:t>逐项</w:t>
      </w:r>
      <w:r>
        <w:rPr>
          <w:rFonts w:hint="default" w:eastAsia="仿宋_GB2312" w:cs="Times New Roman"/>
          <w:szCs w:val="32"/>
          <w:lang w:val="zh-CN" w:eastAsia="zh-CN"/>
        </w:rPr>
        <w:t>绩效分析</w:t>
      </w:r>
      <w:r>
        <w:rPr>
          <w:rFonts w:hint="eastAsia" w:eastAsia="仿宋_GB2312" w:cs="Times New Roman"/>
          <w:szCs w:val="32"/>
          <w:lang w:val="zh-CN" w:eastAsia="zh-CN"/>
        </w:rPr>
        <w:t>并评分</w:t>
      </w:r>
      <w:r>
        <w:rPr>
          <w:rFonts w:hint="eastAsia" w:cs="Times New Roman"/>
          <w:szCs w:val="32"/>
          <w:lang w:val="en-US" w:eastAsia="zh-CN"/>
        </w:rPr>
        <w:t>。</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ascii="仿宋_GB2312" w:cs="Times New Roman"/>
          <w:b/>
          <w:color w:val="auto"/>
          <w:sz w:val="32"/>
          <w:szCs w:val="32"/>
          <w:highlight w:val="none"/>
          <w:u w:val="none"/>
          <w:lang w:val="en-US" w:eastAsia="zh-CN"/>
        </w:rPr>
      </w:pPr>
      <w:r>
        <w:rPr>
          <w:rFonts w:hint="eastAsia" w:ascii="楷体_GB2312" w:eastAsia="楷体_GB2312" w:cs="Times New Roman"/>
          <w:b/>
          <w:color w:val="auto"/>
          <w:sz w:val="32"/>
          <w:szCs w:val="32"/>
          <w:highlight w:val="none"/>
          <w:u w:val="none"/>
          <w:lang w:val="zh-CN"/>
        </w:rPr>
        <w:t>（一）</w:t>
      </w:r>
      <w:r>
        <w:rPr>
          <w:rFonts w:hint="eastAsia" w:ascii="楷体_GB2312" w:eastAsia="楷体_GB2312" w:cs="Times New Roman"/>
          <w:b/>
          <w:color w:val="auto"/>
          <w:sz w:val="32"/>
          <w:szCs w:val="32"/>
          <w:highlight w:val="none"/>
          <w:u w:val="none"/>
          <w:lang w:val="en-US" w:eastAsia="zh-CN"/>
        </w:rPr>
        <w:t>通用指标</w:t>
      </w:r>
      <w:r>
        <w:rPr>
          <w:rFonts w:ascii="Times New Roman" w:hAnsi="Times New Roman" w:eastAsia="楷体_GB2312" w:cs="Times New Roman"/>
          <w:b/>
          <w:bCs/>
          <w:color w:val="000000"/>
          <w:kern w:val="0"/>
          <w:szCs w:val="32"/>
          <w:highlight w:val="none"/>
          <w:shd w:val="clear" w:color="auto" w:fill="FFFFFF"/>
          <w:lang w:val="zh-CN"/>
        </w:rPr>
        <w:t>绩效分析。</w:t>
      </w:r>
      <w:r>
        <w:rPr>
          <w:rFonts w:hint="eastAsia" w:ascii="仿宋_GB2312" w:cs="楷体_GB2312"/>
          <w:color w:val="auto"/>
          <w:szCs w:val="32"/>
          <w:lang w:eastAsia="zh-CN"/>
        </w:rPr>
        <w:t>分值</w:t>
      </w:r>
      <w:r>
        <w:rPr>
          <w:rFonts w:hint="eastAsia" w:ascii="仿宋_GB2312" w:cs="楷体_GB2312"/>
          <w:color w:val="auto"/>
          <w:szCs w:val="32"/>
          <w:lang w:val="en-US" w:eastAsia="zh-CN"/>
        </w:rPr>
        <w:t>54分，自评打分52分。</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ascii="仿宋_GB2312" w:cs="楷体_GB2312"/>
          <w:color w:val="auto"/>
          <w:szCs w:val="32"/>
          <w:lang w:val="en-US" w:eastAsia="zh-CN"/>
        </w:rPr>
      </w:pPr>
      <w:r>
        <w:rPr>
          <w:rFonts w:hint="eastAsia" w:ascii="仿宋_GB2312" w:cs="楷体_GB2312"/>
          <w:color w:val="auto"/>
          <w:szCs w:val="32"/>
          <w:lang w:val="en-US" w:eastAsia="zh-CN"/>
        </w:rPr>
        <w:t>1.</w:t>
      </w:r>
      <w:r>
        <w:rPr>
          <w:rFonts w:hint="eastAsia" w:ascii="仿宋_GB2312" w:cs="楷体_GB2312"/>
          <w:color w:val="auto"/>
          <w:szCs w:val="32"/>
          <w:lang w:eastAsia="zh-CN"/>
        </w:rPr>
        <w:t>项目决策。分值</w:t>
      </w:r>
      <w:r>
        <w:rPr>
          <w:rFonts w:hint="eastAsia" w:ascii="仿宋_GB2312" w:cs="楷体_GB2312"/>
          <w:color w:val="auto"/>
          <w:szCs w:val="32"/>
          <w:lang w:val="en-US" w:eastAsia="zh-CN"/>
        </w:rPr>
        <w:t>18分，自评打分16分。</w:t>
      </w:r>
    </w:p>
    <w:p>
      <w:pPr>
        <w:keepNext w:val="0"/>
        <w:keepLines w:val="0"/>
        <w:pageBreakBefore w:val="0"/>
        <w:widowControl w:val="0"/>
        <w:kinsoku/>
        <w:wordWrap/>
        <w:overflowPunct/>
        <w:topLinePunct w:val="0"/>
        <w:autoSpaceDE/>
        <w:autoSpaceDN/>
        <w:adjustRightInd/>
        <w:snapToGrid/>
        <w:spacing w:line="578" w:lineRule="exact"/>
        <w:ind w:firstLine="640"/>
        <w:rPr>
          <w:rFonts w:ascii="仿宋_GB2312" w:cs="Times New Roman"/>
          <w:color w:val="auto"/>
          <w:szCs w:val="32"/>
          <w:lang w:val="en-US" w:eastAsia="zh-CN"/>
        </w:rPr>
      </w:pPr>
      <w:r>
        <w:rPr>
          <w:rFonts w:hint="eastAsia" w:ascii="仿宋_GB2312" w:cs="Times New Roman"/>
          <w:color w:val="auto"/>
          <w:szCs w:val="32"/>
          <w:lang w:eastAsia="zh-CN"/>
        </w:rPr>
        <w:t>决策程序项目设立、调整延续等方面符合资金管理基本规范和决策程序要求，分值</w:t>
      </w:r>
      <w:r>
        <w:rPr>
          <w:rFonts w:hint="eastAsia" w:ascii="仿宋_GB2312" w:cs="Times New Roman"/>
          <w:color w:val="auto"/>
          <w:szCs w:val="32"/>
          <w:lang w:val="en-US" w:eastAsia="zh-CN"/>
        </w:rPr>
        <w:t>6分，自评打分5分。</w:t>
      </w:r>
    </w:p>
    <w:p>
      <w:pPr>
        <w:keepNext w:val="0"/>
        <w:keepLines w:val="0"/>
        <w:pageBreakBefore w:val="0"/>
        <w:widowControl w:val="0"/>
        <w:kinsoku/>
        <w:wordWrap/>
        <w:overflowPunct/>
        <w:topLinePunct w:val="0"/>
        <w:autoSpaceDE/>
        <w:autoSpaceDN/>
        <w:adjustRightInd/>
        <w:snapToGrid/>
        <w:spacing w:line="578" w:lineRule="exact"/>
        <w:ind w:firstLine="640"/>
        <w:rPr>
          <w:rFonts w:ascii="仿宋_GB2312" w:eastAsia="仿宋_GB2312" w:cs="Times New Roman"/>
          <w:b w:val="0"/>
          <w:color w:val="auto"/>
          <w:kern w:val="2"/>
          <w:sz w:val="32"/>
          <w:szCs w:val="32"/>
          <w:lang w:val="en-US" w:eastAsia="zh-CN" w:bidi="ar-SA"/>
        </w:rPr>
      </w:pPr>
      <w:r>
        <w:rPr>
          <w:rFonts w:hint="eastAsia" w:ascii="仿宋_GB2312" w:eastAsia="仿宋_GB2312" w:cs="Times New Roman"/>
          <w:b w:val="0"/>
          <w:color w:val="auto"/>
          <w:kern w:val="2"/>
          <w:sz w:val="32"/>
          <w:szCs w:val="32"/>
          <w:lang w:val="en-US" w:eastAsia="zh-CN" w:bidi="ar-SA"/>
        </w:rPr>
        <w:t>规划论证：项目规划论证是否符合</w:t>
      </w:r>
      <w:r>
        <w:rPr>
          <w:rFonts w:hint="eastAsia" w:ascii="仿宋_GB2312" w:cs="Times New Roman"/>
          <w:b w:val="0"/>
          <w:color w:val="auto"/>
          <w:kern w:val="2"/>
          <w:sz w:val="32"/>
          <w:szCs w:val="32"/>
          <w:lang w:val="en-US" w:eastAsia="zh-CN" w:bidi="ar-SA"/>
        </w:rPr>
        <w:t>中央、省委</w:t>
      </w:r>
      <w:r>
        <w:rPr>
          <w:rFonts w:hint="eastAsia" w:ascii="仿宋_GB2312" w:eastAsia="仿宋_GB2312" w:cs="Times New Roman"/>
          <w:b w:val="0"/>
          <w:color w:val="auto"/>
          <w:kern w:val="2"/>
          <w:sz w:val="32"/>
          <w:szCs w:val="32"/>
          <w:lang w:val="en-US" w:eastAsia="zh-CN" w:bidi="ar-SA"/>
        </w:rPr>
        <w:t>要求，项目绩效目标设置较为科学合理，分值6分，自评打分</w:t>
      </w:r>
      <w:r>
        <w:rPr>
          <w:rFonts w:hint="eastAsia" w:ascii="仿宋_GB2312" w:cs="Times New Roman"/>
          <w:b w:val="0"/>
          <w:color w:val="auto"/>
          <w:kern w:val="2"/>
          <w:sz w:val="32"/>
          <w:szCs w:val="32"/>
          <w:lang w:val="en-US" w:eastAsia="zh-CN" w:bidi="ar-SA"/>
        </w:rPr>
        <w:t>5</w:t>
      </w:r>
      <w:r>
        <w:rPr>
          <w:rFonts w:hint="eastAsia" w:ascii="仿宋_GB2312" w:eastAsia="仿宋_GB2312" w:cs="Times New Roman"/>
          <w:b w:val="0"/>
          <w:color w:val="auto"/>
          <w:kern w:val="2"/>
          <w:sz w:val="32"/>
          <w:szCs w:val="32"/>
          <w:lang w:val="en-US" w:eastAsia="zh-CN" w:bidi="ar-SA"/>
        </w:rPr>
        <w:t>分。</w:t>
      </w:r>
    </w:p>
    <w:p>
      <w:pPr>
        <w:keepNext w:val="0"/>
        <w:keepLines w:val="0"/>
        <w:pageBreakBefore w:val="0"/>
        <w:widowControl w:val="0"/>
        <w:kinsoku/>
        <w:wordWrap/>
        <w:overflowPunct/>
        <w:topLinePunct w:val="0"/>
        <w:autoSpaceDE/>
        <w:autoSpaceDN/>
        <w:adjustRightInd/>
        <w:snapToGrid/>
        <w:spacing w:line="578" w:lineRule="exact"/>
        <w:ind w:firstLine="640"/>
        <w:rPr>
          <w:rFonts w:hint="eastAsia" w:ascii="仿宋_GB2312"/>
        </w:rPr>
      </w:pPr>
      <w:r>
        <w:rPr>
          <w:rFonts w:hint="eastAsia" w:ascii="仿宋_GB2312" w:cs="Times New Roman"/>
          <w:b w:val="0"/>
          <w:color w:val="auto"/>
          <w:kern w:val="2"/>
          <w:sz w:val="32"/>
          <w:szCs w:val="32"/>
          <w:lang w:val="en-US" w:eastAsia="zh-CN" w:bidi="ar-SA"/>
        </w:rPr>
        <w:t>资金投向：项目资金与项目总体规划、相关行业事业发展相匹配，分值6分，自评打分6分。</w:t>
      </w:r>
    </w:p>
    <w:p>
      <w:pPr>
        <w:keepNext w:val="0"/>
        <w:keepLines w:val="0"/>
        <w:pageBreakBefore w:val="0"/>
        <w:widowControl w:val="0"/>
        <w:numPr>
          <w:ilvl w:val="0"/>
          <w:numId w:val="1"/>
        </w:numPr>
        <w:kinsoku/>
        <w:wordWrap/>
        <w:overflowPunct/>
        <w:topLinePunct w:val="0"/>
        <w:autoSpaceDE/>
        <w:autoSpaceDN/>
        <w:bidi w:val="0"/>
        <w:adjustRightInd/>
        <w:snapToGrid/>
        <w:spacing w:line="578" w:lineRule="exact"/>
        <w:ind w:left="0" w:firstLine="640"/>
        <w:textAlignment w:val="auto"/>
        <w:outlineLvl w:val="9"/>
        <w:rPr>
          <w:rFonts w:hint="eastAsia" w:ascii="仿宋_GB2312" w:cs="楷体_GB2312"/>
          <w:color w:val="auto"/>
          <w:szCs w:val="32"/>
          <w:lang w:val="en-US" w:eastAsia="zh-CN"/>
        </w:rPr>
      </w:pPr>
      <w:r>
        <w:rPr>
          <w:rFonts w:hint="eastAsia" w:ascii="仿宋_GB2312" w:cs="楷体_GB2312"/>
          <w:color w:val="auto"/>
          <w:szCs w:val="32"/>
          <w:lang w:eastAsia="zh-CN"/>
        </w:rPr>
        <w:t>项目管理。分值</w:t>
      </w:r>
      <w:r>
        <w:rPr>
          <w:rFonts w:hint="eastAsia" w:ascii="仿宋_GB2312" w:cs="楷体_GB2312"/>
          <w:color w:val="auto"/>
          <w:szCs w:val="32"/>
          <w:lang w:val="en-US" w:eastAsia="zh-CN"/>
        </w:rPr>
        <w:t>18分，自评打分18分。</w:t>
      </w:r>
    </w:p>
    <w:p>
      <w:pPr>
        <w:keepNext w:val="0"/>
        <w:keepLines w:val="0"/>
        <w:pageBreakBefore w:val="0"/>
        <w:widowControl w:val="0"/>
        <w:kinsoku/>
        <w:wordWrap/>
        <w:overflowPunct/>
        <w:topLinePunct w:val="0"/>
        <w:autoSpaceDE/>
        <w:autoSpaceDN/>
        <w:bidi w:val="0"/>
        <w:adjustRightInd/>
        <w:snapToGrid/>
        <w:spacing w:line="578" w:lineRule="exact"/>
        <w:ind w:left="0" w:firstLine="640" w:firstLineChars="200"/>
        <w:textAlignment w:val="auto"/>
        <w:outlineLvl w:val="9"/>
        <w:rPr>
          <w:rFonts w:hint="eastAsia" w:ascii="仿宋_GB2312" w:cs="Times New Roman"/>
          <w:color w:val="auto"/>
          <w:szCs w:val="32"/>
          <w:lang w:val="en-US" w:eastAsia="zh-CN"/>
        </w:rPr>
      </w:pPr>
      <w:r>
        <w:rPr>
          <w:rFonts w:hint="eastAsia" w:ascii="仿宋_GB2312" w:cs="Times New Roman"/>
          <w:color w:val="auto"/>
          <w:szCs w:val="32"/>
          <w:lang w:val="en-US" w:eastAsia="zh-CN"/>
        </w:rPr>
        <w:t>A.</w:t>
      </w:r>
      <w:r>
        <w:rPr>
          <w:rFonts w:hint="eastAsia" w:ascii="仿宋_GB2312" w:cs="Times New Roman"/>
          <w:color w:val="auto"/>
          <w:szCs w:val="32"/>
          <w:lang w:eastAsia="zh-CN"/>
        </w:rPr>
        <w:t>制度办法：项目制度办法体系健全、要素完备，分值</w:t>
      </w:r>
      <w:r>
        <w:rPr>
          <w:rFonts w:hint="eastAsia" w:ascii="仿宋_GB2312" w:cs="Times New Roman"/>
          <w:color w:val="auto"/>
          <w:szCs w:val="32"/>
          <w:lang w:val="en-US" w:eastAsia="zh-CN"/>
        </w:rPr>
        <w:t>2分，自评打分2分。</w:t>
      </w:r>
    </w:p>
    <w:p>
      <w:pPr>
        <w:keepNext w:val="0"/>
        <w:keepLines w:val="0"/>
        <w:pageBreakBefore w:val="0"/>
        <w:widowControl w:val="0"/>
        <w:kinsoku/>
        <w:wordWrap/>
        <w:overflowPunct/>
        <w:topLinePunct w:val="0"/>
        <w:autoSpaceDE/>
        <w:autoSpaceDN/>
        <w:bidi w:val="0"/>
        <w:adjustRightInd/>
        <w:snapToGrid/>
        <w:spacing w:line="578" w:lineRule="exact"/>
        <w:ind w:left="0" w:firstLine="640" w:firstLineChars="200"/>
        <w:textAlignment w:val="auto"/>
        <w:outlineLvl w:val="9"/>
        <w:rPr>
          <w:rFonts w:hint="eastAsia" w:ascii="仿宋_GB2312" w:cs="Times New Roman"/>
          <w:color w:val="auto"/>
          <w:szCs w:val="32"/>
          <w:lang w:val="en-US" w:eastAsia="zh-CN"/>
        </w:rPr>
      </w:pPr>
      <w:r>
        <w:rPr>
          <w:rFonts w:hint="eastAsia" w:ascii="仿宋_GB2312" w:cs="Times New Roman"/>
          <w:color w:val="auto"/>
          <w:szCs w:val="32"/>
          <w:lang w:val="en-US" w:eastAsia="zh-CN"/>
        </w:rPr>
        <w:t>B.</w:t>
      </w:r>
      <w:r>
        <w:rPr>
          <w:rFonts w:hint="eastAsia" w:ascii="仿宋_GB2312" w:cs="Times New Roman"/>
          <w:color w:val="auto"/>
          <w:szCs w:val="32"/>
          <w:lang w:eastAsia="zh-CN"/>
        </w:rPr>
        <w:t>分配管理</w:t>
      </w:r>
      <w:r>
        <w:rPr>
          <w:rFonts w:hint="eastAsia" w:ascii="仿宋_GB2312" w:cs="Times New Roman"/>
          <w:color w:val="auto"/>
          <w:szCs w:val="32"/>
          <w:lang w:val="en-US" w:eastAsia="zh-CN"/>
        </w:rPr>
        <w:t>:</w:t>
      </w:r>
      <w:r>
        <w:rPr>
          <w:rFonts w:hint="eastAsia" w:ascii="仿宋_GB2312" w:cs="Times New Roman"/>
          <w:color w:val="auto"/>
          <w:szCs w:val="32"/>
          <w:lang w:eastAsia="zh-CN"/>
        </w:rPr>
        <w:t>项目资金分配因素选取、权重设置、区域分布，项目管理、审批符合管理要求</w:t>
      </w:r>
      <w:r>
        <w:rPr>
          <w:rFonts w:hint="eastAsia" w:ascii="仿宋_GB2312" w:cs="Times New Roman"/>
          <w:color w:val="auto"/>
          <w:szCs w:val="32"/>
          <w:lang w:val="en-US" w:eastAsia="zh-CN"/>
        </w:rPr>
        <w:t>,1.</w:t>
      </w:r>
      <w:r>
        <w:rPr>
          <w:rFonts w:hint="eastAsia" w:ascii="仿宋_GB2312" w:cs="Times New Roman"/>
          <w:color w:val="auto"/>
          <w:szCs w:val="32"/>
          <w:lang w:eastAsia="zh-CN"/>
        </w:rPr>
        <w:t>因素分配法：资金分配因素选取充分考虑相关行业事业发展实际和发展需求；资金分配因素的权重设置有效突出项目实施重点；资金区域分布结果公平合理。项目分配法：建设项目储备库，实行入库项目动态管理、推动资金竞争性分配；明确项目申报审核程序，按规定程序履行项目审批。其他分配法：资金分配依据充分合理。2.资金分配严格按管理办法执行，决策程序符合管理要求，及时高效。分值</w:t>
      </w:r>
      <w:r>
        <w:rPr>
          <w:rFonts w:hint="eastAsia" w:ascii="仿宋_GB2312" w:cs="Times New Roman"/>
          <w:color w:val="auto"/>
          <w:szCs w:val="32"/>
          <w:lang w:val="en-US" w:eastAsia="zh-CN"/>
        </w:rPr>
        <w:t>10分，自评打分10分。</w:t>
      </w:r>
    </w:p>
    <w:p>
      <w:pPr>
        <w:keepNext w:val="0"/>
        <w:keepLines w:val="0"/>
        <w:pageBreakBefore w:val="0"/>
        <w:widowControl w:val="0"/>
        <w:kinsoku/>
        <w:wordWrap/>
        <w:overflowPunct/>
        <w:topLinePunct w:val="0"/>
        <w:autoSpaceDE/>
        <w:autoSpaceDN/>
        <w:adjustRightInd/>
        <w:snapToGrid/>
        <w:spacing w:line="578" w:lineRule="exact"/>
        <w:ind w:left="0" w:firstLine="640" w:firstLineChars="200"/>
        <w:rPr>
          <w:rFonts w:ascii="仿宋_GB2312" w:cs="Times New Roman"/>
          <w:color w:val="auto"/>
          <w:szCs w:val="32"/>
          <w:lang w:val="en-US" w:eastAsia="zh-CN"/>
        </w:rPr>
      </w:pPr>
      <w:r>
        <w:rPr>
          <w:rFonts w:hint="eastAsia" w:ascii="仿宋_GB2312" w:cs="Times New Roman"/>
          <w:color w:val="auto"/>
          <w:szCs w:val="32"/>
          <w:lang w:val="en-US" w:eastAsia="zh-CN"/>
        </w:rPr>
        <w:t>C.</w:t>
      </w:r>
      <w:r>
        <w:rPr>
          <w:rFonts w:hint="eastAsia" w:ascii="仿宋_GB2312" w:cs="Times New Roman"/>
          <w:color w:val="auto"/>
          <w:szCs w:val="32"/>
          <w:lang w:eastAsia="zh-CN"/>
        </w:rPr>
        <w:t>绩效监管</w:t>
      </w:r>
      <w:r>
        <w:rPr>
          <w:rFonts w:hint="eastAsia" w:ascii="仿宋_GB2312" w:cs="Times New Roman"/>
          <w:color w:val="auto"/>
          <w:szCs w:val="32"/>
          <w:lang w:val="en-US" w:eastAsia="zh-CN"/>
        </w:rPr>
        <w:t>:管资金、项目、政策并管绩效，项目绩效监管按要求开展，对下指导有力有效</w:t>
      </w:r>
      <w:r>
        <w:rPr>
          <w:rFonts w:hint="eastAsia" w:ascii="仿宋_GB2312" w:cs="Times New Roman"/>
          <w:color w:val="auto"/>
          <w:szCs w:val="32"/>
          <w:lang w:eastAsia="zh-CN"/>
        </w:rPr>
        <w:t>。分值</w:t>
      </w:r>
      <w:r>
        <w:rPr>
          <w:rFonts w:hint="eastAsia" w:ascii="仿宋_GB2312" w:cs="Times New Roman"/>
          <w:color w:val="auto"/>
          <w:szCs w:val="32"/>
          <w:lang w:val="en-US" w:eastAsia="zh-CN"/>
        </w:rPr>
        <w:t>6分，自评打分6分。</w:t>
      </w:r>
    </w:p>
    <w:p>
      <w:pPr>
        <w:keepNext w:val="0"/>
        <w:keepLines w:val="0"/>
        <w:pageBreakBefore w:val="0"/>
        <w:widowControl w:val="0"/>
        <w:kinsoku/>
        <w:wordWrap/>
        <w:overflowPunct/>
        <w:topLinePunct w:val="0"/>
        <w:autoSpaceDE/>
        <w:autoSpaceDN/>
        <w:adjustRightInd/>
        <w:snapToGrid/>
        <w:spacing w:line="578" w:lineRule="exact"/>
        <w:ind w:left="0" w:firstLine="640" w:firstLineChars="200"/>
        <w:rPr>
          <w:rFonts w:hint="eastAsia" w:ascii="仿宋_GB2312"/>
        </w:rPr>
      </w:pPr>
      <w:r>
        <w:rPr>
          <w:rFonts w:hint="eastAsia" w:ascii="仿宋_GB2312" w:cs="楷体_GB2312"/>
          <w:color w:val="auto"/>
          <w:szCs w:val="32"/>
          <w:lang w:val="en-US" w:eastAsia="zh-CN"/>
        </w:rPr>
        <w:t>3.项目实施。</w:t>
      </w:r>
      <w:r>
        <w:rPr>
          <w:rFonts w:hint="eastAsia" w:ascii="仿宋_GB2312" w:cs="Times New Roman"/>
          <w:color w:val="auto"/>
          <w:szCs w:val="32"/>
          <w:lang w:eastAsia="zh-CN"/>
        </w:rPr>
        <w:t>分值</w:t>
      </w:r>
      <w:r>
        <w:rPr>
          <w:rFonts w:hint="eastAsia" w:ascii="仿宋_GB2312" w:cs="Times New Roman"/>
          <w:color w:val="auto"/>
          <w:szCs w:val="32"/>
          <w:lang w:val="en-US" w:eastAsia="zh-CN"/>
        </w:rPr>
        <w:t>9分，自评打分9分。</w:t>
      </w:r>
    </w:p>
    <w:p>
      <w:pPr>
        <w:keepNext w:val="0"/>
        <w:keepLines w:val="0"/>
        <w:pageBreakBefore w:val="0"/>
        <w:widowControl w:val="0"/>
        <w:kinsoku/>
        <w:wordWrap/>
        <w:overflowPunct/>
        <w:topLinePunct w:val="0"/>
        <w:autoSpaceDE/>
        <w:autoSpaceDN/>
        <w:bidi w:val="0"/>
        <w:adjustRightInd/>
        <w:snapToGrid/>
        <w:spacing w:line="578" w:lineRule="exact"/>
        <w:ind w:left="0" w:firstLine="640" w:firstLineChars="200"/>
        <w:textAlignment w:val="auto"/>
        <w:outlineLvl w:val="9"/>
        <w:rPr>
          <w:rFonts w:hint="eastAsia" w:ascii="仿宋_GB2312" w:cs="Times New Roman"/>
          <w:color w:val="auto"/>
          <w:szCs w:val="32"/>
          <w:lang w:val="en-US" w:eastAsia="zh-CN"/>
        </w:rPr>
      </w:pPr>
      <w:r>
        <w:rPr>
          <w:rFonts w:hint="eastAsia" w:ascii="仿宋_GB2312" w:cs="Times New Roman"/>
          <w:color w:val="auto"/>
          <w:szCs w:val="32"/>
          <w:lang w:eastAsia="zh-CN"/>
        </w:rPr>
        <w:t>预算执行</w:t>
      </w:r>
      <w:r>
        <w:rPr>
          <w:rFonts w:hint="eastAsia" w:ascii="仿宋_GB2312" w:cs="Times New Roman"/>
          <w:color w:val="auto"/>
          <w:szCs w:val="32"/>
          <w:lang w:val="en-US" w:eastAsia="zh-CN"/>
        </w:rPr>
        <w:t>:</w:t>
      </w:r>
      <w:r>
        <w:rPr>
          <w:rFonts w:hint="eastAsia" w:ascii="仿宋_GB2312" w:cs="Times New Roman"/>
          <w:color w:val="auto"/>
          <w:szCs w:val="32"/>
          <w:lang w:eastAsia="zh-CN"/>
        </w:rPr>
        <w:t>项目资金财政拨付、单位执行和地方配套到位相结合，省级资金到位</w:t>
      </w:r>
      <w:r>
        <w:rPr>
          <w:rFonts w:hint="eastAsia" w:ascii="仿宋_GB2312" w:cs="Times New Roman"/>
          <w:color w:val="auto"/>
          <w:szCs w:val="32"/>
          <w:lang w:val="en-US" w:eastAsia="zh-CN"/>
        </w:rPr>
        <w:t>43万元，地方配套45.2万元</w:t>
      </w:r>
      <w:r>
        <w:rPr>
          <w:rFonts w:hint="eastAsia" w:ascii="仿宋_GB2312" w:cs="Times New Roman"/>
          <w:color w:val="auto"/>
          <w:szCs w:val="32"/>
          <w:lang w:eastAsia="zh-CN"/>
        </w:rPr>
        <w:t>。分值</w:t>
      </w:r>
      <w:r>
        <w:rPr>
          <w:rFonts w:hint="eastAsia" w:ascii="仿宋_GB2312" w:cs="Times New Roman"/>
          <w:color w:val="auto"/>
          <w:szCs w:val="32"/>
          <w:lang w:val="en-US" w:eastAsia="zh-CN"/>
        </w:rPr>
        <w:t>6分，自评打分6分。</w:t>
      </w:r>
    </w:p>
    <w:p>
      <w:pPr>
        <w:keepNext w:val="0"/>
        <w:keepLines w:val="0"/>
        <w:pageBreakBefore w:val="0"/>
        <w:widowControl w:val="0"/>
        <w:kinsoku/>
        <w:wordWrap/>
        <w:overflowPunct/>
        <w:topLinePunct w:val="0"/>
        <w:autoSpaceDE/>
        <w:autoSpaceDN/>
        <w:bidi w:val="0"/>
        <w:adjustRightInd/>
        <w:snapToGrid/>
        <w:spacing w:line="578" w:lineRule="exact"/>
        <w:ind w:left="0" w:firstLine="640" w:firstLineChars="200"/>
        <w:textAlignment w:val="auto"/>
        <w:outlineLvl w:val="9"/>
        <w:rPr>
          <w:rFonts w:hint="eastAsia" w:ascii="仿宋_GB2312" w:cs="Times New Roman"/>
          <w:color w:val="auto"/>
          <w:szCs w:val="32"/>
          <w:lang w:eastAsia="zh-CN"/>
        </w:rPr>
      </w:pPr>
      <w:r>
        <w:rPr>
          <w:rFonts w:hint="eastAsia" w:ascii="仿宋_GB2312" w:cs="Times New Roman"/>
          <w:color w:val="auto"/>
          <w:szCs w:val="32"/>
          <w:lang w:eastAsia="zh-CN"/>
        </w:rPr>
        <w:t>资金使用</w:t>
      </w:r>
      <w:r>
        <w:rPr>
          <w:rFonts w:hint="eastAsia" w:ascii="仿宋_GB2312" w:cs="Times New Roman"/>
          <w:color w:val="auto"/>
          <w:szCs w:val="32"/>
          <w:lang w:val="en-US" w:eastAsia="zh-CN"/>
        </w:rPr>
        <w:t>:</w:t>
      </w:r>
      <w:r>
        <w:rPr>
          <w:rFonts w:hint="eastAsia" w:ascii="仿宋_GB2312" w:cs="Times New Roman"/>
          <w:color w:val="auto"/>
          <w:szCs w:val="32"/>
          <w:lang w:eastAsia="zh-CN"/>
        </w:rPr>
        <w:t>资金使用专款专用、按时拨付。分值</w:t>
      </w:r>
      <w:r>
        <w:rPr>
          <w:rFonts w:hint="eastAsia" w:ascii="仿宋_GB2312" w:cs="Times New Roman"/>
          <w:color w:val="auto"/>
          <w:szCs w:val="32"/>
          <w:lang w:val="en-US" w:eastAsia="zh-CN"/>
        </w:rPr>
        <w:t>3分，自评打分3分。</w:t>
      </w:r>
    </w:p>
    <w:p>
      <w:pPr>
        <w:keepNext w:val="0"/>
        <w:keepLines w:val="0"/>
        <w:pageBreakBefore w:val="0"/>
        <w:widowControl w:val="0"/>
        <w:kinsoku/>
        <w:wordWrap/>
        <w:overflowPunct/>
        <w:topLinePunct w:val="0"/>
        <w:autoSpaceDE/>
        <w:autoSpaceDN/>
        <w:bidi w:val="0"/>
        <w:adjustRightInd/>
        <w:snapToGrid/>
        <w:spacing w:line="578" w:lineRule="exact"/>
        <w:ind w:left="640" w:leftChars="200" w:firstLine="0"/>
        <w:textAlignment w:val="auto"/>
        <w:outlineLvl w:val="9"/>
        <w:rPr>
          <w:rFonts w:hint="eastAsia" w:ascii="仿宋_GB2312" w:cs="楷体_GB2312"/>
          <w:color w:val="auto"/>
          <w:szCs w:val="32"/>
          <w:lang w:val="en-US" w:eastAsia="zh-CN"/>
        </w:rPr>
      </w:pPr>
      <w:r>
        <w:rPr>
          <w:rFonts w:hint="eastAsia" w:ascii="仿宋_GB2312" w:cs="楷体_GB2312"/>
          <w:color w:val="auto"/>
          <w:szCs w:val="32"/>
          <w:lang w:val="en-US" w:eastAsia="zh-CN"/>
        </w:rPr>
        <w:t>4.项目结果。分值9分，自评打分9分</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outlineLvl w:val="9"/>
        <w:rPr>
          <w:rFonts w:hint="eastAsia" w:ascii="仿宋_GB2312" w:cs="Times New Roman"/>
          <w:color w:val="auto"/>
          <w:szCs w:val="32"/>
          <w:lang w:val="en-US" w:eastAsia="zh-CN"/>
        </w:rPr>
      </w:pPr>
      <w:r>
        <w:rPr>
          <w:rFonts w:hint="eastAsia" w:ascii="仿宋_GB2312" w:cs="Times New Roman"/>
          <w:color w:val="auto"/>
          <w:szCs w:val="32"/>
          <w:lang w:val="en-US" w:eastAsia="zh-CN"/>
        </w:rPr>
        <w:t>项目完成：预期目标，实施结果与绩效目标相匹配，目标实现程度100%</w:t>
      </w:r>
      <w:r>
        <w:rPr>
          <w:rFonts w:hint="eastAsia" w:ascii="仿宋_GB2312" w:cs="Times New Roman"/>
          <w:color w:val="auto"/>
          <w:szCs w:val="32"/>
          <w:lang w:eastAsia="zh-CN"/>
        </w:rPr>
        <w:t>。项目于</w:t>
      </w:r>
      <w:r>
        <w:rPr>
          <w:rFonts w:hint="eastAsia" w:ascii="仿宋_GB2312" w:cs="Times New Roman"/>
          <w:color w:val="auto"/>
          <w:szCs w:val="32"/>
          <w:lang w:val="en-US" w:eastAsia="zh-CN"/>
        </w:rPr>
        <w:t>2023年9月15日开工。</w:t>
      </w:r>
      <w:r>
        <w:rPr>
          <w:rFonts w:hint="eastAsia" w:ascii="仿宋_GB2312" w:cs="楷体_GB2312"/>
          <w:color w:val="auto"/>
          <w:szCs w:val="32"/>
          <w:lang w:val="en-US" w:eastAsia="zh-CN"/>
        </w:rPr>
        <w:t>分值6分，自评打分6分</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outlineLvl w:val="9"/>
        <w:rPr>
          <w:rFonts w:hint="eastAsia" w:ascii="仿宋_GB2312"/>
          <w:lang w:val="en-US" w:eastAsia="zh-CN"/>
        </w:rPr>
      </w:pPr>
      <w:r>
        <w:rPr>
          <w:rFonts w:hint="eastAsia" w:ascii="仿宋_GB2312" w:cs="Times New Roman"/>
          <w:b w:val="0"/>
          <w:color w:val="auto"/>
          <w:kern w:val="2"/>
          <w:sz w:val="32"/>
          <w:szCs w:val="32"/>
          <w:lang w:val="en-US" w:eastAsia="zh-CN" w:bidi="ar-SA"/>
        </w:rPr>
        <w:t>完成时效：项目实际完成时间与计划完成时间一致，分值，</w:t>
      </w:r>
      <w:r>
        <w:rPr>
          <w:rFonts w:hint="eastAsia" w:ascii="仿宋_GB2312" w:cs="楷体_GB2312"/>
          <w:color w:val="auto"/>
          <w:szCs w:val="32"/>
          <w:lang w:val="en-US" w:eastAsia="zh-CN"/>
        </w:rPr>
        <w:t>分值,3分，自评打分3分.</w:t>
      </w:r>
    </w:p>
    <w:p>
      <w:pPr>
        <w:keepNext w:val="0"/>
        <w:keepLines w:val="0"/>
        <w:pageBreakBefore w:val="0"/>
        <w:widowControl w:val="0"/>
        <w:kinsoku/>
        <w:wordWrap/>
        <w:overflowPunct/>
        <w:topLinePunct w:val="0"/>
        <w:autoSpaceDE/>
        <w:autoSpaceDN/>
        <w:bidi w:val="0"/>
        <w:adjustRightInd/>
        <w:snapToGrid/>
        <w:spacing w:line="578" w:lineRule="exact"/>
        <w:ind w:left="0" w:firstLine="642" w:firstLineChars="200"/>
        <w:textAlignment w:val="auto"/>
        <w:outlineLvl w:val="9"/>
        <w:rPr>
          <w:rFonts w:hint="eastAsia" w:ascii="仿宋_GB2312" w:cs="楷体_GB2312"/>
          <w:color w:val="auto"/>
          <w:szCs w:val="32"/>
          <w:lang w:val="en-US" w:eastAsia="zh-CN"/>
        </w:rPr>
      </w:pPr>
      <w:r>
        <w:rPr>
          <w:rFonts w:hint="eastAsia" w:ascii="楷体_GB2312" w:eastAsia="楷体_GB2312" w:cs="Times New Roman"/>
          <w:b/>
          <w:color w:val="auto"/>
          <w:sz w:val="32"/>
          <w:szCs w:val="32"/>
          <w:highlight w:val="none"/>
          <w:u w:val="none"/>
          <w:lang w:val="zh-CN"/>
        </w:rPr>
        <w:t>（二）</w:t>
      </w:r>
      <w:r>
        <w:rPr>
          <w:rFonts w:hint="eastAsia" w:ascii="楷体_GB2312" w:eastAsia="楷体_GB2312" w:cs="Times New Roman"/>
          <w:b/>
          <w:color w:val="auto"/>
          <w:sz w:val="32"/>
          <w:szCs w:val="32"/>
          <w:highlight w:val="none"/>
          <w:u w:val="none"/>
          <w:lang w:val="en-US" w:eastAsia="zh-CN"/>
        </w:rPr>
        <w:t>专用指标</w:t>
      </w:r>
      <w:r>
        <w:rPr>
          <w:rFonts w:ascii="Times New Roman" w:hAnsi="Times New Roman" w:eastAsia="楷体_GB2312" w:cs="Times New Roman"/>
          <w:b/>
          <w:bCs/>
          <w:color w:val="000000"/>
          <w:kern w:val="0"/>
          <w:szCs w:val="32"/>
          <w:highlight w:val="none"/>
          <w:shd w:val="clear" w:color="auto" w:fill="FFFFFF"/>
          <w:lang w:val="zh-CN"/>
        </w:rPr>
        <w:t>绩效分析。</w:t>
      </w:r>
      <w:r>
        <w:rPr>
          <w:rFonts w:hint="eastAsia" w:eastAsia="楷体_GB2312" w:cs="Times New Roman"/>
          <w:b/>
          <w:bCs/>
          <w:color w:val="000000"/>
          <w:kern w:val="0"/>
          <w:szCs w:val="32"/>
          <w:highlight w:val="none"/>
          <w:shd w:val="clear" w:color="auto" w:fill="FFFFFF"/>
          <w:lang w:val="zh-CN"/>
        </w:rPr>
        <w:t>分值</w:t>
      </w:r>
      <w:r>
        <w:rPr>
          <w:rFonts w:hint="eastAsia" w:eastAsia="楷体_GB2312" w:cs="Times New Roman"/>
          <w:b/>
          <w:bCs/>
          <w:color w:val="000000"/>
          <w:kern w:val="0"/>
          <w:szCs w:val="32"/>
          <w:highlight w:val="none"/>
          <w:shd w:val="clear" w:color="auto" w:fill="FFFFFF"/>
          <w:lang w:val="en-US" w:eastAsia="zh-CN"/>
        </w:rPr>
        <w:t>30分，自评打分29分。</w:t>
      </w:r>
    </w:p>
    <w:p>
      <w:pPr>
        <w:keepNext w:val="0"/>
        <w:keepLines w:val="0"/>
        <w:pageBreakBefore w:val="0"/>
        <w:widowControl w:val="0"/>
        <w:kinsoku/>
        <w:wordWrap/>
        <w:overflowPunct/>
        <w:topLinePunct w:val="0"/>
        <w:autoSpaceDE/>
        <w:autoSpaceDN/>
        <w:bidi w:val="0"/>
        <w:adjustRightInd/>
        <w:snapToGrid/>
        <w:spacing w:line="578" w:lineRule="exact"/>
        <w:ind w:left="0" w:firstLine="640" w:firstLineChars="200"/>
        <w:textAlignment w:val="auto"/>
        <w:outlineLvl w:val="9"/>
        <w:rPr>
          <w:rFonts w:hint="eastAsia" w:ascii="仿宋_GB2312" w:eastAsia="仿宋_GB2312" w:cs="楷体_GB2312"/>
          <w:color w:val="auto"/>
          <w:szCs w:val="32"/>
          <w:lang w:val="en-US" w:eastAsia="zh-CN"/>
        </w:rPr>
      </w:pPr>
      <w:r>
        <w:rPr>
          <w:rFonts w:hint="eastAsia" w:ascii="仿宋_GB2312" w:cs="楷体_GB2312"/>
          <w:color w:val="auto"/>
          <w:szCs w:val="32"/>
          <w:lang w:val="en-US" w:eastAsia="zh-CN"/>
        </w:rPr>
        <w:t>基础设施。在建项目</w:t>
      </w:r>
    </w:p>
    <w:p>
      <w:pPr>
        <w:keepNext w:val="0"/>
        <w:keepLines w:val="0"/>
        <w:pageBreakBefore w:val="0"/>
        <w:widowControl w:val="0"/>
        <w:kinsoku/>
        <w:wordWrap/>
        <w:overflowPunct/>
        <w:topLinePunct w:val="0"/>
        <w:autoSpaceDE/>
        <w:autoSpaceDN/>
        <w:bidi w:val="0"/>
        <w:adjustRightInd/>
        <w:snapToGrid/>
        <w:spacing w:line="578" w:lineRule="exact"/>
        <w:ind w:left="0" w:firstLine="640" w:firstLineChars="200"/>
        <w:textAlignment w:val="auto"/>
        <w:outlineLvl w:val="9"/>
        <w:rPr>
          <w:rFonts w:hint="eastAsia" w:ascii="仿宋_GB2312" w:cs="楷体_GB2312"/>
          <w:color w:val="auto"/>
          <w:szCs w:val="32"/>
          <w:lang w:val="en-US" w:eastAsia="zh-CN"/>
        </w:rPr>
      </w:pPr>
      <w:r>
        <w:rPr>
          <w:rFonts w:hint="eastAsia" w:ascii="仿宋_GB2312" w:cs="Times New Roman"/>
          <w:color w:val="auto"/>
          <w:szCs w:val="32"/>
          <w:lang w:val="en-US" w:eastAsia="zh-CN"/>
        </w:rPr>
        <w:t>1.</w:t>
      </w:r>
      <w:r>
        <w:rPr>
          <w:rFonts w:hint="eastAsia" w:ascii="仿宋_GB2312" w:cs="Times New Roman"/>
          <w:color w:val="auto"/>
          <w:szCs w:val="32"/>
          <w:lang w:eastAsia="zh-CN"/>
        </w:rPr>
        <w:t>工程进度：中小微园区标准厂房项目已达到计划进度。分值</w:t>
      </w:r>
      <w:r>
        <w:rPr>
          <w:rFonts w:hint="eastAsia" w:ascii="仿宋_GB2312" w:cs="Times New Roman"/>
          <w:color w:val="auto"/>
          <w:szCs w:val="32"/>
          <w:lang w:val="en-US" w:eastAsia="zh-CN"/>
        </w:rPr>
        <w:t>15分，</w:t>
      </w:r>
      <w:r>
        <w:rPr>
          <w:rFonts w:hint="eastAsia" w:ascii="仿宋_GB2312" w:cs="楷体_GB2312"/>
          <w:color w:val="auto"/>
          <w:szCs w:val="32"/>
          <w:lang w:val="en-US" w:eastAsia="zh-CN"/>
        </w:rPr>
        <w:t>自评打分15分；</w:t>
      </w:r>
    </w:p>
    <w:p>
      <w:pPr>
        <w:keepNext w:val="0"/>
        <w:keepLines w:val="0"/>
        <w:pageBreakBefore w:val="0"/>
        <w:widowControl w:val="0"/>
        <w:kinsoku/>
        <w:wordWrap/>
        <w:overflowPunct/>
        <w:topLinePunct w:val="0"/>
        <w:autoSpaceDE/>
        <w:autoSpaceDN/>
        <w:bidi w:val="0"/>
        <w:adjustRightInd/>
        <w:snapToGrid/>
        <w:spacing w:line="578" w:lineRule="exact"/>
        <w:ind w:left="0" w:firstLine="640" w:firstLineChars="200"/>
        <w:textAlignment w:val="auto"/>
        <w:outlineLvl w:val="9"/>
        <w:rPr>
          <w:rFonts w:hint="default" w:ascii="仿宋_GB2312" w:cs="楷体_GB2312"/>
          <w:color w:val="auto"/>
          <w:szCs w:val="32"/>
          <w:lang w:val="en-US" w:eastAsia="zh-CN"/>
        </w:rPr>
      </w:pPr>
      <w:r>
        <w:rPr>
          <w:rFonts w:hint="eastAsia" w:ascii="仿宋_GB2312" w:cs="Times New Roman"/>
          <w:color w:val="auto"/>
          <w:szCs w:val="32"/>
          <w:lang w:val="en-US" w:eastAsia="zh-CN"/>
        </w:rPr>
        <w:t>2.</w:t>
      </w:r>
      <w:r>
        <w:rPr>
          <w:rFonts w:hint="eastAsia" w:ascii="仿宋_GB2312" w:cs="Times New Roman"/>
          <w:color w:val="auto"/>
          <w:szCs w:val="32"/>
          <w:lang w:eastAsia="zh-CN"/>
        </w:rPr>
        <w:t>资金拨付：中小微园区标准厂房建设项目达到预先确定的资金拨付进度，分值</w:t>
      </w:r>
      <w:r>
        <w:rPr>
          <w:rFonts w:hint="eastAsia" w:ascii="仿宋_GB2312" w:cs="Times New Roman"/>
          <w:color w:val="auto"/>
          <w:szCs w:val="32"/>
          <w:lang w:val="en-US" w:eastAsia="zh-CN"/>
        </w:rPr>
        <w:t>15分，</w:t>
      </w:r>
      <w:r>
        <w:rPr>
          <w:rFonts w:hint="eastAsia" w:ascii="仿宋_GB2312" w:cs="楷体_GB2312"/>
          <w:color w:val="auto"/>
          <w:szCs w:val="32"/>
          <w:lang w:val="en-US" w:eastAsia="zh-CN"/>
        </w:rPr>
        <w:t>自评打分14分.</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ascii="Times New Roman" w:hAnsi="Times New Roman" w:eastAsia="楷体_GB2312" w:cs="Times New Roman"/>
          <w:b/>
          <w:bCs/>
          <w:color w:val="000000"/>
          <w:kern w:val="0"/>
          <w:szCs w:val="32"/>
          <w:highlight w:val="none"/>
          <w:shd w:val="clear" w:color="auto" w:fill="FFFFFF"/>
          <w:lang w:val="en-US" w:eastAsia="zh-CN"/>
        </w:rPr>
      </w:pPr>
      <w:r>
        <w:rPr>
          <w:rFonts w:hint="eastAsia" w:ascii="楷体_GB2312" w:eastAsia="楷体_GB2312" w:cs="Times New Roman"/>
          <w:b/>
          <w:color w:val="auto"/>
          <w:sz w:val="32"/>
          <w:szCs w:val="32"/>
          <w:highlight w:val="none"/>
          <w:u w:val="none"/>
          <w:lang w:val="zh-CN"/>
        </w:rPr>
        <w:t>（三）</w:t>
      </w:r>
      <w:r>
        <w:rPr>
          <w:rFonts w:hint="eastAsia" w:ascii="楷体_GB2312" w:eastAsia="楷体_GB2312" w:cs="Times New Roman"/>
          <w:b/>
          <w:color w:val="auto"/>
          <w:sz w:val="32"/>
          <w:szCs w:val="32"/>
          <w:highlight w:val="none"/>
          <w:u w:val="none"/>
          <w:lang w:val="en-US" w:eastAsia="zh-CN"/>
        </w:rPr>
        <w:t>个性指标</w:t>
      </w:r>
      <w:r>
        <w:rPr>
          <w:rFonts w:ascii="Times New Roman" w:hAnsi="Times New Roman" w:eastAsia="楷体_GB2312" w:cs="Times New Roman"/>
          <w:b/>
          <w:bCs/>
          <w:color w:val="000000"/>
          <w:kern w:val="0"/>
          <w:szCs w:val="32"/>
          <w:highlight w:val="none"/>
          <w:shd w:val="clear" w:color="auto" w:fill="FFFFFF"/>
          <w:lang w:val="zh-CN"/>
        </w:rPr>
        <w:t>绩效分析。</w:t>
      </w:r>
      <w:r>
        <w:rPr>
          <w:rFonts w:hint="eastAsia" w:eastAsia="楷体_GB2312" w:cs="Times New Roman"/>
          <w:b/>
          <w:bCs/>
          <w:color w:val="000000"/>
          <w:kern w:val="0"/>
          <w:szCs w:val="32"/>
          <w:highlight w:val="none"/>
          <w:shd w:val="clear" w:color="auto" w:fill="FFFFFF"/>
          <w:lang w:val="zh-CN"/>
        </w:rPr>
        <w:t>分值</w:t>
      </w:r>
      <w:r>
        <w:rPr>
          <w:rFonts w:hint="eastAsia" w:eastAsia="楷体_GB2312" w:cs="Times New Roman"/>
          <w:b/>
          <w:bCs/>
          <w:color w:val="000000"/>
          <w:kern w:val="0"/>
          <w:szCs w:val="32"/>
          <w:highlight w:val="none"/>
          <w:shd w:val="clear" w:color="auto" w:fill="FFFFFF"/>
          <w:lang w:val="en-US" w:eastAsia="zh-CN"/>
        </w:rPr>
        <w:t>16分，自评打分16分。</w:t>
      </w:r>
    </w:p>
    <w:p>
      <w:pPr>
        <w:keepNext w:val="0"/>
        <w:keepLines w:val="0"/>
        <w:pageBreakBefore w:val="0"/>
        <w:widowControl w:val="0"/>
        <w:kinsoku/>
        <w:wordWrap/>
        <w:overflowPunct/>
        <w:topLinePunct w:val="0"/>
        <w:autoSpaceDE/>
        <w:autoSpaceDN/>
        <w:bidi w:val="0"/>
        <w:adjustRightInd/>
        <w:snapToGrid/>
        <w:spacing w:line="578" w:lineRule="exact"/>
        <w:ind w:firstLine="641"/>
        <w:textAlignment w:val="auto"/>
        <w:outlineLvl w:val="9"/>
        <w:rPr>
          <w:rFonts w:hint="eastAsia" w:ascii="仿宋_GB2312" w:cs="Times New Roman"/>
          <w:color w:val="auto"/>
          <w:szCs w:val="32"/>
          <w:lang w:val="en-US" w:eastAsia="zh-CN"/>
        </w:rPr>
      </w:pPr>
      <w:r>
        <w:rPr>
          <w:rFonts w:hint="eastAsia" w:ascii="仿宋_GB2312" w:cs="Times New Roman"/>
          <w:color w:val="auto"/>
          <w:szCs w:val="32"/>
          <w:lang w:val="en-US" w:eastAsia="zh-CN"/>
        </w:rPr>
        <w:t>1.用途合规性：按规定用途、适用范围进行本地区专项资金分配</w:t>
      </w:r>
      <w:r>
        <w:rPr>
          <w:rFonts w:hint="eastAsia" w:ascii="仿宋_GB2312" w:cs="Times New Roman"/>
          <w:b/>
          <w:bCs/>
          <w:color w:val="000000"/>
          <w:kern w:val="0"/>
          <w:szCs w:val="32"/>
          <w:highlight w:val="none"/>
          <w:shd w:val="clear" w:color="auto" w:fill="FFFFFF"/>
          <w:lang w:val="en-US" w:eastAsia="zh-CN"/>
        </w:rPr>
        <w:t>：</w:t>
      </w:r>
      <w:r>
        <w:rPr>
          <w:rFonts w:hint="eastAsia" w:ascii="仿宋_GB2312" w:cs="Times New Roman"/>
          <w:color w:val="auto"/>
          <w:szCs w:val="32"/>
          <w:lang w:val="zh-CN" w:eastAsia="zh-CN"/>
        </w:rPr>
        <w:t>中小微园区标准厂房建设项目，通过代理招标，中标单位编制装修项目专项方案安全文明施工专项方案严格施工确保施工质量和安全。整个施工过程安全质量达标实现预期效果。</w:t>
      </w:r>
      <w:r>
        <w:rPr>
          <w:rFonts w:hint="eastAsia" w:ascii="仿宋_GB2312" w:cs="Times New Roman"/>
          <w:color w:val="auto"/>
          <w:szCs w:val="32"/>
          <w:lang w:val="en-US" w:eastAsia="zh-CN"/>
        </w:rPr>
        <w:t>分值5分，自评打分5分</w:t>
      </w:r>
    </w:p>
    <w:p>
      <w:pPr>
        <w:keepNext w:val="0"/>
        <w:keepLines w:val="0"/>
        <w:pageBreakBefore w:val="0"/>
        <w:widowControl w:val="0"/>
        <w:kinsoku/>
        <w:wordWrap/>
        <w:overflowPunct/>
        <w:topLinePunct w:val="0"/>
        <w:autoSpaceDE/>
        <w:autoSpaceDN/>
        <w:bidi w:val="0"/>
        <w:adjustRightInd/>
        <w:snapToGrid/>
        <w:spacing w:line="578" w:lineRule="exact"/>
        <w:ind w:firstLine="641"/>
        <w:textAlignment w:val="auto"/>
        <w:outlineLvl w:val="9"/>
        <w:rPr>
          <w:rFonts w:hint="eastAsia" w:ascii="仿宋_GB2312" w:cs="Times New Roman"/>
          <w:color w:val="auto"/>
          <w:szCs w:val="32"/>
          <w:lang w:val="en-US" w:eastAsia="zh-CN"/>
        </w:rPr>
      </w:pPr>
      <w:r>
        <w:rPr>
          <w:rFonts w:hint="eastAsia" w:ascii="仿宋_GB2312" w:cs="Times New Roman"/>
          <w:color w:val="auto"/>
          <w:szCs w:val="32"/>
          <w:lang w:val="en-US" w:eastAsia="zh-CN"/>
        </w:rPr>
        <w:t>2.程序合规性：资金管理程序符合专项资金管理要求，专款专用，分值5分，自评打分5分。</w:t>
      </w:r>
    </w:p>
    <w:p>
      <w:pPr>
        <w:keepNext w:val="0"/>
        <w:keepLines w:val="0"/>
        <w:pageBreakBefore w:val="0"/>
        <w:widowControl w:val="0"/>
        <w:kinsoku/>
        <w:wordWrap/>
        <w:overflowPunct/>
        <w:topLinePunct w:val="0"/>
        <w:autoSpaceDE/>
        <w:autoSpaceDN/>
        <w:bidi w:val="0"/>
        <w:adjustRightInd/>
        <w:snapToGrid/>
        <w:spacing w:line="578" w:lineRule="exact"/>
        <w:ind w:firstLine="641"/>
        <w:textAlignment w:val="auto"/>
        <w:outlineLvl w:val="9"/>
        <w:rPr>
          <w:rFonts w:hint="eastAsia" w:ascii="仿宋_GB2312" w:cs="Times New Roman"/>
          <w:color w:val="auto"/>
          <w:szCs w:val="32"/>
          <w:lang w:val="en-US" w:eastAsia="zh-CN"/>
        </w:rPr>
      </w:pPr>
      <w:r>
        <w:rPr>
          <w:rFonts w:hint="eastAsia" w:ascii="仿宋_GB2312" w:cs="Times New Roman"/>
          <w:color w:val="auto"/>
          <w:szCs w:val="32"/>
          <w:lang w:val="en-US" w:eastAsia="zh-CN"/>
        </w:rPr>
        <w:t>3.标准合规性：资金分配标准符合专项资金管理要求分值6分，自评打分6分</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olor w:val="auto"/>
          <w:sz w:val="32"/>
          <w:szCs w:val="32"/>
          <w:highlight w:val="none"/>
          <w:u w:val="none"/>
        </w:rPr>
      </w:pPr>
      <w:r>
        <w:rPr>
          <w:rFonts w:hint="eastAsia" w:ascii="黑体" w:hAnsi="宋体" w:eastAsia="黑体"/>
          <w:color w:val="auto"/>
          <w:sz w:val="32"/>
          <w:szCs w:val="32"/>
          <w:highlight w:val="none"/>
          <w:u w:val="none"/>
          <w:lang w:eastAsia="zh-CN"/>
        </w:rPr>
        <w:t>四</w:t>
      </w:r>
      <w:r>
        <w:rPr>
          <w:rFonts w:hint="eastAsia" w:ascii="黑体" w:hAnsi="宋体" w:eastAsia="黑体"/>
          <w:color w:val="auto"/>
          <w:sz w:val="32"/>
          <w:szCs w:val="32"/>
          <w:highlight w:val="none"/>
          <w:u w:val="none"/>
        </w:rPr>
        <w:t>、评价结论</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0" w:firstLineChars="200"/>
        <w:contextualSpacing/>
        <w:jc w:val="left"/>
        <w:textAlignment w:val="auto"/>
        <w:rPr>
          <w:rFonts w:hint="default" w:ascii="仿宋_GB2312" w:hAnsi="仿宋_GB2312" w:eastAsia="仿宋_GB2312" w:cs="仿宋_GB2312"/>
          <w:b w:val="0"/>
          <w:bCs w:val="0"/>
          <w:kern w:val="0"/>
          <w:position w:val="0"/>
          <w:sz w:val="32"/>
          <w:szCs w:val="32"/>
          <w:highlight w:val="none"/>
          <w:lang w:val="en-US" w:eastAsia="zh-CN" w:bidi="ar-SA"/>
        </w:rPr>
      </w:pPr>
      <w:r>
        <w:rPr>
          <w:rFonts w:hint="eastAsia" w:ascii="仿宋_GB2312" w:hAnsi="仿宋_GB2312" w:cs="仿宋_GB2312"/>
          <w:color w:val="auto"/>
          <w:kern w:val="0"/>
          <w:sz w:val="32"/>
          <w:szCs w:val="32"/>
          <w:highlight w:val="none"/>
          <w:u w:val="none"/>
          <w:shd w:val="clear" w:color="auto" w:fill="FFFFFF"/>
          <w:lang w:val="zh-CN" w:eastAsia="zh-CN"/>
        </w:rPr>
        <w:t>黑水县中小微园区标准厂房建设项目预算总投资</w:t>
      </w:r>
      <w:r>
        <w:rPr>
          <w:rFonts w:hint="eastAsia" w:ascii="仿宋_GB2312" w:hAnsi="仿宋_GB2312" w:cs="仿宋_GB2312"/>
          <w:color w:val="auto"/>
          <w:kern w:val="0"/>
          <w:sz w:val="32"/>
          <w:szCs w:val="32"/>
          <w:highlight w:val="none"/>
          <w:u w:val="none"/>
          <w:shd w:val="clear" w:color="auto" w:fill="FFFFFF"/>
          <w:lang w:val="en-US" w:eastAsia="zh-CN"/>
        </w:rPr>
        <w:t>3862.4</w:t>
      </w:r>
      <w:r>
        <w:rPr>
          <w:rFonts w:hint="eastAsia" w:ascii="仿宋_GB2312" w:hAnsi="仿宋_GB2312" w:cs="仿宋_GB2312"/>
          <w:color w:val="auto"/>
          <w:kern w:val="0"/>
          <w:sz w:val="32"/>
          <w:szCs w:val="32"/>
          <w:highlight w:val="none"/>
          <w:u w:val="none"/>
          <w:shd w:val="clear" w:color="auto" w:fill="FFFFFF"/>
          <w:lang w:val="zh-CN" w:eastAsia="zh-CN"/>
        </w:rPr>
        <w:t>万元，</w:t>
      </w:r>
      <w:r>
        <w:rPr>
          <w:rFonts w:hint="eastAsia" w:ascii="仿宋_GB2312" w:hAnsi="仿宋_GB2312" w:eastAsia="仿宋_GB2312" w:cs="仿宋_GB2312"/>
          <w:b w:val="0"/>
          <w:bCs w:val="0"/>
          <w:kern w:val="0"/>
          <w:position w:val="0"/>
          <w:sz w:val="32"/>
          <w:szCs w:val="32"/>
          <w:highlight w:val="none"/>
          <w:lang w:val="en-US" w:eastAsia="zh-CN" w:bidi="ar-SA"/>
        </w:rPr>
        <w:t>结合2023年黑水县经济商务和信息化局自评情况，该项目自评总分9</w:t>
      </w:r>
      <w:r>
        <w:rPr>
          <w:rFonts w:hint="eastAsia" w:ascii="仿宋_GB2312" w:hAnsi="仿宋_GB2312" w:cs="仿宋_GB2312"/>
          <w:b w:val="0"/>
          <w:bCs w:val="0"/>
          <w:kern w:val="0"/>
          <w:position w:val="0"/>
          <w:sz w:val="32"/>
          <w:szCs w:val="32"/>
          <w:highlight w:val="none"/>
          <w:lang w:val="en-US" w:eastAsia="zh-CN" w:bidi="ar-SA"/>
        </w:rPr>
        <w:t>7</w:t>
      </w:r>
      <w:r>
        <w:rPr>
          <w:rFonts w:hint="eastAsia" w:ascii="仿宋_GB2312" w:hAnsi="仿宋_GB2312" w:eastAsia="仿宋_GB2312" w:cs="仿宋_GB2312"/>
          <w:b w:val="0"/>
          <w:bCs w:val="0"/>
          <w:kern w:val="0"/>
          <w:position w:val="0"/>
          <w:sz w:val="32"/>
          <w:szCs w:val="32"/>
          <w:highlight w:val="none"/>
          <w:lang w:val="en-US" w:eastAsia="zh-CN" w:bidi="ar-SA"/>
        </w:rPr>
        <w:t>分，</w:t>
      </w:r>
      <w:r>
        <w:rPr>
          <w:rFonts w:hint="eastAsia" w:ascii="仿宋" w:hAnsi="仿宋" w:eastAsia="仿宋" w:cs="仿宋"/>
          <w:sz w:val="32"/>
          <w:szCs w:val="32"/>
        </w:rPr>
        <w:t>项目建成后协议引进阿坝州沃倫特美力时尚有限公司入驻生产，形成牦牛绒采集、加工、开发、纺织一体的综合性专业牦牛绒生产基地，主要产品有牦牛绒服装、面料及牦牛毛地毯、帐篷等产品，进一步延伸产业链，提高产业附加值，对促进黑水县牦牛养殖及牦牛绒加工产业的持续健康发展，实现牦牛绒综合开发利用有着积极作用。</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s="Times New Roman"/>
          <w:color w:val="auto"/>
          <w:sz w:val="32"/>
          <w:szCs w:val="32"/>
          <w:highlight w:val="none"/>
          <w:u w:val="none"/>
          <w:lang w:eastAsia="zh-CN"/>
        </w:rPr>
      </w:pPr>
      <w:r>
        <w:rPr>
          <w:rFonts w:hint="eastAsia" w:ascii="黑体" w:hAnsi="宋体" w:cs="Times New Roman"/>
          <w:color w:val="auto"/>
          <w:sz w:val="32"/>
          <w:szCs w:val="32"/>
          <w:highlight w:val="none"/>
          <w:u w:val="none"/>
          <w:lang w:eastAsia="zh-CN"/>
        </w:rPr>
        <w:t>五、</w:t>
      </w:r>
      <w:r>
        <w:rPr>
          <w:rFonts w:hint="eastAsia" w:ascii="黑体" w:hAnsi="宋体" w:eastAsia="黑体" w:cs="Times New Roman"/>
          <w:color w:val="auto"/>
          <w:sz w:val="32"/>
          <w:szCs w:val="32"/>
          <w:highlight w:val="none"/>
          <w:u w:val="none"/>
          <w:lang w:eastAsia="zh-CN"/>
        </w:rPr>
        <w:t>存在主要问题</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b w:val="0"/>
          <w:bCs w:val="0"/>
          <w:kern w:val="0"/>
          <w:position w:val="0"/>
          <w:sz w:val="32"/>
          <w:szCs w:val="32"/>
          <w:highlight w:val="none"/>
          <w:lang w:val="en-US" w:eastAsia="zh-CN" w:bidi="ar-SA"/>
        </w:rPr>
      </w:pPr>
      <w:r>
        <w:rPr>
          <w:rFonts w:hint="eastAsia" w:ascii="仿宋_GB2312" w:hAnsi="仿宋_GB2312" w:eastAsia="仿宋_GB2312" w:cs="仿宋_GB2312"/>
          <w:b w:val="0"/>
          <w:bCs w:val="0"/>
          <w:kern w:val="0"/>
          <w:position w:val="0"/>
          <w:sz w:val="32"/>
          <w:szCs w:val="32"/>
          <w:highlight w:val="none"/>
          <w:lang w:val="en-US" w:eastAsia="zh-CN" w:bidi="ar-SA"/>
        </w:rPr>
        <w:t>绩效管理情况不够完善。</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s="Times New Roman"/>
          <w:color w:val="auto"/>
          <w:kern w:val="0"/>
          <w:position w:val="3"/>
          <w:sz w:val="32"/>
          <w:szCs w:val="32"/>
          <w:highlight w:val="none"/>
          <w:u w:val="none"/>
          <w:lang w:val="zh-CN" w:eastAsia="zh-CN" w:bidi="ar-SA"/>
        </w:rPr>
      </w:pPr>
      <w:r>
        <w:rPr>
          <w:rFonts w:hint="eastAsia" w:ascii="黑体" w:hAnsi="宋体" w:eastAsia="黑体" w:cs="Times New Roman"/>
          <w:color w:val="auto"/>
          <w:kern w:val="0"/>
          <w:position w:val="3"/>
          <w:sz w:val="32"/>
          <w:szCs w:val="32"/>
          <w:highlight w:val="none"/>
          <w:u w:val="none"/>
          <w:lang w:val="zh-CN" w:eastAsia="zh-CN" w:bidi="ar-SA"/>
        </w:rPr>
        <w:t>六、改进建议</w:t>
      </w:r>
    </w:p>
    <w:p>
      <w:pPr>
        <w:tabs>
          <w:tab w:val="left" w:pos="1911"/>
        </w:tabs>
        <w:jc w:val="left"/>
        <w:rPr>
          <w:rFonts w:hint="eastAsia" w:ascii="仿宋_GB2312" w:hAnsi="仿宋_GB2312" w:eastAsia="仿宋_GB2312" w:cs="仿宋_GB2312"/>
          <w:b w:val="0"/>
          <w:bCs w:val="0"/>
          <w:kern w:val="0"/>
          <w:position w:val="0"/>
          <w:sz w:val="32"/>
          <w:szCs w:val="32"/>
          <w:highlight w:val="none"/>
          <w:lang w:val="en" w:eastAsia="zh-CN" w:bidi="ar-SA"/>
        </w:rPr>
      </w:pPr>
      <w:r>
        <w:rPr>
          <w:rFonts w:hint="eastAsia" w:ascii="仿宋_GB2312" w:hAnsi="仿宋_GB2312" w:eastAsia="仿宋_GB2312" w:cs="仿宋_GB2312"/>
          <w:color w:val="auto"/>
          <w:kern w:val="0"/>
          <w:sz w:val="32"/>
          <w:szCs w:val="32"/>
          <w:highlight w:val="none"/>
          <w:u w:val="none"/>
          <w:shd w:val="clear" w:color="auto" w:fill="FFFFFF"/>
          <w:lang w:val="zh-CN" w:eastAsia="zh-CN"/>
        </w:rPr>
        <w:t xml:space="preserve"> </w:t>
      </w:r>
      <w:r>
        <w:rPr>
          <w:rFonts w:hint="eastAsia" w:ascii="仿宋_GB2312" w:hAnsi="仿宋_GB2312" w:cs="仿宋_GB2312"/>
          <w:b w:val="0"/>
          <w:bCs w:val="0"/>
          <w:kern w:val="0"/>
          <w:position w:val="0"/>
          <w:sz w:val="32"/>
          <w:szCs w:val="32"/>
          <w:highlight w:val="none"/>
          <w:lang w:val="en-US" w:eastAsia="zh-CN" w:bidi="ar-SA"/>
        </w:rPr>
        <w:t xml:space="preserve">   </w:t>
      </w:r>
      <w:bookmarkStart w:id="0" w:name="_Hlk110546638"/>
      <w:r>
        <w:rPr>
          <w:rFonts w:hint="eastAsia" w:ascii="仿宋_GB2312" w:hAnsi="仿宋_GB2312" w:cs="仿宋_GB2312"/>
          <w:b w:val="0"/>
          <w:bCs w:val="0"/>
          <w:kern w:val="0"/>
          <w:position w:val="0"/>
          <w:sz w:val="32"/>
          <w:szCs w:val="32"/>
          <w:highlight w:val="none"/>
          <w:lang w:val="en-US" w:eastAsia="zh-CN" w:bidi="ar-SA"/>
        </w:rPr>
        <w:t>优化完善项目目标，加强运行监控，节约财政资金并提升资金效益，提升项目预算绩效管理水平。</w:t>
      </w:r>
    </w:p>
    <w:bookmarkEnd w:id="0"/>
    <w:p>
      <w:pPr>
        <w:pStyle w:val="6"/>
        <w:rPr>
          <w:rFonts w:hint="eastAsia" w:ascii="Times New Roman" w:hAnsi="Times New Roman" w:cs="Times New Roman"/>
          <w:color w:val="000000"/>
          <w:kern w:val="0"/>
          <w:szCs w:val="32"/>
          <w:highlight w:val="none"/>
          <w:shd w:val="clear" w:color="auto" w:fill="FFFFFF"/>
          <w:lang w:val="zh-CN" w:eastAsia="zh-CN"/>
        </w:rPr>
      </w:pPr>
    </w:p>
    <w:p>
      <w:pPr>
        <w:pStyle w:val="9"/>
        <w:keepNext w:val="0"/>
        <w:keepLines w:val="0"/>
        <w:pageBreakBefore w:val="0"/>
        <w:kinsoku/>
        <w:wordWrap/>
        <w:overflowPunct/>
        <w:topLinePunct w:val="0"/>
        <w:autoSpaceDE/>
        <w:autoSpaceDN/>
        <w:bidi w:val="0"/>
        <w:spacing w:after="0" w:line="578" w:lineRule="exact"/>
        <w:ind w:left="0" w:leftChars="0"/>
        <w:rPr>
          <w:rFonts w:hint="default" w:ascii="黑体" w:hAnsi="黑体" w:eastAsia="黑体" w:cs="黑体"/>
          <w:sz w:val="24"/>
          <w:szCs w:val="24"/>
          <w:highlight w:val="none"/>
          <w:lang w:val="en-US" w:eastAsia="zh-CN"/>
        </w:rPr>
      </w:pPr>
    </w:p>
    <w:bookmarkEnd w:id="1"/>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 w:name="方正黑体_GBK">
    <w:panose1 w:val="02000000000000000000"/>
    <w:charset w:val="86"/>
    <w:family w:val="auto"/>
    <w:pitch w:val="default"/>
    <w:sig w:usb0="A00002BF" w:usb1="38CF7CFA" w:usb2="00082016" w:usb3="00000000" w:csb0="00040001" w:csb1="00000000"/>
  </w:font>
  <w:font w:name="楷体_GB2312">
    <w:panose1 w:val="02010609030101010101"/>
    <w:charset w:val="86"/>
    <w:family w:val="modern"/>
    <w:pitch w:val="default"/>
    <w:sig w:usb0="00000001" w:usb1="080E0000" w:usb2="00000000" w:usb3="00000000" w:csb0="00040000" w:csb1="00000000"/>
  </w:font>
  <w:font w:name="??">
    <w:altName w:val="仿宋_GB2312"/>
    <w:panose1 w:val="00000000000000000000"/>
    <w:charset w:val="00"/>
    <w:family w:val="roman"/>
    <w:pitch w:val="default"/>
    <w:sig w:usb0="00000000" w:usb1="00000000" w:usb2="00000000" w:usb3="00000000" w:csb0="0000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">
              <v:fill on="f" focussize="0,0"/>
              <v:stroke on="f" weight="0.5pt"/>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7829D2"/>
    <w:multiLevelType w:val="singleLevel"/>
    <w:tmpl w:val="167829D2"/>
    <w:lvl w:ilvl="0" w:tentative="0">
      <w:start w:val="2"/>
      <w:numFmt w:val="decimal"/>
      <w:lvlText w:val="%1."/>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yNDNiMzE3YmFlMWM4YjA4OGZiN2MyZGQ1YzhhYWMifQ=="/>
    <w:docVar w:name="KSO_WPS_MARK_KEY" w:val="aa6a7506-4852-47da-ac2c-64897462d18f"/>
  </w:docVars>
  <w:rsids>
    <w:rsidRoot w:val="771D4D51"/>
    <w:rsid w:val="02C32D68"/>
    <w:rsid w:val="03BE3566"/>
    <w:rsid w:val="04275653"/>
    <w:rsid w:val="047D5273"/>
    <w:rsid w:val="08A70B11"/>
    <w:rsid w:val="098826F0"/>
    <w:rsid w:val="101218C0"/>
    <w:rsid w:val="10194F2F"/>
    <w:rsid w:val="10AF4A06"/>
    <w:rsid w:val="13D053C0"/>
    <w:rsid w:val="149208C7"/>
    <w:rsid w:val="156D4E90"/>
    <w:rsid w:val="162B4B2F"/>
    <w:rsid w:val="16A14DF1"/>
    <w:rsid w:val="17B279C5"/>
    <w:rsid w:val="17D66D1D"/>
    <w:rsid w:val="19924EC5"/>
    <w:rsid w:val="1C25106F"/>
    <w:rsid w:val="1CD328A7"/>
    <w:rsid w:val="1CFD8DF6"/>
    <w:rsid w:val="1E206F43"/>
    <w:rsid w:val="1FFF9AD9"/>
    <w:rsid w:val="22AD555F"/>
    <w:rsid w:val="22C90EC4"/>
    <w:rsid w:val="2515647A"/>
    <w:rsid w:val="262275D1"/>
    <w:rsid w:val="26CF2DB3"/>
    <w:rsid w:val="28915495"/>
    <w:rsid w:val="28F74D45"/>
    <w:rsid w:val="2ACB6B5A"/>
    <w:rsid w:val="2AF86ED7"/>
    <w:rsid w:val="2AFDF212"/>
    <w:rsid w:val="2B385C88"/>
    <w:rsid w:val="2B6BF484"/>
    <w:rsid w:val="2BE503A1"/>
    <w:rsid w:val="2EFA733D"/>
    <w:rsid w:val="2FFF7DE7"/>
    <w:rsid w:val="307F3F9D"/>
    <w:rsid w:val="30EA5ED5"/>
    <w:rsid w:val="32313075"/>
    <w:rsid w:val="32B55A55"/>
    <w:rsid w:val="32FF3174"/>
    <w:rsid w:val="33F748AD"/>
    <w:rsid w:val="35874596"/>
    <w:rsid w:val="35F2A362"/>
    <w:rsid w:val="36162CAE"/>
    <w:rsid w:val="36EA2AC9"/>
    <w:rsid w:val="371A51D2"/>
    <w:rsid w:val="373BBD0C"/>
    <w:rsid w:val="398CF206"/>
    <w:rsid w:val="39BFEDBA"/>
    <w:rsid w:val="39DBABD8"/>
    <w:rsid w:val="3AED12ED"/>
    <w:rsid w:val="3AFF6A5D"/>
    <w:rsid w:val="3BB05953"/>
    <w:rsid w:val="3BDD34D2"/>
    <w:rsid w:val="3BDDFF97"/>
    <w:rsid w:val="3BFFD43B"/>
    <w:rsid w:val="3C4C6A95"/>
    <w:rsid w:val="3C7BD5C9"/>
    <w:rsid w:val="3F09480C"/>
    <w:rsid w:val="3FBF9251"/>
    <w:rsid w:val="3FED766E"/>
    <w:rsid w:val="3FFEEAD9"/>
    <w:rsid w:val="3FFFE931"/>
    <w:rsid w:val="403326AF"/>
    <w:rsid w:val="41197AF6"/>
    <w:rsid w:val="413E3268"/>
    <w:rsid w:val="4196537C"/>
    <w:rsid w:val="43CD4BC8"/>
    <w:rsid w:val="457F07F2"/>
    <w:rsid w:val="46BA1434"/>
    <w:rsid w:val="4B4C0AC8"/>
    <w:rsid w:val="4B680394"/>
    <w:rsid w:val="4CC6FDBD"/>
    <w:rsid w:val="4E07F45D"/>
    <w:rsid w:val="4E4B5067"/>
    <w:rsid w:val="4E634DB6"/>
    <w:rsid w:val="4EA47A73"/>
    <w:rsid w:val="4FF59AF5"/>
    <w:rsid w:val="503D00E8"/>
    <w:rsid w:val="50F9512B"/>
    <w:rsid w:val="531243A6"/>
    <w:rsid w:val="5452714F"/>
    <w:rsid w:val="55872E29"/>
    <w:rsid w:val="55FE10A2"/>
    <w:rsid w:val="56EF6619"/>
    <w:rsid w:val="572528F9"/>
    <w:rsid w:val="57AF1E73"/>
    <w:rsid w:val="57F01451"/>
    <w:rsid w:val="59AF3A4D"/>
    <w:rsid w:val="5AB21C33"/>
    <w:rsid w:val="5B778EC0"/>
    <w:rsid w:val="5BFD93EC"/>
    <w:rsid w:val="5C511888"/>
    <w:rsid w:val="5CBA8FF2"/>
    <w:rsid w:val="5D5F7E21"/>
    <w:rsid w:val="5DB22A0D"/>
    <w:rsid w:val="5F5B35E4"/>
    <w:rsid w:val="5FC548DC"/>
    <w:rsid w:val="609FA7B0"/>
    <w:rsid w:val="63E61662"/>
    <w:rsid w:val="661029C7"/>
    <w:rsid w:val="66692CE9"/>
    <w:rsid w:val="68106CAE"/>
    <w:rsid w:val="69FCE5E7"/>
    <w:rsid w:val="6BCDA9CC"/>
    <w:rsid w:val="6D9F2765"/>
    <w:rsid w:val="6DB508E5"/>
    <w:rsid w:val="6DDFA6BD"/>
    <w:rsid w:val="6E767ACE"/>
    <w:rsid w:val="6E781687"/>
    <w:rsid w:val="6EEE3ED1"/>
    <w:rsid w:val="6EFFED40"/>
    <w:rsid w:val="6F1B2166"/>
    <w:rsid w:val="6F5FC1DE"/>
    <w:rsid w:val="6FB3E1FD"/>
    <w:rsid w:val="6FD768E4"/>
    <w:rsid w:val="6FF341F1"/>
    <w:rsid w:val="6FFEBD86"/>
    <w:rsid w:val="70893AA1"/>
    <w:rsid w:val="73027B3B"/>
    <w:rsid w:val="73223D39"/>
    <w:rsid w:val="73AB1F81"/>
    <w:rsid w:val="73FF1F09"/>
    <w:rsid w:val="73FF684B"/>
    <w:rsid w:val="74A708C5"/>
    <w:rsid w:val="76874DE1"/>
    <w:rsid w:val="76DFCB7D"/>
    <w:rsid w:val="771D4D51"/>
    <w:rsid w:val="7735A28E"/>
    <w:rsid w:val="77778F6D"/>
    <w:rsid w:val="77ABFD6B"/>
    <w:rsid w:val="77B7A121"/>
    <w:rsid w:val="77C748BA"/>
    <w:rsid w:val="77DD24F1"/>
    <w:rsid w:val="77F10335"/>
    <w:rsid w:val="77F7E860"/>
    <w:rsid w:val="77FB8D34"/>
    <w:rsid w:val="797D0128"/>
    <w:rsid w:val="79EDB415"/>
    <w:rsid w:val="7ABBCDAB"/>
    <w:rsid w:val="7AFCAD25"/>
    <w:rsid w:val="7AFEB9B4"/>
    <w:rsid w:val="7B5E0C37"/>
    <w:rsid w:val="7B63F034"/>
    <w:rsid w:val="7B735637"/>
    <w:rsid w:val="7B7DE504"/>
    <w:rsid w:val="7BFEC4F8"/>
    <w:rsid w:val="7CA64E0D"/>
    <w:rsid w:val="7DA14F75"/>
    <w:rsid w:val="7DB57A61"/>
    <w:rsid w:val="7DC7DC1F"/>
    <w:rsid w:val="7DF95E12"/>
    <w:rsid w:val="7DFDF40F"/>
    <w:rsid w:val="7DFF9BC7"/>
    <w:rsid w:val="7EB645E3"/>
    <w:rsid w:val="7EB6B7AB"/>
    <w:rsid w:val="7EDEF702"/>
    <w:rsid w:val="7EFD6908"/>
    <w:rsid w:val="7EFF8787"/>
    <w:rsid w:val="7F117286"/>
    <w:rsid w:val="7F1C270D"/>
    <w:rsid w:val="7F5F4807"/>
    <w:rsid w:val="7F722518"/>
    <w:rsid w:val="7F7CF90E"/>
    <w:rsid w:val="7F9E3557"/>
    <w:rsid w:val="7FBF2857"/>
    <w:rsid w:val="7FD3B1BB"/>
    <w:rsid w:val="7FE7031F"/>
    <w:rsid w:val="7FEC5D3B"/>
    <w:rsid w:val="7FEF37E2"/>
    <w:rsid w:val="7FF70813"/>
    <w:rsid w:val="7FF7B584"/>
    <w:rsid w:val="7FFDFB4B"/>
    <w:rsid w:val="7FFF1910"/>
    <w:rsid w:val="7FFF8C1D"/>
    <w:rsid w:val="7FFF92F0"/>
    <w:rsid w:val="7FFFF07C"/>
    <w:rsid w:val="9BF3195D"/>
    <w:rsid w:val="A5DB4128"/>
    <w:rsid w:val="A6E375DB"/>
    <w:rsid w:val="A6EFA809"/>
    <w:rsid w:val="A6F7CC0B"/>
    <w:rsid w:val="AABFBDFA"/>
    <w:rsid w:val="AF7DE88E"/>
    <w:rsid w:val="AFED1DC0"/>
    <w:rsid w:val="AFFBB299"/>
    <w:rsid w:val="B3ECA4C8"/>
    <w:rsid w:val="B4D7E8EA"/>
    <w:rsid w:val="B4EF3795"/>
    <w:rsid w:val="B5E79B51"/>
    <w:rsid w:val="B6E7F02A"/>
    <w:rsid w:val="B797ED78"/>
    <w:rsid w:val="BB75119C"/>
    <w:rsid w:val="BBD3B774"/>
    <w:rsid w:val="BBDF02B2"/>
    <w:rsid w:val="BCFB0575"/>
    <w:rsid w:val="BE5EC634"/>
    <w:rsid w:val="BEC77393"/>
    <w:rsid w:val="BEFECBAE"/>
    <w:rsid w:val="BF2F7DA9"/>
    <w:rsid w:val="BF7F7592"/>
    <w:rsid w:val="BFB71281"/>
    <w:rsid w:val="BFBDF2DF"/>
    <w:rsid w:val="BFE4DD88"/>
    <w:rsid w:val="BFF9117D"/>
    <w:rsid w:val="BFFF6947"/>
    <w:rsid w:val="C8FDA203"/>
    <w:rsid w:val="CEF79301"/>
    <w:rsid w:val="CEFBB93B"/>
    <w:rsid w:val="CF7C6158"/>
    <w:rsid w:val="CF9D4E98"/>
    <w:rsid w:val="CFBFEC5E"/>
    <w:rsid w:val="D65BF816"/>
    <w:rsid w:val="D73F10CF"/>
    <w:rsid w:val="D977C3BB"/>
    <w:rsid w:val="D977C9A6"/>
    <w:rsid w:val="D9FF310B"/>
    <w:rsid w:val="DBF57698"/>
    <w:rsid w:val="DBFFAB54"/>
    <w:rsid w:val="DDFF5069"/>
    <w:rsid w:val="DECF83A1"/>
    <w:rsid w:val="DEEBD176"/>
    <w:rsid w:val="DEED29CB"/>
    <w:rsid w:val="DEFF6025"/>
    <w:rsid w:val="DF4E686F"/>
    <w:rsid w:val="DF7F78BD"/>
    <w:rsid w:val="DFDFC0CD"/>
    <w:rsid w:val="DFF7F21C"/>
    <w:rsid w:val="DFFE4986"/>
    <w:rsid w:val="E3F74AB8"/>
    <w:rsid w:val="E5FD7CF6"/>
    <w:rsid w:val="E7FE6222"/>
    <w:rsid w:val="E9BB2A12"/>
    <w:rsid w:val="EDDF69E1"/>
    <w:rsid w:val="EDF76BB3"/>
    <w:rsid w:val="EEF68640"/>
    <w:rsid w:val="EFF41AC0"/>
    <w:rsid w:val="EFF76D95"/>
    <w:rsid w:val="EFFF2C87"/>
    <w:rsid w:val="EFFFA435"/>
    <w:rsid w:val="F1DF82E1"/>
    <w:rsid w:val="F1F64F55"/>
    <w:rsid w:val="F2E22473"/>
    <w:rsid w:val="F35D14F0"/>
    <w:rsid w:val="F3F4C349"/>
    <w:rsid w:val="F3F64609"/>
    <w:rsid w:val="F4E96614"/>
    <w:rsid w:val="F4F54B3B"/>
    <w:rsid w:val="F58EBBB0"/>
    <w:rsid w:val="F5CBD2AD"/>
    <w:rsid w:val="F6F3FBF3"/>
    <w:rsid w:val="F6FE0D0F"/>
    <w:rsid w:val="F9B8FDC3"/>
    <w:rsid w:val="F9BF4E89"/>
    <w:rsid w:val="FA79E738"/>
    <w:rsid w:val="FAD729CA"/>
    <w:rsid w:val="FB1B5977"/>
    <w:rsid w:val="FBF62448"/>
    <w:rsid w:val="FBF76486"/>
    <w:rsid w:val="FBFF7DC7"/>
    <w:rsid w:val="FC37AF17"/>
    <w:rsid w:val="FCDE5A6F"/>
    <w:rsid w:val="FCFE5638"/>
    <w:rsid w:val="FCFF1FE1"/>
    <w:rsid w:val="FD7C7175"/>
    <w:rsid w:val="FDD7319B"/>
    <w:rsid w:val="FDDE4FF7"/>
    <w:rsid w:val="FDF8F696"/>
    <w:rsid w:val="FE7B38A4"/>
    <w:rsid w:val="FE7EBDAF"/>
    <w:rsid w:val="FEAF5424"/>
    <w:rsid w:val="FECB8DB0"/>
    <w:rsid w:val="FECF948F"/>
    <w:rsid w:val="FEDCE487"/>
    <w:rsid w:val="FEED62B0"/>
    <w:rsid w:val="FEEFF60E"/>
    <w:rsid w:val="FEFD6F73"/>
    <w:rsid w:val="FF0F1500"/>
    <w:rsid w:val="FF5995C2"/>
    <w:rsid w:val="FF6B552C"/>
    <w:rsid w:val="FF6F74D4"/>
    <w:rsid w:val="FFBB4B28"/>
    <w:rsid w:val="FFCFE300"/>
    <w:rsid w:val="FFD58A98"/>
    <w:rsid w:val="FFDD382A"/>
    <w:rsid w:val="FFDFD60A"/>
    <w:rsid w:val="FFE6F78D"/>
    <w:rsid w:val="FFEBBD1A"/>
    <w:rsid w:val="FFEF3B9A"/>
    <w:rsid w:val="FFF171B6"/>
    <w:rsid w:val="FFF33D76"/>
    <w:rsid w:val="FFF3C5BB"/>
    <w:rsid w:val="FFFA984C"/>
    <w:rsid w:val="FFFB4651"/>
    <w:rsid w:val="FFFD90B9"/>
    <w:rsid w:val="FFFF2620"/>
    <w:rsid w:val="FFFF5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outlineLvl w:val="0"/>
    </w:pPr>
    <w:rPr>
      <w:rFonts w:eastAsia="方正小标宋_GBK"/>
      <w:b/>
      <w:kern w:val="44"/>
      <w:sz w:val="44"/>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paragraph" w:styleId="4">
    <w:name w:val="Body Text"/>
    <w:basedOn w:val="1"/>
    <w:qFormat/>
    <w:uiPriority w:val="99"/>
    <w:pPr>
      <w:widowControl/>
      <w:tabs>
        <w:tab w:val="left" w:pos="2160"/>
      </w:tabs>
      <w:spacing w:line="480" w:lineRule="auto"/>
      <w:jc w:val="left"/>
    </w:pPr>
    <w:rPr>
      <w:rFonts w:ascii="楷体_GB2312" w:eastAsia="黑体"/>
      <w:kern w:val="0"/>
      <w:position w:val="3"/>
      <w:sz w:val="20"/>
      <w:szCs w:val="20"/>
      <w:lang w:eastAsia="en-US"/>
    </w:rPr>
  </w:style>
  <w:style w:type="paragraph" w:styleId="5">
    <w:name w:val="Body Text Indent"/>
    <w:basedOn w:val="1"/>
    <w:qFormat/>
    <w:uiPriority w:val="0"/>
    <w:pPr>
      <w:spacing w:after="120"/>
      <w:ind w:leftChars="200"/>
    </w:pPr>
    <w:rPr>
      <w:rFonts w:ascii="仿宋_GB2312"/>
      <w:szCs w:val="32"/>
    </w:rPr>
  </w:style>
  <w:style w:type="paragraph" w:styleId="6">
    <w:name w:val="footer"/>
    <w:basedOn w:val="1"/>
    <w:unhideWhenUsed/>
    <w:qFormat/>
    <w:uiPriority w:val="99"/>
    <w:pPr>
      <w:tabs>
        <w:tab w:val="center" w:pos="4153"/>
        <w:tab w:val="right" w:pos="8306"/>
      </w:tabs>
      <w:snapToGrid w:val="0"/>
      <w:jc w:val="left"/>
    </w:pPr>
    <w:rPr>
      <w:sz w:val="18"/>
      <w:szCs w:val="18"/>
      <w:lang w:val="zh-CN" w:eastAsia="zh-CN"/>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lang w:val="zh-CN" w:eastAsia="zh-CN"/>
    </w:rPr>
  </w:style>
  <w:style w:type="paragraph" w:styleId="8">
    <w:name w:val="toc 1"/>
    <w:basedOn w:val="1"/>
    <w:next w:val="1"/>
    <w:qFormat/>
    <w:uiPriority w:val="0"/>
  </w:style>
  <w:style w:type="paragraph" w:styleId="9">
    <w:name w:val="Body Text First Indent 2"/>
    <w:basedOn w:val="5"/>
    <w:unhideWhenUsed/>
    <w:qFormat/>
    <w:uiPriority w:val="99"/>
    <w:pPr>
      <w:ind w:firstLine="420" w:firstLineChars="2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四号正文"/>
    <w:basedOn w:val="1"/>
    <w:qFormat/>
    <w:uiPriority w:val="0"/>
    <w:pPr>
      <w:spacing w:line="360" w:lineRule="auto"/>
    </w:pPr>
    <w:rPr>
      <w:rFonts w:ascii="??" w:hAnsi="??" w:eastAsia="宋体"/>
      <w:color w:val="000000"/>
      <w:kern w:val="0"/>
      <w:sz w:val="28"/>
      <w:szCs w:val="21"/>
      <w:lang w:val="zh-CN"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3801</Words>
  <Characters>4115</Characters>
  <Lines>0</Lines>
  <Paragraphs>0</Paragraphs>
  <TotalTime>12</TotalTime>
  <ScaleCrop>false</ScaleCrop>
  <LinksUpToDate>false</LinksUpToDate>
  <CharactersWithSpaces>4230</CharactersWithSpaces>
  <Application>WPS Office_11.8.2.1120_F1E327BC-269C-435d-A152-05C5408002CA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2020-07-12T16:13:00Z</dcterms:created>
  <dc:creator>Administrator</dc:creator>
  <cp:lastModifiedBy>user</cp:lastModifiedBy>
  <cp:lastPrinted>2016-02-13T19:32:00Z</cp:lastPrinted>
  <dcterms:modified xsi:type="dcterms:W3CDTF">2024-11-25T15:12:22Z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2052-11.8.2.1120</vt:lpwstr>
  </property>
  <property fmtid="{D5CDD505-2E9C-101B-9397-08002B2CF9AE}" pid="3" name="ICV">
    <vt:lpwstr>ECD6ADDE19BB44DD809A02D6DAEA4A5D_13</vt:lpwstr>
  </property>
</Properties>
</file>