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firstLine="1320" w:firstLineChars="30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电子商务发展专项资金预算</w:t>
      </w: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项目绩效评价报告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both"/>
        <w:textAlignment w:val="auto"/>
        <w:rPr>
          <w:rFonts w:hint="default" w:ascii="仿宋_GB2312" w:hAnsi="仿宋_GB2312" w:eastAsia="仿宋_GB2312" w:cs="仿宋_GB2312"/>
          <w:b w:val="0"/>
          <w:bCs w:val="0"/>
          <w:color w:val="000000"/>
          <w:sz w:val="31"/>
          <w:szCs w:val="31"/>
          <w:lang w:val="en-US"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eastAsia="仿宋_GB2312" w:cs="仿宋_GB2312"/>
          <w:i w:val="0"/>
          <w:iCs w:val="0"/>
          <w:caps w:val="0"/>
          <w:spacing w:val="7"/>
          <w:sz w:val="32"/>
          <w:szCs w:val="32"/>
          <w:shd w:val="clear" w:fill="FFFFFF"/>
        </w:rPr>
        <w:t>通过举办电子商务培训，深入推进我县电子商务服务发展，营造电商学习与运用氛围，扩大农村电商覆盖面。培育和孵化高水平、高层次、 高素质的专业电商运营人才队伍，吸引更多当地农村青年加入电商创业行业，促进农村青年创业就业。通过培训网络媒体短视频运营、直播带货人才，帮助当地企业、合作社转型升级，开展农特产品宣传推广、线上销售，推动本地农产品上行</w:t>
      </w:r>
      <w:r>
        <w:rPr>
          <w:rFonts w:hint="eastAsia" w:ascii="仿宋_GB2312" w:hAnsi="仿宋_GB2312" w:cs="仿宋_GB2312"/>
          <w:i w:val="0"/>
          <w:iCs w:val="0"/>
          <w:caps w:val="0"/>
          <w:spacing w:val="7"/>
          <w:sz w:val="32"/>
          <w:szCs w:val="32"/>
          <w:shd w:val="clear" w:fill="FFFFFF"/>
          <w:lang w:eastAsia="zh-CN"/>
        </w:rPr>
        <w:t>，</w:t>
      </w:r>
      <w:r>
        <w:rPr>
          <w:rFonts w:hint="eastAsia" w:ascii="仿宋_GB2312" w:hAnsi="仿宋_GB2312" w:cs="仿宋_GB2312"/>
          <w:b w:val="0"/>
          <w:bCs w:val="0"/>
          <w:color w:val="000000"/>
          <w:sz w:val="31"/>
          <w:szCs w:val="31"/>
          <w:lang w:eastAsia="zh-CN"/>
        </w:rPr>
        <w:t>县经信局于</w:t>
      </w:r>
      <w:r>
        <w:rPr>
          <w:rFonts w:hint="eastAsia" w:ascii="仿宋_GB2312" w:hAnsi="仿宋_GB2312" w:cs="仿宋_GB2312"/>
          <w:b w:val="0"/>
          <w:bCs w:val="0"/>
          <w:color w:val="000000"/>
          <w:sz w:val="31"/>
          <w:szCs w:val="31"/>
          <w:lang w:val="en-US" w:eastAsia="zh-CN"/>
        </w:rPr>
        <w:t>2023年先后开展两次电商站点站长培训。</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both"/>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eastAsia="仿宋_GB2312" w:cs="仿宋_GB2312"/>
          <w:i w:val="0"/>
          <w:iCs w:val="0"/>
          <w:caps w:val="0"/>
          <w:spacing w:val="7"/>
          <w:sz w:val="32"/>
          <w:szCs w:val="32"/>
          <w:shd w:val="clear" w:fill="FFFFFF"/>
        </w:rPr>
        <w:t>为</w:t>
      </w:r>
      <w:r>
        <w:rPr>
          <w:rFonts w:hint="eastAsia" w:ascii="仿宋_GB2312" w:hAnsi="仿宋_GB2312" w:eastAsia="仿宋_GB2312" w:cs="仿宋_GB2312"/>
          <w:i w:val="0"/>
          <w:iCs w:val="0"/>
          <w:caps w:val="0"/>
          <w:spacing w:val="7"/>
          <w:sz w:val="32"/>
          <w:szCs w:val="32"/>
          <w:shd w:val="clear" w:fill="FFFFFF"/>
          <w:lang w:eastAsia="zh-CN"/>
        </w:rPr>
        <w:t>推进黑水电商发展</w:t>
      </w:r>
      <w:r>
        <w:rPr>
          <w:rFonts w:hint="eastAsia" w:ascii="仿宋_GB2312" w:hAnsi="仿宋_GB2312" w:eastAsia="仿宋_GB2312" w:cs="仿宋_GB2312"/>
          <w:i w:val="0"/>
          <w:iCs w:val="0"/>
          <w:caps w:val="0"/>
          <w:spacing w:val="7"/>
          <w:sz w:val="32"/>
          <w:szCs w:val="32"/>
          <w:shd w:val="clear" w:fill="FFFFFF"/>
        </w:rPr>
        <w:t>，通过电子商务培训培育本地电商人才，帮助实体农产品商家破解入局电商</w:t>
      </w:r>
      <w:r>
        <w:rPr>
          <w:rFonts w:hint="eastAsia" w:ascii="仿宋_GB2312" w:hAnsi="仿宋_GB2312" w:eastAsia="仿宋_GB2312" w:cs="仿宋_GB2312"/>
          <w:i w:val="0"/>
          <w:iCs w:val="0"/>
          <w:caps w:val="0"/>
          <w:spacing w:val="7"/>
          <w:sz w:val="32"/>
          <w:szCs w:val="32"/>
          <w:shd w:val="clear" w:fill="FFFFFF"/>
          <w:lang w:eastAsia="zh-CN"/>
        </w:rPr>
        <w:t>难</w:t>
      </w:r>
      <w:r>
        <w:rPr>
          <w:rFonts w:hint="eastAsia" w:ascii="仿宋_GB2312" w:hAnsi="仿宋_GB2312" w:eastAsia="仿宋_GB2312" w:cs="仿宋_GB2312"/>
          <w:i w:val="0"/>
          <w:iCs w:val="0"/>
          <w:caps w:val="0"/>
          <w:spacing w:val="7"/>
          <w:sz w:val="32"/>
          <w:szCs w:val="32"/>
          <w:shd w:val="clear" w:fill="FFFFFF"/>
        </w:rPr>
        <w:t>的问题</w:t>
      </w:r>
      <w:r>
        <w:rPr>
          <w:rFonts w:hint="eastAsia" w:ascii="仿宋_GB2312" w:hAnsi="仿宋_GB2312" w:cs="仿宋_GB2312"/>
          <w:b w:val="0"/>
          <w:bCs w:val="0"/>
          <w:color w:val="000000"/>
          <w:sz w:val="31"/>
          <w:szCs w:val="31"/>
          <w:lang w:eastAsia="zh-CN"/>
        </w:rPr>
        <w:t>，</w:t>
      </w:r>
      <w:r>
        <w:rPr>
          <w:rFonts w:hint="eastAsia" w:ascii="仿宋_GB2312" w:hAnsi="仿宋_GB2312" w:cs="仿宋_GB2312"/>
          <w:i w:val="0"/>
          <w:iCs w:val="0"/>
          <w:caps w:val="0"/>
          <w:spacing w:val="7"/>
          <w:sz w:val="32"/>
          <w:szCs w:val="32"/>
          <w:shd w:val="clear" w:fill="FFFFFF"/>
          <w:lang w:eastAsia="zh-CN"/>
        </w:rPr>
        <w:t>支持电商发展工作经费</w:t>
      </w:r>
      <w:r>
        <w:rPr>
          <w:rFonts w:hint="eastAsia" w:ascii="仿宋_GB2312" w:hAnsi="仿宋_GB2312" w:cs="仿宋_GB2312"/>
          <w:color w:val="auto"/>
          <w:kern w:val="0"/>
          <w:sz w:val="32"/>
          <w:szCs w:val="32"/>
          <w:highlight w:val="none"/>
          <w:u w:val="none"/>
          <w:shd w:val="clear" w:color="auto" w:fill="FFFFFF"/>
          <w:lang w:val="zh-CN"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zh-CN" w:eastAsia="zh-CN"/>
        </w:rPr>
        <w:t>用于开展电子商务培训补助、开展电商相关工作差旅费等相关费用。</w:t>
      </w:r>
    </w:p>
    <w:p>
      <w:pPr>
        <w:keepNext w:val="0"/>
        <w:keepLines w:val="0"/>
        <w:pageBreakBefore w:val="0"/>
        <w:kinsoku/>
        <w:wordWrap/>
        <w:overflowPunct/>
        <w:topLinePunct w:val="0"/>
        <w:autoSpaceDE/>
        <w:autoSpaceDN/>
        <w:bidi w:val="0"/>
        <w:adjustRightInd w:val="0"/>
        <w:snapToGrid w:val="0"/>
        <w:spacing w:line="578" w:lineRule="exact"/>
        <w:ind w:left="0" w:leftChars="0" w:firstLine="642"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项目整体、区域和具体绩效目标设置情况，项目自评工作开展情况。</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ascii="楷体_GB2312" w:hAnsi="宋体" w:eastAsia="楷体_GB2312"/>
          <w:b/>
          <w:lang w:val="zh-CN"/>
        </w:rPr>
      </w:pPr>
      <w:r>
        <w:rPr>
          <w:rFonts w:hint="eastAsia" w:ascii="楷体_GB2312" w:hAnsi="宋体" w:eastAsia="楷体_GB2312"/>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本次评价主要针对该项目的规划编制的内容完整性和项目实施工作的质量问题，结合该项目资金的使用情况来完整的体现。</w:t>
      </w:r>
    </w:p>
    <w:p>
      <w:pPr>
        <w:adjustRightInd w:val="0"/>
        <w:snapToGrid w:val="0"/>
        <w:spacing w:line="578" w:lineRule="exact"/>
        <w:ind w:firstLine="642" w:firstLineChars="200"/>
        <w:rPr>
          <w:rFonts w:hint="eastAsia" w:cs="Times New Roman"/>
          <w:szCs w:val="32"/>
          <w:lang w:val="zh-CN" w:eastAsia="zh-CN"/>
        </w:rPr>
      </w:pPr>
      <w:r>
        <w:rPr>
          <w:rFonts w:hint="eastAsia" w:ascii="楷体_GB2312" w:hAnsi="宋体" w:eastAsia="楷体_GB2312"/>
          <w:b/>
          <w:color w:val="auto"/>
          <w:sz w:val="32"/>
          <w:szCs w:val="32"/>
          <w:highlight w:val="none"/>
          <w:u w:val="none"/>
          <w:lang w:val="zh-CN"/>
        </w:rPr>
        <w:t>（三）评价选点。</w:t>
      </w:r>
      <w:r>
        <w:rPr>
          <w:rFonts w:hint="eastAsia" w:ascii="Times New Roman" w:hAnsi="Times New Roman" w:cs="Times New Roman"/>
          <w:kern w:val="0"/>
          <w:szCs w:val="28"/>
          <w:lang w:val="zh-CN"/>
        </w:rPr>
        <w:t>电子商务发展专项资金</w:t>
      </w:r>
      <w:r>
        <w:rPr>
          <w:rFonts w:hint="eastAsia" w:ascii="Times New Roman" w:hAnsi="Times New Roman" w:cs="Times New Roman"/>
          <w:kern w:val="0"/>
          <w:szCs w:val="28"/>
        </w:rPr>
        <w:t>项目</w:t>
      </w:r>
      <w:r>
        <w:rPr>
          <w:rFonts w:hint="eastAsia"/>
          <w:kern w:val="0"/>
          <w:szCs w:val="28"/>
        </w:rPr>
        <w:t>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阿坝州财政局</w:t>
      </w:r>
      <w:r>
        <w:rPr>
          <w:rFonts w:hint="eastAsia"/>
          <w:kern w:val="0"/>
          <w:szCs w:val="28"/>
        </w:rPr>
        <w:t>，项目不</w:t>
      </w:r>
      <w:r>
        <w:rPr>
          <w:rFonts w:hint="eastAsia"/>
          <w:kern w:val="0"/>
          <w:szCs w:val="28"/>
          <w:lang w:eastAsia="zh-CN"/>
        </w:rPr>
        <w:t>涉及其他</w:t>
      </w:r>
      <w:r>
        <w:rPr>
          <w:rFonts w:hint="eastAsia"/>
          <w:kern w:val="0"/>
          <w:szCs w:val="28"/>
        </w:rPr>
        <w:t>点位。</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ascii="仿宋_GB2312" w:hAnsi="仿宋_GB2312" w:cs="仿宋_GB2312"/>
          <w:color w:val="auto"/>
          <w:kern w:val="0"/>
          <w:sz w:val="32"/>
          <w:szCs w:val="32"/>
          <w:highlight w:val="none"/>
          <w:u w:val="none"/>
          <w:shd w:val="clear" w:color="auto" w:fill="FFFFFF"/>
          <w:lang w:val="zh-CN" w:eastAsia="zh-CN"/>
        </w:rPr>
        <w:t>单位进行自评。</w:t>
      </w:r>
    </w:p>
    <w:p>
      <w:pPr>
        <w:adjustRightInd w:val="0"/>
        <w:snapToGrid w:val="0"/>
        <w:spacing w:line="578" w:lineRule="exact"/>
        <w:ind w:firstLine="642" w:firstLineChars="20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highlight w:val="none"/>
          <w:lang w:val="zh-CN"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仿宋"/>
          <w:lang w:val="zh-CN" w:eastAsia="zh-CN"/>
        </w:rPr>
        <w:t>分值54分，自评打分53分。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1.项目决策。分值18分，自评打分17分。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决策程序项目设立、调整延续等方面符合资金管理基本规范和决策程序要求，分值6分，自评打分6分。</w:t>
      </w:r>
    </w:p>
    <w:p>
      <w:pPr>
        <w:keepNext w:val="0"/>
        <w:keepLines w:val="0"/>
        <w:pageBreakBefore w:val="0"/>
        <w:widowControl w:val="0"/>
        <w:kinsoku/>
        <w:wordWrap/>
        <w:overflowPunct/>
        <w:topLinePunct w:val="0"/>
        <w:autoSpaceDE/>
        <w:autoSpaceDN/>
        <w:spacing w:line="578" w:lineRule="exact"/>
        <w:ind w:firstLine="639"/>
        <w:rPr>
          <w:rFonts w:hint="eastAsia" w:ascii="仿宋_GB2312" w:cs="仿宋"/>
          <w:lang w:val="zh-CN" w:eastAsia="zh-CN" w:bidi="ar-SA"/>
        </w:rPr>
      </w:pPr>
      <w:r>
        <w:rPr>
          <w:rFonts w:hint="eastAsia" w:ascii="仿宋_GB2312" w:cs="仿宋"/>
          <w:lang w:val="zh-CN" w:eastAsia="zh-CN" w:bidi="ar-SA"/>
        </w:rPr>
        <w:t>规划论证：项目规划论证是否符合中央、省委要求，项目绩效目标设置较为科学合理，分值6分，自评打分5分。</w:t>
      </w:r>
    </w:p>
    <w:p>
      <w:pPr>
        <w:keepNext w:val="0"/>
        <w:keepLines w:val="0"/>
        <w:pageBreakBefore w:val="0"/>
        <w:widowControl w:val="0"/>
        <w:kinsoku/>
        <w:wordWrap/>
        <w:overflowPunct/>
        <w:topLinePunct w:val="0"/>
        <w:autoSpaceDE/>
        <w:autoSpaceDN/>
        <w:spacing w:line="578" w:lineRule="exact"/>
        <w:ind w:left="0" w:firstLine="669"/>
        <w:rPr>
          <w:rFonts w:hint="eastAsia" w:ascii="仿宋_GB2312" w:cs="仿宋"/>
          <w:lang w:val="zh-CN" w:eastAsia="zh-CN"/>
        </w:rPr>
      </w:pPr>
      <w:r>
        <w:rPr>
          <w:rFonts w:hint="eastAsia" w:ascii="仿宋_GB2312" w:cs="仿宋"/>
          <w:lang w:val="zh-CN" w:eastAsia="zh-CN" w:bidi="ar-SA"/>
        </w:rPr>
        <w:t>资金投向：项目资金与项目总体规划、相关行业事业发展相匹配，分值6分，自评打分6分。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zh-CN" w:eastAsia="zh-CN"/>
        </w:rPr>
        <w:t>2.项目管理。A.制度办法：项目制度办法体系健全、要素完备，分值2分，自评打分2分。B.项目管理。围绕制度办法、分配管理、绩效监管进行绩效分析。1.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10分，自评打分10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C.绩效监管:管资金、项目、政策并管绩效，项目绩效监管按要求开展，对下指导有力有效。分值6分，自评打分6分。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3.项目实施。分值9分，自评打分9分。预算执行：项目资金财政拨付、单位执行相结合，州级资金到位</w:t>
      </w:r>
      <w:r>
        <w:rPr>
          <w:rFonts w:hint="eastAsia" w:ascii="仿宋_GB2312" w:cs="仿宋"/>
          <w:lang w:val="en-US" w:eastAsia="zh-CN"/>
        </w:rPr>
        <w:t>5</w:t>
      </w:r>
      <w:r>
        <w:rPr>
          <w:rFonts w:hint="eastAsia" w:ascii="仿宋_GB2312" w:cs="仿宋"/>
          <w:lang w:val="zh-CN" w:eastAsia="zh-CN"/>
        </w:rPr>
        <w:t>万元</w:t>
      </w:r>
      <w:r>
        <w:rPr>
          <w:rFonts w:hint="eastAsia" w:ascii="仿宋_GB2312" w:cs="仿宋"/>
          <w:lang w:val="en-US" w:eastAsia="zh-CN"/>
        </w:rPr>
        <w:t>5。</w:t>
      </w:r>
      <w:r>
        <w:rPr>
          <w:rFonts w:hint="eastAsia" w:ascii="仿宋_GB2312" w:cs="仿宋"/>
          <w:lang w:val="zh-CN" w:eastAsia="zh-CN"/>
        </w:rPr>
        <w:t>分值6分，自评打分6分。资金使用：专款专用、按时拨付，分值3分，自评打分3分。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4.项目结果。分值9分，自评打分9分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项目完成预期目标，实施结果与绩效目标相匹配。分值6分，自评打分6分。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bidi="ar-SA"/>
        </w:rPr>
        <w:t>完成时效：项目实际完成时间与计划完成时间一致，分值，</w:t>
      </w:r>
      <w:r>
        <w:rPr>
          <w:rFonts w:hint="eastAsia" w:ascii="仿宋_GB2312" w:cs="仿宋"/>
          <w:lang w:val="zh-CN" w:eastAsia="zh-CN"/>
        </w:rPr>
        <w:t>分值,3分，自评打分3分。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en-US" w:eastAsia="zh-CN"/>
        </w:rPr>
        <w:t>（二）专用指标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30分，自评打分28分。</w:t>
      </w:r>
    </w:p>
    <w:p>
      <w:pPr>
        <w:keepNext w:val="0"/>
        <w:keepLines w:val="0"/>
        <w:pageBreakBefore w:val="0"/>
        <w:widowControl w:val="0"/>
        <w:kinsoku/>
        <w:wordWrap/>
        <w:overflowPunct/>
        <w:topLinePunct w:val="0"/>
        <w:autoSpaceDE/>
        <w:autoSpaceDN/>
        <w:spacing w:line="578" w:lineRule="exact"/>
        <w:ind w:left="0" w:firstLine="654"/>
        <w:rPr>
          <w:rFonts w:hint="eastAsia"/>
          <w:lang w:val="zh-CN"/>
        </w:rPr>
      </w:pPr>
      <w:r>
        <w:rPr>
          <w:rFonts w:hint="eastAsia" w:ascii="仿宋_GB2312" w:cs="仿宋"/>
          <w:lang w:val="zh-CN"/>
        </w:rPr>
        <w:t>产业发展。</w:t>
      </w:r>
    </w:p>
    <w:p>
      <w:pPr>
        <w:keepNext w:val="0"/>
        <w:keepLines w:val="0"/>
        <w:pageBreakBefore w:val="0"/>
        <w:widowControl w:val="0"/>
        <w:kinsoku/>
        <w:wordWrap/>
        <w:overflowPunct/>
        <w:topLinePunct w:val="0"/>
        <w:autoSpaceDE/>
        <w:autoSpaceDN/>
        <w:spacing w:line="578" w:lineRule="exact"/>
        <w:ind w:firstLine="640"/>
        <w:rPr>
          <w:rFonts w:hint="eastAsia"/>
          <w:kern w:val="0"/>
          <w:szCs w:val="28"/>
          <w:lang w:eastAsia="zh-CN"/>
        </w:rPr>
      </w:pPr>
      <w:r>
        <w:rPr>
          <w:rFonts w:hint="eastAsia"/>
          <w:kern w:val="0"/>
          <w:szCs w:val="28"/>
          <w:lang w:val="en-US" w:eastAsia="zh-CN"/>
        </w:rPr>
        <w:t>1.</w:t>
      </w:r>
      <w:r>
        <w:rPr>
          <w:rFonts w:hint="eastAsia"/>
          <w:kern w:val="0"/>
          <w:szCs w:val="28"/>
          <w:lang w:eastAsia="zh-CN"/>
        </w:rPr>
        <w:t>符合性。</w:t>
      </w:r>
      <w:r>
        <w:rPr>
          <w:rFonts w:hint="eastAsia"/>
          <w:kern w:val="0"/>
          <w:szCs w:val="28"/>
        </w:rPr>
        <w:t>项目实施是</w:t>
      </w:r>
      <w:r>
        <w:rPr>
          <w:rFonts w:hint="eastAsia"/>
          <w:kern w:val="0"/>
          <w:szCs w:val="28"/>
          <w:lang w:eastAsia="zh-CN"/>
        </w:rPr>
        <w:t>符合</w:t>
      </w:r>
      <w:r>
        <w:rPr>
          <w:rFonts w:hint="eastAsia"/>
          <w:kern w:val="0"/>
          <w:szCs w:val="28"/>
        </w:rPr>
        <w:t>支持重点</w:t>
      </w:r>
      <w:r>
        <w:rPr>
          <w:rFonts w:hint="eastAsia"/>
          <w:kern w:val="0"/>
          <w:szCs w:val="28"/>
          <w:lang w:eastAsia="zh-CN"/>
        </w:rPr>
        <w:t>产业</w:t>
      </w:r>
      <w:r>
        <w:rPr>
          <w:rFonts w:hint="eastAsia"/>
          <w:kern w:val="0"/>
          <w:szCs w:val="28"/>
        </w:rPr>
        <w:t>政策</w:t>
      </w:r>
      <w:r>
        <w:rPr>
          <w:rFonts w:hint="eastAsia"/>
          <w:kern w:val="0"/>
          <w:szCs w:val="28"/>
          <w:lang w:eastAsia="zh-CN"/>
        </w:rPr>
        <w:t>，资金补助</w:t>
      </w:r>
      <w:r>
        <w:rPr>
          <w:rFonts w:hint="eastAsia"/>
          <w:kern w:val="0"/>
          <w:szCs w:val="28"/>
        </w:rPr>
        <w:t>符合支持对象范围</w:t>
      </w:r>
      <w:r>
        <w:rPr>
          <w:rFonts w:hint="eastAsia"/>
          <w:kern w:val="0"/>
          <w:szCs w:val="28"/>
          <w:lang w:eastAsia="zh-CN"/>
        </w:rPr>
        <w:t>。</w:t>
      </w:r>
      <w:r>
        <w:rPr>
          <w:rFonts w:hint="eastAsia" w:ascii="仿宋_GB2312" w:cs="仿宋"/>
          <w:lang w:val="zh-CN"/>
        </w:rPr>
        <w:t>分值10分，自评打分</w:t>
      </w:r>
      <w:r>
        <w:rPr>
          <w:rFonts w:hint="eastAsia" w:ascii="仿宋_GB2312" w:cs="仿宋"/>
          <w:lang w:val="en-US" w:eastAsia="zh-CN"/>
        </w:rPr>
        <w:t>10</w:t>
      </w:r>
      <w:r>
        <w:rPr>
          <w:rFonts w:hint="eastAsia" w:ascii="仿宋_GB2312" w:cs="仿宋"/>
          <w:lang w:val="zh-CN"/>
        </w:rPr>
        <w:t>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2.</w:t>
      </w:r>
      <w:r>
        <w:rPr>
          <w:rFonts w:hint="eastAsia"/>
          <w:kern w:val="0"/>
          <w:szCs w:val="28"/>
          <w:lang w:eastAsia="zh-CN"/>
        </w:rPr>
        <w:t>成长性。项目实施</w:t>
      </w:r>
      <w:r>
        <w:rPr>
          <w:rFonts w:ascii="仿宋_GB2312" w:hAnsi="仿宋_GB2312" w:eastAsia="仿宋_GB2312" w:cs="仿宋_GB2312"/>
          <w:b w:val="0"/>
          <w:bCs w:val="0"/>
          <w:color w:val="000000"/>
          <w:sz w:val="31"/>
          <w:szCs w:val="31"/>
        </w:rPr>
        <w:t>提升电商服务站的电商创收能力，增加当地就业率，加强农村电子商务全覆盖工作的规范化、统一化管理，优化农村电子商务发展环境，提升农村电子商务服务站的服务和管理水平</w:t>
      </w:r>
      <w:r>
        <w:rPr>
          <w:rFonts w:hint="eastAsia" w:ascii="仿宋_GB2312" w:hAnsi="仿宋_GB2312" w:cs="仿宋_GB2312"/>
          <w:i w:val="0"/>
          <w:iCs w:val="0"/>
          <w:caps w:val="0"/>
          <w:spacing w:val="7"/>
          <w:sz w:val="32"/>
          <w:szCs w:val="32"/>
          <w:shd w:val="clear" w:fill="FFFFFF"/>
          <w:lang w:eastAsia="zh-CN"/>
        </w:rPr>
        <w:t>。</w:t>
      </w:r>
      <w:r>
        <w:rPr>
          <w:rFonts w:hint="eastAsia" w:ascii="仿宋_GB2312" w:cs="仿宋"/>
          <w:lang w:val="zh-CN" w:eastAsia="zh-CN"/>
        </w:rPr>
        <w:t>分值10分，自评打分10分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3.</w:t>
      </w:r>
      <w:r>
        <w:rPr>
          <w:rFonts w:hint="eastAsia"/>
          <w:kern w:val="0"/>
          <w:szCs w:val="28"/>
          <w:lang w:eastAsia="zh-CN"/>
        </w:rPr>
        <w:t>经济性。该项目带动了电子商务发展，经济性较好，</w:t>
      </w:r>
      <w:r>
        <w:rPr>
          <w:rFonts w:hint="eastAsia" w:ascii="仿宋_GB2312" w:cs="仿宋"/>
          <w:lang w:val="zh-CN" w:eastAsia="zh-CN"/>
        </w:rPr>
        <w:t>分值10分，自评打分</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1.用途合规性：按规定用途、使</w:t>
      </w:r>
      <w:bookmarkStart w:id="1" w:name="_GoBack"/>
      <w:bookmarkEnd w:id="1"/>
      <w:r>
        <w:rPr>
          <w:rFonts w:hint="eastAsia" w:ascii="仿宋_GB2312" w:cs="仿宋"/>
          <w:lang w:val="zh-CN" w:bidi="ar-SA"/>
        </w:rPr>
        <w:t>用范围进行本地区专项资金分配促项目按月支付。分值5分，自评打分5分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仿宋_GB2312" w:cs="仿宋"/>
          <w:lang w:val="zh-CN" w:bidi="ar-SA"/>
        </w:rPr>
        <w:t>3.标准合规性：资金分配标准符合专项资金管理要求分值6分，自评打分6分。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20" w:firstLineChars="200"/>
        <w:contextualSpacing/>
        <w:jc w:val="left"/>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ascii="仿宋_GB2312" w:hAnsi="仿宋_GB2312" w:eastAsia="仿宋_GB2312" w:cs="仿宋_GB2312"/>
          <w:b w:val="0"/>
          <w:bCs w:val="0"/>
          <w:color w:val="000000"/>
          <w:sz w:val="31"/>
          <w:szCs w:val="31"/>
        </w:rPr>
        <w:t>提升电商服务站的电商创收能力，增加当地就业率，加强农村电子商务全覆盖工作的规范化、统一化管理，优化农村电子商务发展环境，提升农村电子商务服务站的服务和管理水平</w:t>
      </w:r>
      <w:r>
        <w:rPr>
          <w:rFonts w:hint="eastAsia" w:ascii="仿宋_GB2312" w:hAnsi="仿宋_GB2312" w:cs="仿宋_GB2312"/>
          <w:b w:val="0"/>
          <w:bCs w:val="0"/>
          <w:color w:val="000000"/>
          <w:sz w:val="31"/>
          <w:szCs w:val="31"/>
          <w:lang w:eastAsia="zh-CN"/>
        </w:rPr>
        <w:t>，自评得分</w:t>
      </w:r>
      <w:r>
        <w:rPr>
          <w:rFonts w:hint="eastAsia" w:ascii="仿宋_GB2312" w:hAnsi="仿宋_GB2312" w:cs="仿宋_GB2312"/>
          <w:b w:val="0"/>
          <w:bCs w:val="0"/>
          <w:color w:val="000000"/>
          <w:sz w:val="31"/>
          <w:szCs w:val="31"/>
          <w:lang w:val="en-US" w:eastAsia="zh-CN"/>
        </w:rPr>
        <w:t>97分</w:t>
      </w:r>
      <w:r>
        <w:rPr>
          <w:rFonts w:hint="eastAsia" w:ascii="仿宋_GB2312" w:hAnsi="仿宋_GB2312" w:cs="仿宋_GB2312"/>
          <w:b w:val="0"/>
          <w:bCs w:val="0"/>
          <w:color w:val="000000"/>
          <w:sz w:val="31"/>
          <w:szCs w:val="31"/>
          <w:lang w:eastAsia="zh-CN"/>
        </w:rPr>
        <w:t>。</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keepNext w:val="0"/>
        <w:keepLines w:val="0"/>
        <w:pageBreakBefore w:val="0"/>
        <w:kinsoku/>
        <w:wordWrap/>
        <w:overflowPunct/>
        <w:topLinePunct w:val="0"/>
        <w:autoSpaceDE/>
        <w:autoSpaceDN/>
        <w:bidi w:val="0"/>
        <w:adjustRightInd/>
        <w:snapToGrid w:val="0"/>
        <w:spacing w:line="578" w:lineRule="exact"/>
        <w:ind w:left="0" w:leftChars="0" w:firstLine="640" w:firstLineChars="200"/>
        <w:textAlignment w:val="auto"/>
        <w:outlineLvl w:val="9"/>
        <w:rPr>
          <w:rFonts w:hint="eastAsia" w:ascii="Times New Roman" w:hAnsi="Times New Roman" w:cs="Times New Roman"/>
          <w:color w:val="000000"/>
          <w:kern w:val="0"/>
          <w:szCs w:val="32"/>
          <w:highlight w:val="none"/>
          <w:shd w:val="clear" w:color="auto" w:fill="FFFFFF"/>
          <w:lang w:val="zh-CN" w:eastAsia="zh-CN"/>
        </w:rPr>
      </w:pPr>
    </w:p>
    <w:p>
      <w:pPr>
        <w:pStyle w:val="2"/>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0135135"/>
    <w:rsid w:val="093B254E"/>
    <w:rsid w:val="0DC93444"/>
    <w:rsid w:val="18B36D8E"/>
    <w:rsid w:val="1C25106F"/>
    <w:rsid w:val="1CFD8DF6"/>
    <w:rsid w:val="1FFF9AD9"/>
    <w:rsid w:val="20436F19"/>
    <w:rsid w:val="22AD555F"/>
    <w:rsid w:val="244E5C3A"/>
    <w:rsid w:val="26CF2DB3"/>
    <w:rsid w:val="27BF77CD"/>
    <w:rsid w:val="28915495"/>
    <w:rsid w:val="2A4403D5"/>
    <w:rsid w:val="2AF86ED7"/>
    <w:rsid w:val="2AFDF212"/>
    <w:rsid w:val="2B385C88"/>
    <w:rsid w:val="2B6BF484"/>
    <w:rsid w:val="2DDE750C"/>
    <w:rsid w:val="2FFF7DE7"/>
    <w:rsid w:val="33F748AD"/>
    <w:rsid w:val="35874596"/>
    <w:rsid w:val="35DC039B"/>
    <w:rsid w:val="35F2A362"/>
    <w:rsid w:val="36EA2AC9"/>
    <w:rsid w:val="371A51D2"/>
    <w:rsid w:val="373BBD0C"/>
    <w:rsid w:val="39BFEDBA"/>
    <w:rsid w:val="39DBABD8"/>
    <w:rsid w:val="3AED12ED"/>
    <w:rsid w:val="3AFF6A5D"/>
    <w:rsid w:val="3BDD34D2"/>
    <w:rsid w:val="3BDDFF97"/>
    <w:rsid w:val="3BFFD43B"/>
    <w:rsid w:val="3C7BD5C9"/>
    <w:rsid w:val="3FBF9251"/>
    <w:rsid w:val="3FED766E"/>
    <w:rsid w:val="3FFEEAD9"/>
    <w:rsid w:val="3FFFE931"/>
    <w:rsid w:val="42703746"/>
    <w:rsid w:val="457F07F2"/>
    <w:rsid w:val="45910283"/>
    <w:rsid w:val="49B40048"/>
    <w:rsid w:val="4CC6FDBD"/>
    <w:rsid w:val="4E07F45D"/>
    <w:rsid w:val="4FF59AF5"/>
    <w:rsid w:val="503D00E8"/>
    <w:rsid w:val="505D5D4C"/>
    <w:rsid w:val="50D70E34"/>
    <w:rsid w:val="50F9512B"/>
    <w:rsid w:val="543E0CD0"/>
    <w:rsid w:val="55FE10A2"/>
    <w:rsid w:val="56EF6619"/>
    <w:rsid w:val="57AF1E73"/>
    <w:rsid w:val="58BE1257"/>
    <w:rsid w:val="5AB21C33"/>
    <w:rsid w:val="5B778EC0"/>
    <w:rsid w:val="5BFD93EC"/>
    <w:rsid w:val="5CBA8FF2"/>
    <w:rsid w:val="5D5F7E21"/>
    <w:rsid w:val="5E40312C"/>
    <w:rsid w:val="5F5B35E4"/>
    <w:rsid w:val="609FA7B0"/>
    <w:rsid w:val="615B0407"/>
    <w:rsid w:val="6338597C"/>
    <w:rsid w:val="63B52F80"/>
    <w:rsid w:val="665E10CA"/>
    <w:rsid w:val="69FCE5E7"/>
    <w:rsid w:val="6BCDA9CC"/>
    <w:rsid w:val="6C325359"/>
    <w:rsid w:val="6D9F2765"/>
    <w:rsid w:val="6DB508E5"/>
    <w:rsid w:val="6DDFA6BD"/>
    <w:rsid w:val="6E767ACE"/>
    <w:rsid w:val="6E781687"/>
    <w:rsid w:val="6EEE3ED1"/>
    <w:rsid w:val="6EFFED40"/>
    <w:rsid w:val="6F1B2166"/>
    <w:rsid w:val="6F5FC1DE"/>
    <w:rsid w:val="6FB3E1FD"/>
    <w:rsid w:val="6FD768E4"/>
    <w:rsid w:val="6FF341F1"/>
    <w:rsid w:val="6FFEBD86"/>
    <w:rsid w:val="7130351D"/>
    <w:rsid w:val="73FF1F09"/>
    <w:rsid w:val="73FF684B"/>
    <w:rsid w:val="748446CE"/>
    <w:rsid w:val="74A708C5"/>
    <w:rsid w:val="74BB1B38"/>
    <w:rsid w:val="76DFCB7D"/>
    <w:rsid w:val="771D4D51"/>
    <w:rsid w:val="7735A28E"/>
    <w:rsid w:val="77778F6D"/>
    <w:rsid w:val="77ABFD6B"/>
    <w:rsid w:val="77B7A121"/>
    <w:rsid w:val="77C748BA"/>
    <w:rsid w:val="77DD24F1"/>
    <w:rsid w:val="77F04406"/>
    <w:rsid w:val="77F10335"/>
    <w:rsid w:val="77F7E860"/>
    <w:rsid w:val="77FB8D34"/>
    <w:rsid w:val="79140278"/>
    <w:rsid w:val="797D0128"/>
    <w:rsid w:val="79EDB415"/>
    <w:rsid w:val="7ABBCDAB"/>
    <w:rsid w:val="7AFCAD25"/>
    <w:rsid w:val="7AFEB9B4"/>
    <w:rsid w:val="7B5E0C37"/>
    <w:rsid w:val="7B63F034"/>
    <w:rsid w:val="7B735637"/>
    <w:rsid w:val="7B7DE504"/>
    <w:rsid w:val="7BFEC4F8"/>
    <w:rsid w:val="7DA14F75"/>
    <w:rsid w:val="7DB57A61"/>
    <w:rsid w:val="7DC7DC1F"/>
    <w:rsid w:val="7DF95E12"/>
    <w:rsid w:val="7DFDF40F"/>
    <w:rsid w:val="7DFF9BC7"/>
    <w:rsid w:val="7EB645E3"/>
    <w:rsid w:val="7EB6B7AB"/>
    <w:rsid w:val="7EDEF702"/>
    <w:rsid w:val="7EFD6908"/>
    <w:rsid w:val="7EFF8787"/>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B7F832B"/>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spacing w:after="120"/>
      <w:ind w:leftChars="200"/>
    </w:pPr>
    <w:rPr>
      <w:rFonts w:ascii="仿宋_GB2312"/>
      <w:szCs w:val="32"/>
    </w:rPr>
  </w:style>
  <w:style w:type="paragraph" w:styleId="4">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3278</Words>
  <Characters>3398</Characters>
  <Lines>0</Lines>
  <Paragraphs>0</Paragraphs>
  <TotalTime>2</TotalTime>
  <ScaleCrop>false</ScaleCrop>
  <LinksUpToDate>false</LinksUpToDate>
  <CharactersWithSpaces>3504</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91A53958B6C94F0580B01972A66B5C28_13</vt:lpwstr>
  </property>
</Properties>
</file>