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widowControl w:val="0"/>
        <w:kinsoku/>
        <w:wordWrap/>
        <w:overflowPunct/>
        <w:topLinePunct w:val="0"/>
        <w:autoSpaceDE/>
        <w:autoSpaceDN/>
        <w:bidi w:val="0"/>
        <w:spacing w:line="578" w:lineRule="exact"/>
        <w:ind w:left="0" w:leftChars="0" w:firstLine="880" w:firstLineChars="200"/>
        <w:jc w:val="both"/>
        <w:textAlignment w:val="auto"/>
        <w:rPr>
          <w:rFonts w:hint="eastAsia" w:ascii="方正小标宋简体" w:hAnsi="方正小标宋简体" w:eastAsia="方正小标宋简体" w:cs="方正小标宋简体"/>
          <w:color w:val="auto"/>
          <w:kern w:val="2"/>
          <w:sz w:val="44"/>
          <w:szCs w:val="44"/>
          <w:highlight w:val="none"/>
          <w:lang w:val="en-US" w:eastAsia="zh-CN"/>
        </w:rPr>
      </w:pPr>
      <w:r>
        <w:rPr>
          <w:rFonts w:hint="eastAsia" w:ascii="方正小标宋简体" w:hAnsi="方正小标宋简体" w:eastAsia="方正小标宋简体" w:cs="方正小标宋简体"/>
          <w:color w:val="auto"/>
          <w:kern w:val="2"/>
          <w:sz w:val="44"/>
          <w:szCs w:val="44"/>
          <w:highlight w:val="none"/>
          <w:lang w:val="en-US" w:eastAsia="zh-CN"/>
        </w:rPr>
        <w:t>黑水县网红直播基地资金（捐赠资金）</w:t>
      </w:r>
    </w:p>
    <w:p>
      <w:pPr>
        <w:pStyle w:val="12"/>
        <w:keepNext w:val="0"/>
        <w:keepLines w:val="0"/>
        <w:pageBreakBefore w:val="0"/>
        <w:widowControl w:val="0"/>
        <w:kinsoku/>
        <w:wordWrap/>
        <w:overflowPunct/>
        <w:topLinePunct w:val="0"/>
        <w:autoSpaceDE/>
        <w:autoSpaceDN/>
        <w:bidi w:val="0"/>
        <w:spacing w:line="578" w:lineRule="exact"/>
        <w:ind w:left="0" w:leftChars="0"/>
        <w:jc w:val="center"/>
        <w:textAlignment w:val="auto"/>
        <w:rPr>
          <w:rFonts w:hint="eastAsia" w:ascii="方正小标宋简体" w:hAnsi="方正小标宋简体" w:eastAsia="方正小标宋简体" w:cs="方正小标宋简体"/>
          <w:color w:val="auto"/>
          <w:kern w:val="2"/>
          <w:sz w:val="44"/>
          <w:szCs w:val="44"/>
          <w:highlight w:val="none"/>
          <w:lang w:val="en-US" w:eastAsia="zh-CN"/>
        </w:rPr>
      </w:pPr>
      <w:r>
        <w:rPr>
          <w:rFonts w:hint="eastAsia" w:ascii="方正小标宋简体" w:hAnsi="方正小标宋简体" w:eastAsia="方正小标宋简体" w:cs="方正小标宋简体"/>
          <w:color w:val="auto"/>
          <w:kern w:val="2"/>
          <w:sz w:val="44"/>
          <w:szCs w:val="44"/>
          <w:highlight w:val="none"/>
          <w:lang w:val="en-US" w:eastAsia="zh-CN"/>
        </w:rPr>
        <w:t>项目绩效评价报告</w:t>
      </w:r>
    </w:p>
    <w:p>
      <w:pPr>
        <w:pStyle w:val="12"/>
        <w:keepNext w:val="0"/>
        <w:keepLines w:val="0"/>
        <w:pageBreakBefore w:val="0"/>
        <w:widowControl w:val="0"/>
        <w:kinsoku/>
        <w:wordWrap/>
        <w:overflowPunct/>
        <w:topLinePunct w:val="0"/>
        <w:autoSpaceDE/>
        <w:autoSpaceDN/>
        <w:bidi w:val="0"/>
        <w:spacing w:line="578" w:lineRule="exact"/>
        <w:ind w:left="0" w:leftChars="0" w:firstLine="640"/>
        <w:jc w:val="center"/>
        <w:textAlignment w:val="auto"/>
        <w:rPr>
          <w:rFonts w:ascii="宋体" w:hAnsi="宋体"/>
          <w:color w:val="auto"/>
          <w:kern w:val="2"/>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ascii="黑体" w:hAnsi="宋体" w:eastAsia="黑体"/>
          <w:highlight w:val="none"/>
          <w:lang w:val="zh-CN"/>
        </w:rPr>
      </w:pPr>
      <w:r>
        <w:rPr>
          <w:rFonts w:hint="eastAsia" w:ascii="黑体" w:hAnsi="宋体" w:eastAsia="黑体"/>
          <w:highlight w:val="none"/>
        </w:rPr>
        <w:t>一、</w:t>
      </w:r>
      <w:r>
        <w:rPr>
          <w:rFonts w:hint="eastAsia" w:ascii="黑体" w:hAnsi="宋体" w:eastAsia="黑体"/>
          <w:highlight w:val="none"/>
          <w:lang w:val="zh-CN"/>
        </w:rPr>
        <w:t>项目概况</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rPr>
          <w:rFonts w:hint="eastAsia" w:ascii="仿宋_GB2312" w:hAnsi="仿宋_GB2312" w:cs="仿宋_GB2312"/>
          <w:color w:val="auto"/>
          <w:kern w:val="0"/>
          <w:sz w:val="32"/>
          <w:szCs w:val="32"/>
          <w:highlight w:val="none"/>
          <w:u w:val="none"/>
          <w:shd w:val="clear" w:color="auto" w:fill="FFFFFF"/>
          <w:lang w:val="zh-CN" w:eastAsia="zh-CN"/>
        </w:rPr>
      </w:pPr>
      <w:r>
        <w:rPr>
          <w:rFonts w:hint="eastAsia" w:ascii="楷体_GB2312" w:hAnsi="宋体" w:eastAsia="楷体_GB2312"/>
          <w:b/>
          <w:color w:val="auto"/>
          <w:sz w:val="32"/>
          <w:szCs w:val="32"/>
          <w:highlight w:val="none"/>
          <w:u w:val="none"/>
          <w:lang w:val="zh-CN"/>
        </w:rPr>
        <w:t>（一）设立背景及基本情况。</w:t>
      </w:r>
      <w:r>
        <w:rPr>
          <w:rFonts w:hint="eastAsia" w:ascii="仿宋_GB2312" w:hAnsi="仿宋_GB2312" w:cs="仿宋_GB2312"/>
          <w:color w:val="auto"/>
          <w:kern w:val="0"/>
          <w:sz w:val="32"/>
          <w:szCs w:val="32"/>
          <w:highlight w:val="none"/>
          <w:u w:val="none"/>
          <w:shd w:val="clear" w:color="auto" w:fill="FFFFFF"/>
          <w:lang w:val="zh-CN" w:eastAsia="zh-CN"/>
        </w:rPr>
        <w:t>为提高黑水旅游文化知名度，进一步拓宽农产品的销售渠道，黑水县嘉海建设开发有限公司在“黑水县网红直播基地”，培育本地网红，网红直播基地自2022年6月18日正式运营以来，共计开展培训5次，培训300人次，孵化带货主播30人；开发本地农特产品15个品种，实现销售额300余万；举办2场“黑水直播电商节”，参加阿坝州农民工技能大赛荣获网络营销师“一等奖”；参加各类大型展会和直播电商5次。工作得到了省商务厅、州级相关部门和县委县政府的高度肯定。黑水县嘉海建设开发有限公司开展以上活动产生费用共计36.5万元，申请全额补助，按《2021-2025年东西部对口支援消费协作实施方案》中“一事一议”原则，2022年11月15日黑水县人民政府《专题研究关于黑水县网红直播基地资金补助相关事宜的会议纪要》，给予黑水县嘉海建设开发有限公司按总费用100%（暨36.5万元）予以补助。2022年12月5日，从东西部协作和对口支援项目资金中拨付23.83万元，本次申请拨付剩余12.67万元。</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rPr>
          <w:rFonts w:ascii="楷体_GB2312" w:hAnsi="宋体" w:eastAsia="楷体_GB2312"/>
          <w:b/>
          <w:color w:val="auto"/>
          <w:sz w:val="32"/>
          <w:szCs w:val="32"/>
          <w:highlight w:val="none"/>
          <w:u w:val="none"/>
          <w:lang w:val="zh-CN"/>
        </w:rPr>
      </w:pPr>
      <w:r>
        <w:rPr>
          <w:rFonts w:hint="eastAsia" w:ascii="楷体_GB2312" w:hAnsi="宋体" w:eastAsia="楷体_GB2312"/>
          <w:b/>
          <w:color w:val="auto"/>
          <w:sz w:val="32"/>
          <w:szCs w:val="32"/>
          <w:highlight w:val="none"/>
          <w:u w:val="none"/>
          <w:lang w:val="zh-CN"/>
        </w:rPr>
        <w:t>（</w:t>
      </w:r>
      <w:r>
        <w:rPr>
          <w:rFonts w:hint="eastAsia" w:ascii="楷体_GB2312" w:hAnsi="宋体" w:eastAsia="楷体_GB2312" w:cs="Times New Roman"/>
          <w:b/>
          <w:color w:val="auto"/>
          <w:sz w:val="32"/>
          <w:szCs w:val="32"/>
          <w:highlight w:val="none"/>
          <w:u w:val="none"/>
          <w:lang w:val="zh-CN"/>
        </w:rPr>
        <w:t>二）</w:t>
      </w:r>
      <w:r>
        <w:rPr>
          <w:rFonts w:hint="default" w:ascii="楷体_GB2312" w:hAnsi="宋体" w:eastAsia="楷体_GB2312" w:cs="Times New Roman"/>
          <w:b/>
          <w:color w:val="auto"/>
          <w:sz w:val="32"/>
          <w:szCs w:val="32"/>
          <w:highlight w:val="none"/>
          <w:u w:val="none"/>
          <w:lang w:val="en-US" w:eastAsia="zh-CN"/>
        </w:rPr>
        <w:t>实施目的及支持方向</w:t>
      </w:r>
      <w:r>
        <w:rPr>
          <w:rFonts w:hint="eastAsia" w:ascii="楷体_GB2312" w:hAnsi="宋体" w:eastAsia="楷体_GB2312" w:cs="Times New Roman"/>
          <w:b/>
          <w:color w:val="auto"/>
          <w:sz w:val="32"/>
          <w:szCs w:val="32"/>
          <w:highlight w:val="none"/>
          <w:u w:val="none"/>
          <w:lang w:val="en-US" w:eastAsia="zh-CN"/>
        </w:rPr>
        <w:t>。</w:t>
      </w:r>
      <w:r>
        <w:rPr>
          <w:rFonts w:hint="eastAsia" w:ascii="仿宋_GB2312" w:hAnsi="仿宋_GB2312" w:cs="仿宋_GB2312"/>
          <w:color w:val="auto"/>
          <w:kern w:val="0"/>
          <w:sz w:val="32"/>
          <w:szCs w:val="32"/>
          <w:highlight w:val="none"/>
          <w:u w:val="none"/>
          <w:shd w:val="clear" w:color="auto" w:fill="FFFFFF"/>
          <w:lang w:val="zh-CN" w:eastAsia="zh-CN"/>
        </w:rPr>
        <w:t>提高黑水旅游文化知名度，进一步拓宽农产品的销售渠道。按《2021-2025年东西部对口支援消费协作实施方案》中“一事一议”原则，2022年11月15日黑水县人民政府《专题研究关于黑水县网红直播基地资金补助相关事宜的会议纪要》，给予黑水县嘉海建设开发有限公司按总费用100%（暨36.5万元）予以补助。2022年12月5日，从东西部协作和对口支援项目资金中拨付23.83万元，本次申请拨付剩余12.67万元。</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rPr>
          <w:rFonts w:hint="default" w:ascii="仿宋_GB2312" w:hAnsi="仿宋_GB2312" w:cs="仿宋_GB2312"/>
          <w:color w:val="auto"/>
          <w:kern w:val="0"/>
          <w:sz w:val="32"/>
          <w:szCs w:val="32"/>
          <w:highlight w:val="none"/>
          <w:u w:val="none"/>
          <w:shd w:val="clear" w:color="auto" w:fill="FFFFFF"/>
          <w:lang w:val="en-US"/>
        </w:rPr>
      </w:pPr>
      <w:r>
        <w:rPr>
          <w:rFonts w:hint="eastAsia" w:ascii="楷体_GB2312" w:hAnsi="宋体" w:eastAsia="楷体_GB2312" w:cs="Times New Roman"/>
          <w:b/>
          <w:color w:val="auto"/>
          <w:sz w:val="32"/>
          <w:szCs w:val="32"/>
          <w:highlight w:val="none"/>
          <w:u w:val="none"/>
          <w:lang w:val="zh-CN" w:eastAsia="zh-CN"/>
        </w:rPr>
        <w:t>（三）</w:t>
      </w:r>
      <w:r>
        <w:rPr>
          <w:rFonts w:hint="default" w:ascii="楷体_GB2312" w:hAnsi="宋体" w:eastAsia="楷体_GB2312" w:cs="Times New Roman"/>
          <w:b/>
          <w:color w:val="auto"/>
          <w:sz w:val="32"/>
          <w:szCs w:val="32"/>
          <w:highlight w:val="none"/>
          <w:u w:val="none"/>
          <w:lang w:val="en-US" w:eastAsia="zh-CN"/>
        </w:rPr>
        <w:t>预算安排及分配管理</w:t>
      </w:r>
      <w:r>
        <w:rPr>
          <w:rFonts w:hint="eastAsia" w:ascii="楷体_GB2312" w:hAnsi="宋体" w:eastAsia="楷体_GB2312" w:cs="Times New Roman"/>
          <w:b/>
          <w:color w:val="auto"/>
          <w:sz w:val="32"/>
          <w:szCs w:val="32"/>
          <w:highlight w:val="none"/>
          <w:u w:val="none"/>
          <w:lang w:val="zh-CN" w:eastAsia="zh-CN"/>
        </w:rPr>
        <w:t>。</w:t>
      </w:r>
      <w:r>
        <w:rPr>
          <w:rFonts w:hint="eastAsia" w:ascii="仿宋_GB2312" w:hAnsi="仿宋_GB2312" w:cs="仿宋_GB2312"/>
          <w:color w:val="auto"/>
          <w:kern w:val="0"/>
          <w:sz w:val="32"/>
          <w:szCs w:val="32"/>
          <w:highlight w:val="none"/>
          <w:u w:val="none"/>
          <w:shd w:val="clear" w:color="auto" w:fill="FFFFFF"/>
          <w:lang w:val="zh-CN" w:eastAsia="zh-CN"/>
        </w:rPr>
        <w:t>按《2021-2025年东西部对口支援消费协作实施方案》中“一事一议”原则，2022年11月15日黑水县人民政府《专题研究关于黑水县网红直播基地资金补助相关事宜的会议纪要》，给予黑水县嘉海建设开发有限公司按总费用100%（暨36.5万元）予以补助。2022年12月5日，从东西部协作和对口支援项目资金中拨付23.83万元，本次申请拨付剩余12.67万元。</w:t>
      </w:r>
    </w:p>
    <w:p>
      <w:pPr>
        <w:keepNext w:val="0"/>
        <w:keepLines w:val="0"/>
        <w:pageBreakBefore w:val="0"/>
        <w:kinsoku/>
        <w:wordWrap/>
        <w:overflowPunct/>
        <w:topLinePunct w:val="0"/>
        <w:autoSpaceDE/>
        <w:autoSpaceDN/>
        <w:bidi w:val="0"/>
        <w:adjustRightInd w:val="0"/>
        <w:snapToGrid w:val="0"/>
        <w:spacing w:line="578" w:lineRule="exact"/>
        <w:ind w:left="0" w:leftChars="0" w:firstLine="642" w:firstLineChars="200"/>
        <w:textAlignment w:val="auto"/>
        <w:rPr>
          <w:rFonts w:hint="default" w:ascii="仿宋_GB2312" w:hAnsi="仿宋_GB2312" w:cs="仿宋_GB2312"/>
          <w:color w:val="auto"/>
          <w:kern w:val="0"/>
          <w:sz w:val="32"/>
          <w:szCs w:val="32"/>
          <w:highlight w:val="none"/>
          <w:u w:val="none"/>
          <w:shd w:val="clear" w:color="auto" w:fill="FFFFFF"/>
          <w:lang w:val="zh-CN" w:eastAsia="zh-CN"/>
        </w:rPr>
      </w:pPr>
      <w:r>
        <w:rPr>
          <w:rFonts w:hint="eastAsia" w:ascii="楷体_GB2312" w:hAnsi="宋体" w:eastAsia="楷体_GB2312" w:cs="Times New Roman"/>
          <w:b/>
          <w:color w:val="auto"/>
          <w:sz w:val="32"/>
          <w:szCs w:val="32"/>
          <w:highlight w:val="none"/>
          <w:u w:val="none"/>
          <w:lang w:val="zh-CN" w:eastAsia="zh-CN"/>
        </w:rPr>
        <w:t>（四）项目绩效目标设置。</w:t>
      </w:r>
      <w:r>
        <w:rPr>
          <w:rFonts w:hint="eastAsia" w:ascii="仿宋_GB2312" w:hAnsi="仿宋_GB2312" w:cs="仿宋_GB2312"/>
          <w:color w:val="auto"/>
          <w:kern w:val="0"/>
          <w:sz w:val="32"/>
          <w:szCs w:val="32"/>
          <w:highlight w:val="none"/>
          <w:u w:val="none"/>
          <w:shd w:val="clear" w:color="auto" w:fill="FFFFFF"/>
          <w:lang w:val="zh-CN" w:eastAsia="zh-CN"/>
        </w:rPr>
        <w:t>为提高黑水旅游文化知名度，进一步拓宽农产品的销售渠道，黑水县嘉海建设开发有限公司在“黑水县网红直播基地”，培育本地网红，网红直播基地自2022年6月18日正式运营以来，共计开展培训5次，培训300人次，孵化带货主播30人；开发本地农特产品15个品种，实现销售额300余万；举办2场“黑水直播电商节”，参加阿坝州农民工技能大赛荣获网络营销师“一等奖”。</w:t>
      </w:r>
    </w:p>
    <w:p>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outlineLvl w:val="9"/>
        <w:rPr>
          <w:rFonts w:hint="eastAsia" w:ascii="黑体" w:hAnsi="宋体" w:eastAsia="黑体"/>
          <w:highlight w:val="none"/>
          <w:lang w:eastAsia="zh-CN"/>
        </w:rPr>
      </w:pPr>
      <w:r>
        <w:rPr>
          <w:rFonts w:hint="eastAsia" w:ascii="黑体" w:hAnsi="宋体" w:eastAsia="黑体"/>
          <w:highlight w:val="none"/>
        </w:rPr>
        <w:t>二、</w:t>
      </w:r>
      <w:r>
        <w:rPr>
          <w:rFonts w:hint="eastAsia" w:ascii="黑体" w:hAnsi="宋体" w:eastAsia="黑体"/>
          <w:highlight w:val="none"/>
          <w:lang w:eastAsia="zh-CN"/>
        </w:rPr>
        <w:t>评价实施</w:t>
      </w:r>
    </w:p>
    <w:p>
      <w:pPr>
        <w:adjustRightInd w:val="0"/>
        <w:snapToGrid w:val="0"/>
        <w:spacing w:line="578" w:lineRule="exact"/>
        <w:ind w:firstLine="642" w:firstLineChars="200"/>
        <w:rPr>
          <w:rFonts w:hint="eastAsia" w:ascii="Times New Roman" w:hAnsi="Times New Roman" w:cs="Times New Roman"/>
          <w:kern w:val="0"/>
          <w:szCs w:val="28"/>
        </w:rPr>
      </w:pPr>
      <w:r>
        <w:rPr>
          <w:rFonts w:hint="eastAsia" w:ascii="楷体_GB2312" w:hAnsi="宋体" w:eastAsia="楷体_GB2312"/>
          <w:b/>
          <w:color w:val="auto"/>
          <w:sz w:val="32"/>
          <w:szCs w:val="32"/>
          <w:highlight w:val="none"/>
          <w:u w:val="none"/>
          <w:lang w:val="zh-CN"/>
        </w:rPr>
        <w:t>（一）评价目的。</w:t>
      </w:r>
      <w:r>
        <w:rPr>
          <w:rFonts w:hint="eastAsia" w:ascii="Times New Roman" w:hAnsi="Times New Roman" w:cs="Times New Roman"/>
          <w:kern w:val="0"/>
          <w:szCs w:val="28"/>
        </w:rPr>
        <w:t>为了进一步规范和加强预算绩效管理和专项资金管理，为项目设立和预算安排提供重要参考依据，提高预算编制科学性、合理性，优化财政支出结构，从源头上防控财政资源配置的低效无效，提高财政资源配置效率和财政资金使用效益，</w:t>
      </w:r>
      <w:r>
        <w:rPr>
          <w:rFonts w:hint="eastAsia" w:ascii="Times New Roman" w:hAnsi="Times New Roman" w:cs="Times New Roman"/>
          <w:kern w:val="0"/>
          <w:szCs w:val="28"/>
          <w:lang w:val="en-US" w:eastAsia="zh-CN"/>
        </w:rPr>
        <w:t>阿坝州财政局</w:t>
      </w:r>
      <w:r>
        <w:rPr>
          <w:rFonts w:hint="eastAsia" w:ascii="Times New Roman" w:hAnsi="Times New Roman" w:cs="Times New Roman"/>
          <w:kern w:val="0"/>
          <w:szCs w:val="28"/>
        </w:rPr>
        <w:t>印发《</w:t>
      </w:r>
      <w:r>
        <w:rPr>
          <w:rFonts w:hint="eastAsia" w:ascii="Times New Roman" w:hAnsi="Times New Roman" w:cs="Times New Roman"/>
          <w:kern w:val="0"/>
          <w:szCs w:val="28"/>
          <w:lang w:val="en-US" w:eastAsia="zh-CN"/>
        </w:rPr>
        <w:t>阿坝州财政局关于开展 2024年州级部门绩效自评工作的</w:t>
      </w:r>
      <w:r>
        <w:rPr>
          <w:rFonts w:hint="eastAsia" w:ascii="Times New Roman" w:hAnsi="Times New Roman" w:cs="Times New Roman"/>
          <w:kern w:val="0"/>
          <w:szCs w:val="28"/>
          <w:lang w:eastAsia="zh-CN"/>
        </w:rPr>
        <w:t>通知</w:t>
      </w:r>
      <w:r>
        <w:rPr>
          <w:rFonts w:hint="eastAsia" w:ascii="Times New Roman" w:hAnsi="Times New Roman" w:cs="Times New Roman"/>
          <w:kern w:val="0"/>
          <w:szCs w:val="28"/>
        </w:rPr>
        <w:t>》（</w:t>
      </w:r>
      <w:r>
        <w:rPr>
          <w:rFonts w:hint="eastAsia" w:ascii="Times New Roman" w:hAnsi="Times New Roman" w:cs="Times New Roman"/>
          <w:kern w:val="0"/>
          <w:szCs w:val="28"/>
          <w:lang w:val="en-US" w:eastAsia="zh-CN"/>
        </w:rPr>
        <w:t>阿州财监绩〔2024〕19号</w:t>
      </w:r>
      <w:r>
        <w:rPr>
          <w:rFonts w:hint="eastAsia" w:ascii="Times New Roman" w:hAnsi="Times New Roman" w:cs="Times New Roman"/>
          <w:kern w:val="0"/>
          <w:szCs w:val="28"/>
        </w:rPr>
        <w:t>），要求</w:t>
      </w:r>
      <w:r>
        <w:rPr>
          <w:rFonts w:hint="eastAsia" w:ascii="Times New Roman" w:hAnsi="Times New Roman" w:cs="Times New Roman"/>
          <w:kern w:val="0"/>
          <w:szCs w:val="28"/>
          <w:lang w:eastAsia="zh-CN"/>
        </w:rPr>
        <w:t>各部门（单位）</w:t>
      </w:r>
      <w:r>
        <w:rPr>
          <w:rFonts w:hint="eastAsia" w:ascii="Times New Roman" w:hAnsi="Times New Roman" w:cs="Times New Roman"/>
          <w:kern w:val="0"/>
          <w:szCs w:val="28"/>
        </w:rPr>
        <w:t>按照</w:t>
      </w:r>
      <w:r>
        <w:rPr>
          <w:rFonts w:hint="eastAsia" w:ascii="Times New Roman" w:hAnsi="Times New Roman" w:cs="Times New Roman"/>
          <w:kern w:val="0"/>
          <w:szCs w:val="28"/>
          <w:lang w:eastAsia="zh-CN"/>
        </w:rPr>
        <w:t>州财政局</w:t>
      </w:r>
      <w:r>
        <w:rPr>
          <w:rFonts w:hint="eastAsia" w:ascii="Times New Roman" w:hAnsi="Times New Roman" w:cs="Times New Roman"/>
          <w:kern w:val="0"/>
          <w:szCs w:val="28"/>
        </w:rPr>
        <w:t>制定的相关制度办法和共性绩效指标框架，建立涵盖项目决策、项目管理、项目实施、项目结果、民生保障五个板块，覆盖所有管理对象，贯穿绩效目标管理、事前评估、事中监控、事后评价以及绩效结果应用全过程的本部门的具体措施、实施细则和指标体系，形成全州全面实施预算绩效管理制度体系格局。通过本次评价总结经验，发现问题，提出改进建议，进一步提升加强项目支出绩效管理水平、提升预算管理水平、提升项目管理水平。</w:t>
      </w:r>
    </w:p>
    <w:p>
      <w:pPr>
        <w:adjustRightInd w:val="0"/>
        <w:snapToGrid w:val="0"/>
        <w:spacing w:line="578" w:lineRule="exact"/>
        <w:ind w:firstLine="642" w:firstLineChars="200"/>
        <w:rPr>
          <w:rFonts w:hint="eastAsia"/>
        </w:rPr>
      </w:pPr>
      <w:r>
        <w:rPr>
          <w:rFonts w:hint="eastAsia" w:ascii="楷体_GB2312" w:hAnsi="宋体" w:eastAsia="楷体_GB2312"/>
          <w:b/>
          <w:lang w:val="zh-CN"/>
        </w:rPr>
        <w:t>（二）预设问题及评价重点。</w:t>
      </w:r>
      <w:r>
        <w:rPr>
          <w:rFonts w:hint="eastAsia"/>
        </w:rPr>
        <w:t xml:space="preserve"> </w:t>
      </w:r>
    </w:p>
    <w:p>
      <w:pPr>
        <w:adjustRightInd w:val="0"/>
        <w:snapToGrid w:val="0"/>
        <w:spacing w:line="578" w:lineRule="exact"/>
        <w:ind w:firstLine="640" w:firstLineChars="200"/>
        <w:rPr>
          <w:rFonts w:ascii="楷体_GB2312" w:hAnsi="宋体" w:eastAsia="楷体_GB2312"/>
          <w:b/>
          <w:lang w:val="zh-CN"/>
        </w:rPr>
      </w:pPr>
      <w:r>
        <w:rPr>
          <w:rFonts w:hint="eastAsia"/>
          <w:kern w:val="0"/>
          <w:szCs w:val="28"/>
        </w:rPr>
        <w:t>本次评价主要针对该项目的规划编制的内容完整性和项目实施工作的质量问题，结合该项目资金的使用情况来</w:t>
      </w:r>
      <w:r>
        <w:rPr>
          <w:rFonts w:hint="eastAsia"/>
          <w:kern w:val="0"/>
          <w:szCs w:val="28"/>
          <w:lang w:eastAsia="zh-CN"/>
        </w:rPr>
        <w:t>完整地体现</w:t>
      </w:r>
      <w:r>
        <w:rPr>
          <w:rFonts w:hint="eastAsia"/>
          <w:kern w:val="0"/>
          <w:szCs w:val="28"/>
        </w:rPr>
        <w:t>。</w:t>
      </w:r>
    </w:p>
    <w:p>
      <w:pPr>
        <w:adjustRightInd w:val="0"/>
        <w:snapToGrid w:val="0"/>
        <w:spacing w:line="578" w:lineRule="exact"/>
        <w:ind w:firstLine="642" w:firstLineChars="200"/>
        <w:rPr>
          <w:rFonts w:hint="eastAsia"/>
          <w:lang w:val="zh-CN"/>
        </w:rPr>
      </w:pPr>
      <w:r>
        <w:rPr>
          <w:rFonts w:hint="eastAsia" w:ascii="楷体_GB2312" w:hAnsi="宋体" w:eastAsia="楷体_GB2312"/>
          <w:b/>
          <w:lang w:val="zh-CN"/>
        </w:rPr>
        <w:t>（三）评价选点。</w:t>
      </w:r>
    </w:p>
    <w:p>
      <w:pPr>
        <w:adjustRightInd w:val="0"/>
        <w:snapToGrid w:val="0"/>
        <w:spacing w:line="578" w:lineRule="exact"/>
        <w:ind w:firstLine="640" w:firstLineChars="200"/>
        <w:rPr>
          <w:rFonts w:hint="eastAsia"/>
          <w:kern w:val="0"/>
          <w:szCs w:val="28"/>
        </w:rPr>
      </w:pPr>
      <w:r>
        <w:rPr>
          <w:rFonts w:hint="eastAsia"/>
          <w:kern w:val="0"/>
          <w:szCs w:val="28"/>
          <w:lang w:val="en-US" w:eastAsia="zh-CN"/>
        </w:rPr>
        <w:t>黑水县网红直播基地资金（捐赠资金）</w:t>
      </w:r>
      <w:r>
        <w:rPr>
          <w:rFonts w:hint="eastAsia"/>
          <w:kern w:val="0"/>
          <w:szCs w:val="28"/>
          <w:lang w:eastAsia="zh-CN"/>
        </w:rPr>
        <w:t>项目</w:t>
      </w:r>
      <w:r>
        <w:rPr>
          <w:rFonts w:hint="eastAsia"/>
          <w:kern w:val="0"/>
          <w:szCs w:val="28"/>
        </w:rPr>
        <w:t>主要开展工作地点为</w:t>
      </w:r>
      <w:r>
        <w:rPr>
          <w:rFonts w:hint="eastAsia"/>
          <w:kern w:val="0"/>
          <w:szCs w:val="28"/>
          <w:lang w:eastAsia="zh-CN"/>
        </w:rPr>
        <w:t>黑水</w:t>
      </w:r>
      <w:r>
        <w:rPr>
          <w:rFonts w:hint="eastAsia"/>
          <w:kern w:val="0"/>
          <w:szCs w:val="28"/>
        </w:rPr>
        <w:t>县，本次绩效评价主体为</w:t>
      </w:r>
      <w:r>
        <w:rPr>
          <w:rFonts w:hint="eastAsia"/>
          <w:kern w:val="0"/>
          <w:szCs w:val="28"/>
          <w:lang w:eastAsia="zh-CN"/>
        </w:rPr>
        <w:t>黑水县财政局</w:t>
      </w:r>
      <w:r>
        <w:rPr>
          <w:rFonts w:hint="eastAsia"/>
          <w:kern w:val="0"/>
          <w:szCs w:val="28"/>
        </w:rPr>
        <w:t>，项目不</w:t>
      </w:r>
      <w:r>
        <w:rPr>
          <w:rFonts w:hint="eastAsia"/>
          <w:kern w:val="0"/>
          <w:szCs w:val="28"/>
          <w:lang w:eastAsia="zh-CN"/>
        </w:rPr>
        <w:t>涉及其他</w:t>
      </w:r>
      <w:r>
        <w:rPr>
          <w:rFonts w:hint="eastAsia"/>
          <w:kern w:val="0"/>
          <w:szCs w:val="28"/>
        </w:rPr>
        <w:t>点位。</w:t>
      </w:r>
    </w:p>
    <w:p>
      <w:pPr>
        <w:spacing w:line="578" w:lineRule="exact"/>
        <w:ind w:firstLine="640"/>
        <w:rPr>
          <w:rFonts w:hint="eastAsia"/>
        </w:rPr>
      </w:pPr>
      <w:r>
        <w:rPr>
          <w:rFonts w:hint="eastAsia" w:ascii="楷体_GB2312" w:hAnsi="宋体" w:eastAsia="楷体_GB2312"/>
          <w:b/>
          <w:lang w:val="zh-CN"/>
        </w:rPr>
        <w:t>（四）评价方法。</w:t>
      </w:r>
    </w:p>
    <w:p>
      <w:pPr>
        <w:adjustRightInd w:val="0"/>
        <w:snapToGrid w:val="0"/>
        <w:spacing w:line="578" w:lineRule="exact"/>
        <w:ind w:firstLine="640" w:firstLineChars="200"/>
        <w:rPr>
          <w:rFonts w:hint="eastAsia"/>
          <w:kern w:val="0"/>
          <w:szCs w:val="28"/>
        </w:rPr>
      </w:pPr>
      <w:r>
        <w:rPr>
          <w:rFonts w:hint="eastAsia"/>
          <w:kern w:val="0"/>
          <w:szCs w:val="28"/>
        </w:rPr>
        <w:t>采用先进的绩效评价方法和科学的数据分析是取得正确客观评价结论的重要保障，评价组从以下方法中择优组织，对项目实施评价，通过定量和定性分析得出评价结论。</w:t>
      </w:r>
    </w:p>
    <w:p>
      <w:pPr>
        <w:adjustRightInd w:val="0"/>
        <w:snapToGrid w:val="0"/>
        <w:spacing w:line="578" w:lineRule="exact"/>
        <w:ind w:firstLine="640" w:firstLineChars="200"/>
        <w:rPr>
          <w:rFonts w:hint="eastAsia"/>
          <w:kern w:val="0"/>
          <w:szCs w:val="28"/>
        </w:rPr>
      </w:pPr>
      <w:r>
        <w:rPr>
          <w:rFonts w:hint="eastAsia"/>
          <w:kern w:val="0"/>
          <w:szCs w:val="28"/>
        </w:rPr>
        <w:t>1.比较分析法。是指通过对绩效目标与实施效果、历史与当期情况、不同部门和地区同类支出的比较，综合分析绩效目标实现程度。</w:t>
      </w:r>
    </w:p>
    <w:p>
      <w:pPr>
        <w:adjustRightInd w:val="0"/>
        <w:snapToGrid w:val="0"/>
        <w:spacing w:line="578" w:lineRule="exact"/>
        <w:ind w:firstLine="640" w:firstLineChars="200"/>
        <w:rPr>
          <w:rFonts w:hint="eastAsia"/>
          <w:kern w:val="0"/>
          <w:szCs w:val="28"/>
        </w:rPr>
      </w:pPr>
      <w:r>
        <w:rPr>
          <w:rFonts w:hint="eastAsia"/>
          <w:kern w:val="0"/>
          <w:szCs w:val="28"/>
        </w:rPr>
        <w:t>2.因素分析法。是指通过综合分析影响绩效目标实现、实施效果的内外因素，评价绩效目标实现程度。</w:t>
      </w:r>
    </w:p>
    <w:p>
      <w:pPr>
        <w:adjustRightInd w:val="0"/>
        <w:snapToGrid w:val="0"/>
        <w:spacing w:line="578" w:lineRule="exact"/>
        <w:ind w:firstLine="640" w:firstLineChars="200"/>
        <w:rPr>
          <w:rFonts w:hint="eastAsia"/>
          <w:kern w:val="0"/>
          <w:szCs w:val="28"/>
        </w:rPr>
      </w:pPr>
      <w:r>
        <w:rPr>
          <w:rFonts w:hint="eastAsia"/>
          <w:kern w:val="0"/>
          <w:szCs w:val="28"/>
        </w:rPr>
        <w:t>3.最低成本分析法。是指对效益确定却不易计量的多个同类对象的实施成本进行比较，评价绩效目标实现程度。</w:t>
      </w:r>
    </w:p>
    <w:p>
      <w:pPr>
        <w:adjustRightInd w:val="0"/>
        <w:snapToGrid w:val="0"/>
        <w:spacing w:line="578" w:lineRule="exact"/>
        <w:ind w:firstLine="640" w:firstLineChars="200"/>
        <w:rPr>
          <w:rFonts w:hint="eastAsia"/>
          <w:kern w:val="0"/>
          <w:szCs w:val="28"/>
        </w:rPr>
      </w:pPr>
      <w:r>
        <w:rPr>
          <w:rFonts w:hint="eastAsia"/>
          <w:kern w:val="0"/>
          <w:szCs w:val="28"/>
        </w:rPr>
        <w:t>4.双重交叉分析法。通过对项目建设前后的比较，根据成效等方面去寻找和分析政策产生的影响。</w:t>
      </w:r>
    </w:p>
    <w:p>
      <w:pPr>
        <w:adjustRightInd w:val="0"/>
        <w:snapToGrid w:val="0"/>
        <w:spacing w:line="578" w:lineRule="exact"/>
        <w:ind w:firstLine="640" w:firstLineChars="200"/>
        <w:rPr>
          <w:kern w:val="0"/>
          <w:szCs w:val="28"/>
        </w:rPr>
      </w:pPr>
      <w:r>
        <w:rPr>
          <w:rFonts w:hint="eastAsia"/>
          <w:kern w:val="0"/>
          <w:szCs w:val="28"/>
        </w:rPr>
        <w:t>5.随机访谈法。针对部分项目负责人及实施主体进行了询问和访谈，如项目实施情况的必要性、可行性和满意度等进行随机访谈。</w:t>
      </w:r>
    </w:p>
    <w:p>
      <w:pPr>
        <w:spacing w:line="578" w:lineRule="exact"/>
        <w:ind w:firstLine="640"/>
        <w:rPr>
          <w:rFonts w:hint="eastAsia"/>
          <w:bCs/>
        </w:rPr>
      </w:pPr>
      <w:r>
        <w:rPr>
          <w:rFonts w:hint="eastAsia" w:ascii="楷体_GB2312" w:hAnsi="宋体" w:eastAsia="楷体_GB2312"/>
          <w:b/>
          <w:lang w:val="zh-CN"/>
        </w:rPr>
        <w:t>（五）评价组织。</w:t>
      </w:r>
    </w:p>
    <w:p>
      <w:pPr>
        <w:adjustRightInd w:val="0"/>
        <w:snapToGrid w:val="0"/>
        <w:spacing w:line="578" w:lineRule="exact"/>
        <w:ind w:firstLine="640" w:firstLineChars="200"/>
        <w:rPr>
          <w:kern w:val="0"/>
          <w:szCs w:val="28"/>
        </w:rPr>
      </w:pPr>
      <w:r>
        <w:rPr>
          <w:rFonts w:hint="eastAsia"/>
          <w:kern w:val="0"/>
          <w:szCs w:val="28"/>
        </w:rPr>
        <w:t>1.</w:t>
      </w:r>
      <w:r>
        <w:rPr>
          <w:kern w:val="0"/>
          <w:szCs w:val="28"/>
        </w:rPr>
        <w:t>领导小组职责：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研究和决定同级政府公共事业管理绩效评价中的重大问题。</w:t>
      </w:r>
    </w:p>
    <w:p>
      <w:pPr>
        <w:adjustRightInd w:val="0"/>
        <w:snapToGrid w:val="0"/>
        <w:spacing w:line="578" w:lineRule="exact"/>
        <w:ind w:firstLine="640" w:firstLineChars="200"/>
        <w:rPr>
          <w:kern w:val="0"/>
          <w:szCs w:val="28"/>
        </w:rPr>
      </w:pPr>
      <w:r>
        <w:rPr>
          <w:rFonts w:hint="eastAsia"/>
          <w:kern w:val="0"/>
          <w:szCs w:val="28"/>
        </w:rPr>
        <w:t>（2）</w:t>
      </w:r>
      <w:r>
        <w:rPr>
          <w:kern w:val="0"/>
          <w:szCs w:val="28"/>
        </w:rPr>
        <w:t>组织协调绩效评价工作，确保评价的顺利进行。</w:t>
      </w:r>
    </w:p>
    <w:p>
      <w:pPr>
        <w:adjustRightInd w:val="0"/>
        <w:snapToGrid w:val="0"/>
        <w:spacing w:line="578" w:lineRule="exact"/>
        <w:ind w:firstLine="640" w:firstLineChars="200"/>
        <w:rPr>
          <w:kern w:val="0"/>
          <w:szCs w:val="28"/>
        </w:rPr>
      </w:pPr>
      <w:r>
        <w:rPr>
          <w:rFonts w:hint="eastAsia"/>
          <w:kern w:val="0"/>
          <w:szCs w:val="28"/>
        </w:rPr>
        <w:t>（3）</w:t>
      </w:r>
      <w:r>
        <w:rPr>
          <w:kern w:val="0"/>
          <w:szCs w:val="28"/>
        </w:rPr>
        <w:t>对各单位的工作目标、绩效考核结果和等次、奖惩方案进行审核，并报同级党委和政府审定。</w:t>
      </w:r>
    </w:p>
    <w:p>
      <w:pPr>
        <w:adjustRightInd w:val="0"/>
        <w:snapToGrid w:val="0"/>
        <w:spacing w:line="578" w:lineRule="exact"/>
        <w:ind w:firstLine="640" w:firstLineChars="200"/>
        <w:rPr>
          <w:kern w:val="0"/>
          <w:szCs w:val="28"/>
        </w:rPr>
      </w:pPr>
      <w:r>
        <w:rPr>
          <w:rFonts w:hint="eastAsia"/>
          <w:kern w:val="0"/>
          <w:szCs w:val="28"/>
        </w:rPr>
        <w:t>2.</w:t>
      </w:r>
      <w:r>
        <w:rPr>
          <w:kern w:val="0"/>
          <w:szCs w:val="28"/>
        </w:rPr>
        <w:t>办公室职责：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提出全省（市、县）政府公共事业管理绩效评价的工作方案，并负责具体组织实施。</w:t>
      </w:r>
    </w:p>
    <w:p>
      <w:pPr>
        <w:adjustRightInd w:val="0"/>
        <w:snapToGrid w:val="0"/>
        <w:spacing w:line="578" w:lineRule="exact"/>
        <w:ind w:firstLine="640" w:firstLineChars="200"/>
        <w:rPr>
          <w:kern w:val="0"/>
          <w:szCs w:val="28"/>
        </w:rPr>
      </w:pPr>
      <w:r>
        <w:rPr>
          <w:rFonts w:hint="eastAsia"/>
          <w:kern w:val="0"/>
          <w:szCs w:val="28"/>
        </w:rPr>
        <w:t>（2）</w:t>
      </w:r>
      <w:r>
        <w:rPr>
          <w:kern w:val="0"/>
          <w:szCs w:val="28"/>
        </w:rPr>
        <w:t>综合评价信息，提出评价结果</w:t>
      </w:r>
      <w:r>
        <w:rPr>
          <w:rFonts w:hint="eastAsia"/>
          <w:kern w:val="0"/>
          <w:szCs w:val="28"/>
          <w:lang w:eastAsia="zh-CN"/>
        </w:rPr>
        <w:t>等</w:t>
      </w:r>
      <w:r>
        <w:rPr>
          <w:kern w:val="0"/>
          <w:szCs w:val="28"/>
        </w:rPr>
        <w:t>次认定方案及奖惩方案等。</w:t>
      </w:r>
    </w:p>
    <w:p>
      <w:pPr>
        <w:adjustRightInd w:val="0"/>
        <w:snapToGrid w:val="0"/>
        <w:spacing w:line="578" w:lineRule="exact"/>
        <w:ind w:firstLine="640" w:firstLineChars="200"/>
        <w:rPr>
          <w:kern w:val="0"/>
          <w:szCs w:val="28"/>
        </w:rPr>
      </w:pPr>
      <w:r>
        <w:rPr>
          <w:rFonts w:hint="eastAsia"/>
          <w:kern w:val="0"/>
          <w:szCs w:val="28"/>
        </w:rPr>
        <w:t>（3）</w:t>
      </w:r>
      <w:r>
        <w:rPr>
          <w:kern w:val="0"/>
          <w:szCs w:val="28"/>
        </w:rPr>
        <w:t>负责绩效评价的日常工作，包括宣传、沟通、协调等。</w:t>
      </w:r>
    </w:p>
    <w:p>
      <w:pPr>
        <w:adjustRightInd w:val="0"/>
        <w:snapToGrid w:val="0"/>
        <w:spacing w:line="578" w:lineRule="exact"/>
        <w:ind w:firstLine="640" w:firstLineChars="200"/>
        <w:rPr>
          <w:kern w:val="0"/>
          <w:szCs w:val="28"/>
        </w:rPr>
      </w:pPr>
      <w:r>
        <w:rPr>
          <w:rFonts w:hint="eastAsia"/>
          <w:kern w:val="0"/>
          <w:szCs w:val="28"/>
        </w:rPr>
        <w:t>（4）</w:t>
      </w:r>
      <w:r>
        <w:rPr>
          <w:kern w:val="0"/>
          <w:szCs w:val="28"/>
        </w:rPr>
        <w:t>根据评价结果撰写绩效评价报告，并递交给领导小组。</w:t>
      </w:r>
    </w:p>
    <w:p>
      <w:pPr>
        <w:adjustRightInd w:val="0"/>
        <w:snapToGrid w:val="0"/>
        <w:spacing w:line="578" w:lineRule="exact"/>
        <w:ind w:firstLine="640" w:firstLineChars="200"/>
        <w:rPr>
          <w:kern w:val="0"/>
          <w:szCs w:val="28"/>
        </w:rPr>
      </w:pPr>
      <w:r>
        <w:rPr>
          <w:rFonts w:hint="eastAsia"/>
          <w:kern w:val="0"/>
          <w:szCs w:val="28"/>
        </w:rPr>
        <w:t>3.</w:t>
      </w:r>
      <w:r>
        <w:rPr>
          <w:kern w:val="0"/>
          <w:szCs w:val="28"/>
        </w:rPr>
        <w:t>具体执行人员职责：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组长：审批绩效自评方案，监督、检查、核实绩效自评结果。</w:t>
      </w:r>
    </w:p>
    <w:p>
      <w:pPr>
        <w:adjustRightInd w:val="0"/>
        <w:snapToGrid w:val="0"/>
        <w:spacing w:line="578" w:lineRule="exact"/>
        <w:ind w:firstLine="640" w:firstLineChars="200"/>
        <w:rPr>
          <w:kern w:val="0"/>
          <w:szCs w:val="28"/>
        </w:rPr>
      </w:pPr>
      <w:r>
        <w:rPr>
          <w:rFonts w:hint="eastAsia"/>
          <w:kern w:val="0"/>
          <w:szCs w:val="28"/>
        </w:rPr>
        <w:t>（2）</w:t>
      </w:r>
      <w:r>
        <w:rPr>
          <w:kern w:val="0"/>
          <w:szCs w:val="28"/>
        </w:rPr>
        <w:t>副组长：审核修改拟定的绩效自评方案，并提交考评工作组会议讨论通过；监督、部署、确认绩效自评过程及反馈意见的处理。</w:t>
      </w:r>
    </w:p>
    <w:p>
      <w:pPr>
        <w:adjustRightInd w:val="0"/>
        <w:snapToGrid w:val="0"/>
        <w:spacing w:line="578" w:lineRule="exact"/>
        <w:ind w:firstLine="640" w:firstLineChars="200"/>
        <w:rPr>
          <w:rFonts w:hint="eastAsia" w:eastAsia="仿宋_GB2312" w:cs="Times New Roman"/>
          <w:bCs/>
          <w:lang w:eastAsia="zh-CN"/>
        </w:rPr>
      </w:pPr>
      <w:r>
        <w:rPr>
          <w:rFonts w:hint="eastAsia"/>
          <w:kern w:val="0"/>
          <w:szCs w:val="28"/>
        </w:rPr>
        <w:t>（3）</w:t>
      </w:r>
      <w:r>
        <w:rPr>
          <w:kern w:val="0"/>
          <w:szCs w:val="28"/>
        </w:rPr>
        <w:t>小组成员：起草和修改绩效考评方案报自评领导工作组会议讨论通过，实施执行绩效自评方案；牵头组织并实施年度绩效自评，根据组长、副组长指示，对考评结果进行复核，完成绩效自核工作组安排的其他工作。</w:t>
      </w:r>
    </w:p>
    <w:p>
      <w:pPr>
        <w:keepNext w:val="0"/>
        <w:keepLines w:val="0"/>
        <w:pageBreakBefore w:val="0"/>
        <w:kinsoku/>
        <w:wordWrap/>
        <w:overflowPunct/>
        <w:topLinePunct w:val="0"/>
        <w:autoSpaceDE/>
        <w:autoSpaceDN/>
        <w:bidi w:val="0"/>
        <w:adjustRightInd w:val="0"/>
        <w:snapToGrid w:val="0"/>
        <w:spacing w:line="578" w:lineRule="exact"/>
        <w:ind w:firstLine="640" w:firstLineChars="200"/>
        <w:textAlignment w:val="auto"/>
        <w:rPr>
          <w:rFonts w:ascii="仿宋_GB2312" w:hAnsi="宋体"/>
          <w:color w:val="auto"/>
          <w:sz w:val="32"/>
          <w:szCs w:val="32"/>
          <w:highlight w:val="none"/>
          <w:u w:val="none"/>
          <w:lang w:val="zh-CN"/>
        </w:rPr>
      </w:pPr>
      <w:r>
        <w:rPr>
          <w:rFonts w:hint="eastAsia" w:ascii="黑体" w:hAnsi="宋体" w:eastAsia="黑体"/>
          <w:color w:val="auto"/>
          <w:sz w:val="32"/>
          <w:szCs w:val="32"/>
          <w:highlight w:val="none"/>
          <w:u w:val="none"/>
        </w:rPr>
        <w:t>三、</w:t>
      </w:r>
      <w:r>
        <w:rPr>
          <w:rFonts w:hint="eastAsia" w:ascii="黑体" w:hAnsi="宋体" w:eastAsia="黑体"/>
          <w:color w:val="auto"/>
          <w:sz w:val="32"/>
          <w:szCs w:val="32"/>
          <w:highlight w:val="none"/>
          <w:u w:val="none"/>
          <w:lang w:eastAsia="zh-CN"/>
        </w:rPr>
        <w:t>绩效分析</w:t>
      </w:r>
      <w:r>
        <w:rPr>
          <w:rFonts w:hint="eastAsia" w:ascii="仿宋_GB2312" w:hAnsi="宋体"/>
          <w:color w:val="auto"/>
          <w:sz w:val="32"/>
          <w:szCs w:val="32"/>
          <w:highlight w:val="none"/>
          <w:u w:val="none"/>
          <w:lang w:val="zh-CN"/>
        </w:rPr>
        <w:tab/>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eastAsia="仿宋_GB2312" w:cs="Times New Roman"/>
          <w:szCs w:val="32"/>
          <w:lang w:val="en-US" w:eastAsia="zh-CN"/>
        </w:rPr>
      </w:pPr>
      <w:r>
        <w:rPr>
          <w:rFonts w:hint="default" w:eastAsia="仿宋_GB2312" w:cs="Times New Roman"/>
          <w:szCs w:val="32"/>
          <w:lang w:val="zh-CN" w:eastAsia="zh-CN"/>
        </w:rPr>
        <w:t>根据</w:t>
      </w:r>
      <w:r>
        <w:rPr>
          <w:rFonts w:hint="eastAsia" w:eastAsia="仿宋_GB2312" w:cs="Times New Roman"/>
          <w:szCs w:val="32"/>
          <w:lang w:val="zh-CN" w:eastAsia="zh-CN"/>
        </w:rPr>
        <w:t>项目</w:t>
      </w:r>
      <w:r>
        <w:rPr>
          <w:rFonts w:hint="default" w:eastAsia="仿宋_GB2312" w:cs="Times New Roman"/>
          <w:szCs w:val="32"/>
          <w:lang w:val="zh-CN" w:eastAsia="zh-CN"/>
        </w:rPr>
        <w:t>预算绩效评价指标体系“</w:t>
      </w:r>
      <w:r>
        <w:rPr>
          <w:rFonts w:hint="eastAsia" w:eastAsia="仿宋_GB2312" w:cs="Times New Roman"/>
          <w:szCs w:val="32"/>
          <w:lang w:val="zh-CN" w:eastAsia="zh-CN"/>
        </w:rPr>
        <w:t>通用指标</w:t>
      </w:r>
      <w:r>
        <w:rPr>
          <w:rFonts w:hint="default" w:eastAsia="仿宋_GB2312" w:cs="Times New Roman"/>
          <w:szCs w:val="32"/>
          <w:lang w:val="zh-CN" w:eastAsia="zh-CN"/>
        </w:rPr>
        <w:t>”</w:t>
      </w:r>
      <w:r>
        <w:rPr>
          <w:rFonts w:hint="eastAsia" w:eastAsia="仿宋_GB2312" w:cs="Times New Roman"/>
          <w:szCs w:val="32"/>
          <w:lang w:val="zh-CN" w:eastAsia="zh-CN"/>
        </w:rPr>
        <w:t>“专用指标”“个性指标”</w:t>
      </w:r>
      <w:r>
        <w:rPr>
          <w:rFonts w:hint="default" w:eastAsia="仿宋_GB2312" w:cs="Times New Roman"/>
          <w:szCs w:val="32"/>
          <w:lang w:val="zh-CN" w:eastAsia="zh-CN"/>
        </w:rPr>
        <w:t>涉及</w:t>
      </w:r>
      <w:r>
        <w:rPr>
          <w:rFonts w:hint="eastAsia" w:eastAsia="仿宋_GB2312" w:cs="Times New Roman"/>
          <w:szCs w:val="32"/>
          <w:lang w:val="zh-CN" w:eastAsia="zh-CN"/>
        </w:rPr>
        <w:t>二、三级</w:t>
      </w:r>
      <w:r>
        <w:rPr>
          <w:rFonts w:hint="default" w:eastAsia="仿宋_GB2312" w:cs="Times New Roman"/>
          <w:szCs w:val="32"/>
          <w:lang w:val="zh-CN" w:eastAsia="zh-CN"/>
        </w:rPr>
        <w:t>指标进行</w:t>
      </w:r>
      <w:r>
        <w:rPr>
          <w:rFonts w:hint="eastAsia" w:eastAsia="仿宋_GB2312" w:cs="Times New Roman"/>
          <w:szCs w:val="32"/>
          <w:lang w:val="zh-CN" w:eastAsia="zh-CN"/>
        </w:rPr>
        <w:t>逐项</w:t>
      </w:r>
      <w:r>
        <w:rPr>
          <w:rFonts w:hint="default" w:eastAsia="仿宋_GB2312" w:cs="Times New Roman"/>
          <w:szCs w:val="32"/>
          <w:lang w:val="zh-CN" w:eastAsia="zh-CN"/>
        </w:rPr>
        <w:t>绩效分析</w:t>
      </w:r>
      <w:r>
        <w:rPr>
          <w:rFonts w:hint="eastAsia" w:eastAsia="仿宋_GB2312" w:cs="Times New Roman"/>
          <w:szCs w:val="32"/>
          <w:lang w:val="zh-CN" w:eastAsia="zh-CN"/>
        </w:rPr>
        <w:t>并评分</w:t>
      </w:r>
      <w:r>
        <w:rPr>
          <w:rFonts w:hint="eastAsia" w:cs="Times New Roman"/>
          <w:szCs w:val="32"/>
          <w:lang w:val="en-US" w:eastAsia="zh-CN"/>
        </w:rPr>
        <w:t>。</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highlight w:val="none"/>
          <w:lang w:val="zh-CN" w:eastAsia="zh-CN"/>
        </w:rPr>
      </w:pPr>
      <w:r>
        <w:rPr>
          <w:rFonts w:hint="eastAsia" w:ascii="楷体_GB2312" w:eastAsia="楷体_GB2312" w:cs="Times New Roman"/>
          <w:b/>
          <w:color w:val="auto"/>
          <w:sz w:val="32"/>
          <w:szCs w:val="32"/>
          <w:highlight w:val="none"/>
          <w:u w:val="none"/>
          <w:lang w:val="zh-CN"/>
        </w:rPr>
        <w:t>（一）</w:t>
      </w:r>
      <w:r>
        <w:rPr>
          <w:rFonts w:hint="eastAsia" w:ascii="楷体_GB2312" w:eastAsia="楷体_GB2312" w:cs="Times New Roman"/>
          <w:b/>
          <w:color w:val="auto"/>
          <w:sz w:val="32"/>
          <w:szCs w:val="32"/>
          <w:highlight w:val="none"/>
          <w:u w:val="none"/>
          <w:lang w:val="en-US" w:eastAsia="zh-CN"/>
        </w:rPr>
        <w:t>通用指标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ascii="仿宋_GB2312" w:cs="仿宋"/>
          <w:lang w:val="zh-CN" w:eastAsia="zh-CN"/>
        </w:rPr>
        <w:t>分值54分，自评打分5</w:t>
      </w:r>
      <w:r>
        <w:rPr>
          <w:rFonts w:hint="eastAsia" w:ascii="仿宋_GB2312" w:cs="仿宋"/>
          <w:lang w:val="en-US" w:eastAsia="zh-CN"/>
        </w:rPr>
        <w:t>4</w:t>
      </w:r>
      <w:r>
        <w:rPr>
          <w:rFonts w:hint="eastAsia" w:ascii="仿宋_GB2312" w:cs="仿宋"/>
          <w:lang w:val="zh-CN" w:eastAsia="zh-CN"/>
        </w:rPr>
        <w:t>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1.项目决策。分值18分，自评打分1</w:t>
      </w:r>
      <w:r>
        <w:rPr>
          <w:rFonts w:hint="eastAsia" w:ascii="仿宋_GB2312" w:cs="仿宋"/>
          <w:lang w:val="en-US" w:eastAsia="zh-CN"/>
        </w:rPr>
        <w:t>8</w:t>
      </w:r>
      <w:r>
        <w:rPr>
          <w:rFonts w:hint="eastAsia" w:ascii="仿宋_GB2312" w:cs="仿宋"/>
          <w:lang w:val="zh-CN" w:eastAsia="zh-CN"/>
        </w:rPr>
        <w:t>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决策程序项目设立、调整延续等方面符合资金管理基本规范和决策程序要求，分值6分，自评打分6分。</w:t>
      </w:r>
    </w:p>
    <w:p>
      <w:pPr>
        <w:keepNext w:val="0"/>
        <w:keepLines w:val="0"/>
        <w:pageBreakBefore w:val="0"/>
        <w:widowControl w:val="0"/>
        <w:kinsoku/>
        <w:wordWrap/>
        <w:overflowPunct/>
        <w:topLinePunct w:val="0"/>
        <w:autoSpaceDE/>
        <w:autoSpaceDN/>
        <w:spacing w:line="578" w:lineRule="exact"/>
        <w:ind w:firstLine="639"/>
        <w:rPr>
          <w:rFonts w:hint="eastAsia" w:ascii="仿宋_GB2312" w:cs="仿宋"/>
          <w:lang w:val="zh-CN" w:eastAsia="zh-CN" w:bidi="ar-SA"/>
        </w:rPr>
      </w:pPr>
      <w:r>
        <w:rPr>
          <w:rFonts w:hint="eastAsia" w:ascii="仿宋_GB2312" w:cs="仿宋"/>
          <w:lang w:val="zh-CN" w:eastAsia="zh-CN" w:bidi="ar-SA"/>
        </w:rPr>
        <w:t>规划论证：项目规划论证是否符合中央、省委要求，项目绩效目标设置较为科学合理，分值6分，自评打分</w:t>
      </w:r>
      <w:r>
        <w:rPr>
          <w:rFonts w:hint="eastAsia" w:ascii="仿宋_GB2312" w:cs="仿宋"/>
          <w:lang w:val="en-US" w:eastAsia="zh-CN" w:bidi="ar-SA"/>
        </w:rPr>
        <w:t>6</w:t>
      </w:r>
      <w:r>
        <w:rPr>
          <w:rFonts w:hint="eastAsia" w:ascii="仿宋_GB2312" w:cs="仿宋"/>
          <w:lang w:val="zh-CN" w:eastAsia="zh-CN" w:bidi="ar-SA"/>
        </w:rPr>
        <w:t>分。</w:t>
      </w:r>
    </w:p>
    <w:p>
      <w:pPr>
        <w:keepNext w:val="0"/>
        <w:keepLines w:val="0"/>
        <w:pageBreakBefore w:val="0"/>
        <w:widowControl w:val="0"/>
        <w:kinsoku/>
        <w:wordWrap/>
        <w:overflowPunct/>
        <w:topLinePunct w:val="0"/>
        <w:autoSpaceDE/>
        <w:autoSpaceDN/>
        <w:spacing w:line="578" w:lineRule="exact"/>
        <w:ind w:left="0" w:firstLine="669"/>
        <w:rPr>
          <w:rFonts w:hint="eastAsia" w:ascii="仿宋_GB2312" w:cs="仿宋"/>
          <w:lang w:val="zh-CN" w:eastAsia="zh-CN"/>
        </w:rPr>
      </w:pPr>
      <w:r>
        <w:rPr>
          <w:rFonts w:hint="eastAsia" w:ascii="仿宋_GB2312" w:cs="仿宋"/>
          <w:lang w:val="zh-CN" w:eastAsia="zh-CN" w:bidi="ar-SA"/>
        </w:rPr>
        <w:t>资金投向：项目资金与项目总体规划、相关行业事业发展相匹配，分值6分，自评打分6分。</w:t>
      </w:r>
    </w:p>
    <w:p>
      <w:pPr>
        <w:keepNext w:val="0"/>
        <w:keepLines w:val="0"/>
        <w:pageBreakBefore w:val="0"/>
        <w:widowControl w:val="0"/>
        <w:kinsoku/>
        <w:wordWrap/>
        <w:overflowPunct/>
        <w:topLinePunct w:val="0"/>
        <w:autoSpaceDE/>
        <w:autoSpaceDN/>
        <w:spacing w:line="578" w:lineRule="exact"/>
        <w:ind w:left="0" w:firstLine="640"/>
        <w:rPr>
          <w:rFonts w:hint="eastAsia" w:ascii="仿宋_GB2312" w:cs="仿宋"/>
          <w:lang w:val="zh-CN" w:eastAsia="zh-CN"/>
        </w:rPr>
      </w:pPr>
      <w:r>
        <w:rPr>
          <w:rFonts w:hint="eastAsia" w:ascii="仿宋_GB2312" w:cs="仿宋"/>
          <w:lang w:val="zh-CN" w:eastAsia="zh-CN"/>
        </w:rPr>
        <w:t>2.项目管理。A.制度办法：项目制度办法体系健全、要素完备，分值2分，自评打分2分。B.项目管理。围绕制度办法、分配管理、绩效监管进行绩效分析。1.因素分配法：资金分配因素选取充分考虑相关行业事业发展实际和发展需求；资金分配因素的权重设置有效突出项目实施重点；资金区域分布结果公平合理。项目分配法：建设项目储备库，实行入库项目动态管理、推动资金竞争性分配；明确项目申报审核程序，按规定程序履行项目审批。其他分配法：资金分配依据充分合理。2.资金分配严格按管理办法执行，决策程序符合管理要求，及时高效。分值10分，自评打分10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C.绩效监管:管资金、项目、政策并管绩效，项目绩效监管按要求开展，对下指导有力有效。分值6分，自评打分6分。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3.项目实施。分值9分，自评打分9分。预算执行：项目资金财政拨付、单位执行和地方配套到位相结合，捐赠资金到位</w:t>
      </w:r>
      <w:r>
        <w:rPr>
          <w:rFonts w:hint="eastAsia" w:ascii="仿宋_GB2312" w:cs="仿宋"/>
          <w:lang w:val="en-US" w:eastAsia="zh-CN"/>
        </w:rPr>
        <w:t>12.67</w:t>
      </w:r>
      <w:r>
        <w:rPr>
          <w:rFonts w:hint="eastAsia" w:ascii="仿宋_GB2312" w:cs="仿宋"/>
          <w:lang w:val="zh-CN" w:eastAsia="zh-CN"/>
        </w:rPr>
        <w:t>万元，分值6分，自评打分6分。资金使用：专款专用、按时拨付，分值3分，自评打分3分。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4.项目结果。分值9分，自评打分9分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rPr>
        <w:t>项目完成预期目标，实施结果与绩效目标相匹配，目标实现程度100%。分值6分，自评打分6分。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eastAsia="zh-CN"/>
        </w:rPr>
      </w:pPr>
      <w:r>
        <w:rPr>
          <w:rFonts w:hint="eastAsia" w:ascii="仿宋_GB2312" w:cs="仿宋"/>
          <w:lang w:val="zh-CN" w:eastAsia="zh-CN" w:bidi="ar-SA"/>
        </w:rPr>
        <w:t>完成时效：项目实际完成时间与计划完成时间一致，分值，</w:t>
      </w:r>
      <w:r>
        <w:rPr>
          <w:rFonts w:hint="eastAsia" w:ascii="仿宋_GB2312" w:cs="仿宋"/>
          <w:lang w:val="zh-CN" w:eastAsia="zh-CN"/>
        </w:rPr>
        <w:t>分值,3分，自评打分3分。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rPr>
      </w:pPr>
      <w:r>
        <w:rPr>
          <w:rFonts w:hint="eastAsia" w:ascii="楷体_GB2312" w:eastAsia="楷体_GB2312" w:cs="Times New Roman"/>
          <w:b/>
          <w:color w:val="auto"/>
          <w:sz w:val="32"/>
          <w:szCs w:val="32"/>
          <w:highlight w:val="none"/>
          <w:u w:val="none"/>
          <w:lang w:val="zh-CN"/>
        </w:rPr>
        <w:t>（二）</w:t>
      </w:r>
      <w:r>
        <w:rPr>
          <w:rFonts w:hint="eastAsia" w:ascii="楷体_GB2312" w:eastAsia="楷体_GB2312" w:cs="Times New Roman"/>
          <w:b/>
          <w:color w:val="auto"/>
          <w:sz w:val="32"/>
          <w:szCs w:val="32"/>
          <w:highlight w:val="none"/>
          <w:u w:val="none"/>
          <w:lang w:val="en-US" w:eastAsia="zh-CN"/>
        </w:rPr>
        <w:t>专用指标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eastAsia="楷体_GB2312" w:cs="Times New Roman"/>
          <w:b/>
          <w:bCs/>
          <w:color w:val="000000"/>
          <w:kern w:val="0"/>
          <w:szCs w:val="32"/>
          <w:highlight w:val="none"/>
          <w:shd w:val="clear" w:color="auto" w:fill="FFFFFF"/>
          <w:lang w:val="zh-CN"/>
        </w:rPr>
        <w:t>分值</w:t>
      </w:r>
      <w:r>
        <w:rPr>
          <w:rFonts w:hint="eastAsia" w:eastAsia="楷体_GB2312" w:cs="Times New Roman"/>
          <w:b/>
          <w:bCs/>
          <w:color w:val="000000"/>
          <w:kern w:val="0"/>
          <w:szCs w:val="32"/>
          <w:highlight w:val="none"/>
          <w:shd w:val="clear" w:color="auto" w:fill="FFFFFF"/>
          <w:lang w:val="en-US" w:eastAsia="zh-CN"/>
        </w:rPr>
        <w:t>30分，自评打分28分。</w:t>
      </w:r>
    </w:p>
    <w:p>
      <w:pPr>
        <w:keepNext w:val="0"/>
        <w:keepLines w:val="0"/>
        <w:pageBreakBefore w:val="0"/>
        <w:widowControl w:val="0"/>
        <w:kinsoku/>
        <w:wordWrap/>
        <w:overflowPunct/>
        <w:topLinePunct w:val="0"/>
        <w:autoSpaceDE/>
        <w:autoSpaceDN/>
        <w:spacing w:line="578" w:lineRule="exact"/>
        <w:ind w:left="0" w:firstLine="654"/>
        <w:rPr>
          <w:rFonts w:hint="eastAsia" w:ascii="仿宋_GB2312" w:cs="仿宋"/>
          <w:lang w:val="zh-CN"/>
        </w:rPr>
      </w:pPr>
      <w:r>
        <w:rPr>
          <w:rFonts w:hint="eastAsia" w:ascii="仿宋_GB2312" w:cs="仿宋"/>
          <w:lang w:val="zh-CN"/>
        </w:rPr>
        <w:t>产业发展。</w:t>
      </w:r>
    </w:p>
    <w:p>
      <w:pPr>
        <w:keepNext w:val="0"/>
        <w:keepLines w:val="0"/>
        <w:pageBreakBefore w:val="0"/>
        <w:widowControl w:val="0"/>
        <w:kinsoku/>
        <w:wordWrap/>
        <w:overflowPunct/>
        <w:topLinePunct w:val="0"/>
        <w:autoSpaceDE/>
        <w:autoSpaceDN/>
        <w:spacing w:line="578" w:lineRule="exact"/>
        <w:ind w:firstLine="640"/>
        <w:rPr>
          <w:rFonts w:hint="eastAsia"/>
          <w:kern w:val="0"/>
          <w:szCs w:val="28"/>
          <w:lang w:eastAsia="zh-CN"/>
        </w:rPr>
      </w:pPr>
      <w:r>
        <w:rPr>
          <w:rFonts w:hint="eastAsia"/>
          <w:kern w:val="0"/>
          <w:szCs w:val="28"/>
          <w:lang w:val="en-US" w:eastAsia="zh-CN"/>
        </w:rPr>
        <w:t>1.</w:t>
      </w:r>
      <w:r>
        <w:rPr>
          <w:rFonts w:hint="eastAsia"/>
          <w:kern w:val="0"/>
          <w:szCs w:val="28"/>
          <w:lang w:eastAsia="zh-CN"/>
        </w:rPr>
        <w:t>符合性。</w:t>
      </w:r>
      <w:r>
        <w:rPr>
          <w:rFonts w:hint="eastAsia"/>
          <w:kern w:val="0"/>
          <w:szCs w:val="28"/>
        </w:rPr>
        <w:t>项目实施是</w:t>
      </w:r>
      <w:r>
        <w:rPr>
          <w:rFonts w:hint="eastAsia"/>
          <w:kern w:val="0"/>
          <w:szCs w:val="28"/>
          <w:lang w:eastAsia="zh-CN"/>
        </w:rPr>
        <w:t>符合</w:t>
      </w:r>
      <w:r>
        <w:rPr>
          <w:rFonts w:hint="eastAsia"/>
          <w:kern w:val="0"/>
          <w:szCs w:val="28"/>
        </w:rPr>
        <w:t>与省委省政府支持重点、产业支持政策符合</w:t>
      </w:r>
      <w:r>
        <w:rPr>
          <w:rFonts w:hint="eastAsia"/>
          <w:kern w:val="0"/>
          <w:szCs w:val="28"/>
          <w:lang w:eastAsia="zh-CN"/>
        </w:rPr>
        <w:t>，资金补助</w:t>
      </w:r>
      <w:r>
        <w:rPr>
          <w:rFonts w:hint="eastAsia"/>
          <w:kern w:val="0"/>
          <w:szCs w:val="28"/>
        </w:rPr>
        <w:t>符合支持对象范围</w:t>
      </w:r>
      <w:r>
        <w:rPr>
          <w:rFonts w:hint="eastAsia"/>
          <w:kern w:val="0"/>
          <w:szCs w:val="28"/>
          <w:lang w:eastAsia="zh-CN"/>
        </w:rPr>
        <w:t>。</w:t>
      </w:r>
      <w:r>
        <w:rPr>
          <w:rFonts w:hint="eastAsia" w:ascii="仿宋_GB2312" w:cs="仿宋"/>
          <w:lang w:val="zh-CN"/>
        </w:rPr>
        <w:t>分值10分，自评打分</w:t>
      </w:r>
      <w:r>
        <w:rPr>
          <w:rFonts w:hint="eastAsia" w:ascii="仿宋_GB2312" w:cs="仿宋"/>
          <w:lang w:val="en-US" w:eastAsia="zh-CN"/>
        </w:rPr>
        <w:t>10</w:t>
      </w:r>
      <w:r>
        <w:rPr>
          <w:rFonts w:hint="eastAsia" w:ascii="仿宋_GB2312" w:cs="仿宋"/>
          <w:lang w:val="zh-CN"/>
        </w:rPr>
        <w:t>分</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0" w:firstLineChars="200"/>
        <w:contextualSpacing/>
        <w:jc w:val="left"/>
        <w:textAlignment w:val="auto"/>
        <w:rPr>
          <w:rFonts w:hint="eastAsia"/>
          <w:kern w:val="0"/>
          <w:szCs w:val="28"/>
          <w:lang w:eastAsia="zh-CN"/>
        </w:rPr>
      </w:pPr>
      <w:r>
        <w:rPr>
          <w:rFonts w:hint="eastAsia"/>
          <w:kern w:val="0"/>
          <w:szCs w:val="28"/>
          <w:lang w:val="en-US" w:eastAsia="zh-CN"/>
        </w:rPr>
        <w:t>2.</w:t>
      </w:r>
      <w:r>
        <w:rPr>
          <w:rFonts w:hint="eastAsia"/>
          <w:kern w:val="0"/>
          <w:szCs w:val="28"/>
          <w:lang w:eastAsia="zh-CN"/>
        </w:rPr>
        <w:t>成长性。项目实施</w:t>
      </w:r>
      <w:r>
        <w:rPr>
          <w:rFonts w:hint="eastAsia" w:ascii="仿宋_GB2312" w:hAnsi="仿宋_GB2312" w:cs="仿宋_GB2312"/>
          <w:color w:val="auto"/>
          <w:kern w:val="0"/>
          <w:sz w:val="32"/>
          <w:szCs w:val="32"/>
          <w:highlight w:val="none"/>
          <w:u w:val="none"/>
          <w:shd w:val="clear" w:color="auto" w:fill="FFFFFF"/>
          <w:lang w:val="zh-CN" w:eastAsia="zh-CN"/>
        </w:rPr>
        <w:t>提高黑水旅游文化知名度，进一步拓宽农产品的销售渠道</w:t>
      </w:r>
      <w:r>
        <w:rPr>
          <w:rFonts w:hint="eastAsia" w:ascii="仿宋_GB2312" w:hAnsi="仿宋_GB2312" w:cs="仿宋_GB2312"/>
          <w:i w:val="0"/>
          <w:iCs w:val="0"/>
          <w:caps w:val="0"/>
          <w:spacing w:val="7"/>
          <w:sz w:val="32"/>
          <w:szCs w:val="32"/>
          <w:shd w:val="clear" w:fill="FFFFFF"/>
          <w:lang w:eastAsia="zh-CN"/>
        </w:rPr>
        <w:t>。</w:t>
      </w:r>
      <w:r>
        <w:rPr>
          <w:rFonts w:hint="eastAsia" w:ascii="仿宋_GB2312" w:cs="仿宋"/>
          <w:lang w:val="zh-CN" w:eastAsia="zh-CN"/>
        </w:rPr>
        <w:t>分值10分，自评打分10分</w:t>
      </w:r>
    </w:p>
    <w:p>
      <w:pPr>
        <w:adjustRightInd w:val="0"/>
        <w:snapToGrid w:val="0"/>
        <w:spacing w:line="578" w:lineRule="exact"/>
        <w:ind w:firstLine="640" w:firstLineChars="200"/>
        <w:rPr>
          <w:rFonts w:hint="eastAsia"/>
          <w:kern w:val="0"/>
          <w:szCs w:val="28"/>
          <w:lang w:eastAsia="zh-CN"/>
        </w:rPr>
      </w:pPr>
      <w:r>
        <w:rPr>
          <w:rFonts w:hint="eastAsia"/>
          <w:kern w:val="0"/>
          <w:szCs w:val="28"/>
          <w:lang w:val="en-US" w:eastAsia="zh-CN"/>
        </w:rPr>
        <w:t>3.</w:t>
      </w:r>
      <w:r>
        <w:rPr>
          <w:rFonts w:hint="eastAsia"/>
          <w:kern w:val="0"/>
          <w:szCs w:val="28"/>
          <w:lang w:eastAsia="zh-CN"/>
        </w:rPr>
        <w:t>经济性。该项目带动了企业主营业务收入增长，</w:t>
      </w:r>
      <w:r>
        <w:rPr>
          <w:rFonts w:hint="eastAsia" w:ascii="仿宋_GB2312" w:cs="仿宋"/>
          <w:lang w:val="zh-CN" w:eastAsia="zh-CN"/>
        </w:rPr>
        <w:t>分值10分，自评打分</w:t>
      </w:r>
      <w:r>
        <w:rPr>
          <w:rFonts w:hint="eastAsia" w:ascii="仿宋_GB2312" w:cs="仿宋"/>
          <w:lang w:val="en-US" w:eastAsia="zh-CN"/>
        </w:rPr>
        <w:t>8</w:t>
      </w:r>
      <w:r>
        <w:rPr>
          <w:rFonts w:hint="eastAsia" w:ascii="仿宋_GB2312" w:cs="仿宋"/>
          <w:lang w:val="zh-CN" w:eastAsia="zh-CN"/>
        </w:rPr>
        <w:t>分</w:t>
      </w:r>
    </w:p>
    <w:p>
      <w:pPr>
        <w:adjustRightInd w:val="0"/>
        <w:snapToGrid w:val="0"/>
        <w:spacing w:line="578" w:lineRule="exact"/>
        <w:ind w:firstLine="642" w:firstLineChars="200"/>
        <w:rPr>
          <w:rFonts w:ascii="Times New Roman" w:hAnsi="Times New Roman" w:eastAsia="楷体_GB2312" w:cs="Times New Roman"/>
          <w:b/>
          <w:bCs/>
          <w:color w:val="000000"/>
          <w:kern w:val="0"/>
          <w:szCs w:val="32"/>
          <w:highlight w:val="none"/>
          <w:shd w:val="clear" w:color="auto" w:fill="FFFFFF"/>
          <w:lang w:val="zh-CN"/>
        </w:rPr>
      </w:pPr>
      <w:r>
        <w:rPr>
          <w:rFonts w:hint="eastAsia" w:ascii="楷体_GB2312" w:eastAsia="楷体_GB2312" w:cs="Times New Roman"/>
          <w:b/>
          <w:color w:val="auto"/>
          <w:sz w:val="32"/>
          <w:szCs w:val="32"/>
          <w:highlight w:val="none"/>
          <w:u w:val="none"/>
          <w:lang w:val="zh-CN"/>
        </w:rPr>
        <w:t>（三）</w:t>
      </w:r>
      <w:r>
        <w:rPr>
          <w:rFonts w:hint="eastAsia" w:ascii="楷体_GB2312" w:eastAsia="楷体_GB2312" w:cs="Times New Roman"/>
          <w:b/>
          <w:color w:val="auto"/>
          <w:sz w:val="32"/>
          <w:szCs w:val="32"/>
          <w:highlight w:val="none"/>
          <w:u w:val="none"/>
          <w:lang w:val="en-US" w:eastAsia="zh-CN"/>
        </w:rPr>
        <w:t>个性指标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eastAsia="楷体_GB2312" w:cs="Times New Roman"/>
          <w:b/>
          <w:bCs/>
          <w:color w:val="000000"/>
          <w:kern w:val="0"/>
          <w:szCs w:val="32"/>
          <w:highlight w:val="none"/>
          <w:shd w:val="clear" w:color="auto" w:fill="FFFFFF"/>
          <w:lang w:val="zh-CN"/>
        </w:rPr>
        <w:t>分值</w:t>
      </w:r>
      <w:r>
        <w:rPr>
          <w:rFonts w:hint="eastAsia" w:eastAsia="楷体_GB2312" w:cs="Times New Roman"/>
          <w:b/>
          <w:bCs/>
          <w:color w:val="000000"/>
          <w:kern w:val="0"/>
          <w:szCs w:val="32"/>
          <w:highlight w:val="none"/>
          <w:shd w:val="clear" w:color="auto" w:fill="FFFFFF"/>
          <w:lang w:val="en-US" w:eastAsia="zh-CN"/>
        </w:rPr>
        <w:t>16分，自评打分16分。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bidi="ar-SA"/>
        </w:rPr>
      </w:pPr>
      <w:r>
        <w:rPr>
          <w:rFonts w:hint="eastAsia" w:ascii="仿宋_GB2312" w:cs="仿宋"/>
          <w:lang w:val="zh-CN" w:bidi="ar-SA"/>
        </w:rPr>
        <w:t>1.用途合规性：按规定用途、使</w:t>
      </w:r>
      <w:bookmarkStart w:id="1" w:name="_GoBack"/>
      <w:bookmarkEnd w:id="1"/>
      <w:r>
        <w:rPr>
          <w:rFonts w:hint="eastAsia" w:ascii="仿宋_GB2312" w:cs="仿宋"/>
          <w:lang w:val="zh-CN" w:bidi="ar-SA"/>
        </w:rPr>
        <w:t>用范围进行本地区专项资金分配促项目按月支付。分值5分，自评打分5分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bidi="ar-SA"/>
        </w:rPr>
      </w:pPr>
      <w:r>
        <w:rPr>
          <w:rFonts w:hint="eastAsia" w:ascii="仿宋_GB2312" w:cs="仿宋"/>
          <w:lang w:val="zh-CN" w:bidi="ar-SA"/>
        </w:rPr>
        <w:t>2.程序合规性：资金管理程序符合专项资金管理要求，专款专用，分值5分，自评打分5分。</w:t>
      </w:r>
    </w:p>
    <w:p>
      <w:pPr>
        <w:keepNext w:val="0"/>
        <w:keepLines w:val="0"/>
        <w:pageBreakBefore w:val="0"/>
        <w:widowControl w:val="0"/>
        <w:kinsoku/>
        <w:wordWrap/>
        <w:overflowPunct/>
        <w:topLinePunct w:val="0"/>
        <w:autoSpaceDE/>
        <w:autoSpaceDN/>
        <w:spacing w:line="578" w:lineRule="exact"/>
        <w:ind w:firstLine="640"/>
        <w:rPr>
          <w:rFonts w:hint="eastAsia" w:ascii="仿宋_GB2312" w:cs="仿宋"/>
          <w:lang w:val="zh-CN"/>
        </w:rPr>
      </w:pPr>
      <w:r>
        <w:rPr>
          <w:rFonts w:hint="eastAsia" w:ascii="仿宋_GB2312" w:cs="仿宋"/>
          <w:lang w:val="zh-CN" w:bidi="ar-SA"/>
        </w:rPr>
        <w:t>3.标准合规性：资金分配标准符合专项资金管理要求分值6分，自评打分6分。</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olor w:val="auto"/>
          <w:sz w:val="32"/>
          <w:szCs w:val="32"/>
          <w:highlight w:val="none"/>
          <w:u w:val="none"/>
        </w:rPr>
      </w:pPr>
      <w:r>
        <w:rPr>
          <w:rFonts w:hint="eastAsia" w:ascii="黑体" w:hAnsi="宋体" w:eastAsia="黑体"/>
          <w:color w:val="auto"/>
          <w:sz w:val="32"/>
          <w:szCs w:val="32"/>
          <w:highlight w:val="none"/>
          <w:u w:val="none"/>
          <w:lang w:eastAsia="zh-CN"/>
        </w:rPr>
        <w:t>四</w:t>
      </w:r>
      <w:r>
        <w:rPr>
          <w:rFonts w:hint="eastAsia" w:ascii="黑体" w:hAnsi="宋体" w:eastAsia="黑体"/>
          <w:color w:val="auto"/>
          <w:sz w:val="32"/>
          <w:szCs w:val="32"/>
          <w:highlight w:val="none"/>
          <w:u w:val="none"/>
        </w:rPr>
        <w:t>、评价结论</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0" w:firstLineChars="200"/>
        <w:contextualSpacing/>
        <w:jc w:val="left"/>
        <w:textAlignment w:val="auto"/>
        <w:rPr>
          <w:rFonts w:hint="eastAsia" w:ascii="仿宋_GB2312" w:hAnsi="仿宋_GB2312" w:eastAsia="仿宋_GB2312" w:cs="仿宋_GB2312"/>
          <w:b w:val="0"/>
          <w:bCs w:val="0"/>
          <w:kern w:val="0"/>
          <w:position w:val="0"/>
          <w:sz w:val="32"/>
          <w:szCs w:val="32"/>
          <w:highlight w:val="none"/>
          <w:lang w:val="en-US" w:eastAsia="zh-CN" w:bidi="ar-SA"/>
        </w:rPr>
      </w:pPr>
      <w:r>
        <w:rPr>
          <w:rFonts w:hint="eastAsia" w:ascii="仿宋_GB2312" w:hAnsi="仿宋_GB2312" w:cs="仿宋_GB2312"/>
          <w:color w:val="auto"/>
          <w:kern w:val="0"/>
          <w:sz w:val="32"/>
          <w:szCs w:val="32"/>
          <w:highlight w:val="none"/>
          <w:u w:val="none"/>
          <w:shd w:val="clear" w:color="auto" w:fill="FFFFFF"/>
          <w:lang w:val="zh-CN" w:eastAsia="zh-CN"/>
        </w:rPr>
        <w:t>根据严格按照预算安排执行。按《2021-2025年东西部对口支援消费协作实施方案》中“一事一议”原则，2022年11月15日黑水县人民政府《专题研究关于黑水县网红直播基地资金补助相关事宜的会议纪要》，给予黑水县嘉海建设开发有限公司按总费用100%（暨36.5万元）予以补助。2022年12月5日，从东西部协作和对口支援项目资金中拨付23.83万元，本次拨付剩余12.67万元，</w:t>
      </w:r>
      <w:r>
        <w:rPr>
          <w:rFonts w:hint="eastAsia" w:ascii="仿宋_GB2312" w:hAnsi="仿宋_GB2312" w:eastAsia="仿宋_GB2312" w:cs="仿宋_GB2312"/>
          <w:b w:val="0"/>
          <w:bCs w:val="0"/>
          <w:kern w:val="0"/>
          <w:position w:val="0"/>
          <w:sz w:val="32"/>
          <w:szCs w:val="32"/>
          <w:highlight w:val="none"/>
          <w:lang w:val="en-US" w:eastAsia="zh-CN" w:bidi="ar-SA"/>
        </w:rPr>
        <w:t>结合2023年黑水县经济商务和信息化局自评情况，该项目自评总分9</w:t>
      </w:r>
      <w:r>
        <w:rPr>
          <w:rFonts w:hint="eastAsia" w:ascii="仿宋_GB2312" w:hAnsi="仿宋_GB2312" w:cs="仿宋_GB2312"/>
          <w:b w:val="0"/>
          <w:bCs w:val="0"/>
          <w:kern w:val="0"/>
          <w:position w:val="0"/>
          <w:sz w:val="32"/>
          <w:szCs w:val="32"/>
          <w:highlight w:val="none"/>
          <w:lang w:val="en-US" w:eastAsia="zh-CN" w:bidi="ar-SA"/>
        </w:rPr>
        <w:t>8</w:t>
      </w:r>
      <w:r>
        <w:rPr>
          <w:rFonts w:hint="eastAsia" w:ascii="仿宋_GB2312" w:hAnsi="仿宋_GB2312" w:eastAsia="仿宋_GB2312" w:cs="仿宋_GB2312"/>
          <w:b w:val="0"/>
          <w:bCs w:val="0"/>
          <w:kern w:val="0"/>
          <w:position w:val="0"/>
          <w:sz w:val="32"/>
          <w:szCs w:val="32"/>
          <w:highlight w:val="none"/>
          <w:lang w:val="en-US" w:eastAsia="zh-CN" w:bidi="ar-SA"/>
        </w:rPr>
        <w:t>分</w:t>
      </w:r>
      <w:r>
        <w:rPr>
          <w:rFonts w:hint="eastAsia" w:ascii="仿宋_GB2312" w:hAnsi="仿宋_GB2312" w:cs="仿宋_GB2312"/>
          <w:b w:val="0"/>
          <w:bCs w:val="0"/>
          <w:kern w:val="0"/>
          <w:position w:val="0"/>
          <w:sz w:val="32"/>
          <w:szCs w:val="32"/>
          <w:highlight w:val="none"/>
          <w:lang w:val="en-US" w:eastAsia="zh-CN" w:bidi="ar-SA"/>
        </w:rPr>
        <w:t>，</w:t>
      </w:r>
      <w:r>
        <w:rPr>
          <w:rFonts w:hint="eastAsia" w:ascii="仿宋_GB2312" w:hAnsi="仿宋_GB2312" w:cs="仿宋_GB2312"/>
          <w:color w:val="auto"/>
          <w:kern w:val="0"/>
          <w:sz w:val="32"/>
          <w:szCs w:val="32"/>
          <w:highlight w:val="none"/>
          <w:u w:val="none"/>
          <w:shd w:val="clear" w:color="auto" w:fill="FFFFFF"/>
          <w:lang w:val="zh-CN" w:eastAsia="zh-CN"/>
        </w:rPr>
        <w:t>提高黑水旅游文化知名度，进一步拓宽农产品的销售渠道。</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s="Times New Roman"/>
          <w:color w:val="auto"/>
          <w:sz w:val="32"/>
          <w:szCs w:val="32"/>
          <w:highlight w:val="none"/>
          <w:u w:val="none"/>
          <w:lang w:eastAsia="zh-CN"/>
        </w:rPr>
      </w:pPr>
      <w:r>
        <w:rPr>
          <w:rFonts w:hint="eastAsia" w:ascii="黑体" w:hAnsi="宋体" w:cs="Times New Roman"/>
          <w:color w:val="auto"/>
          <w:sz w:val="32"/>
          <w:szCs w:val="32"/>
          <w:highlight w:val="none"/>
          <w:u w:val="none"/>
          <w:lang w:eastAsia="zh-CN"/>
        </w:rPr>
        <w:t>五、</w:t>
      </w:r>
      <w:r>
        <w:rPr>
          <w:rFonts w:hint="eastAsia" w:ascii="黑体" w:hAnsi="宋体" w:eastAsia="黑体" w:cs="Times New Roman"/>
          <w:color w:val="auto"/>
          <w:sz w:val="32"/>
          <w:szCs w:val="32"/>
          <w:highlight w:val="none"/>
          <w:u w:val="none"/>
          <w:lang w:eastAsia="zh-CN"/>
        </w:rPr>
        <w:t>存在主要问题</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b w:val="0"/>
          <w:bCs w:val="0"/>
          <w:kern w:val="0"/>
          <w:position w:val="0"/>
          <w:sz w:val="32"/>
          <w:szCs w:val="32"/>
          <w:highlight w:val="none"/>
          <w:lang w:val="en-US" w:eastAsia="zh-CN" w:bidi="ar-SA"/>
        </w:rPr>
      </w:pPr>
      <w:r>
        <w:rPr>
          <w:rFonts w:hint="eastAsia" w:ascii="仿宋_GB2312" w:hAnsi="仿宋_GB2312" w:eastAsia="仿宋_GB2312" w:cs="仿宋_GB2312"/>
          <w:b w:val="0"/>
          <w:bCs w:val="0"/>
          <w:kern w:val="0"/>
          <w:position w:val="0"/>
          <w:sz w:val="32"/>
          <w:szCs w:val="32"/>
          <w:highlight w:val="none"/>
          <w:lang w:val="en-US" w:eastAsia="zh-CN" w:bidi="ar-SA"/>
        </w:rPr>
        <w:t>绩效管理情况不够完善。</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s="Times New Roman"/>
          <w:color w:val="auto"/>
          <w:kern w:val="0"/>
          <w:position w:val="3"/>
          <w:sz w:val="32"/>
          <w:szCs w:val="32"/>
          <w:highlight w:val="none"/>
          <w:u w:val="none"/>
          <w:lang w:val="zh-CN" w:eastAsia="zh-CN" w:bidi="ar-SA"/>
        </w:rPr>
      </w:pPr>
      <w:r>
        <w:rPr>
          <w:rFonts w:hint="eastAsia" w:ascii="黑体" w:hAnsi="宋体" w:eastAsia="黑体" w:cs="Times New Roman"/>
          <w:color w:val="auto"/>
          <w:kern w:val="0"/>
          <w:position w:val="3"/>
          <w:sz w:val="32"/>
          <w:szCs w:val="32"/>
          <w:highlight w:val="none"/>
          <w:u w:val="none"/>
          <w:lang w:val="zh-CN" w:eastAsia="zh-CN" w:bidi="ar-SA"/>
        </w:rPr>
        <w:t>六、改进建议</w:t>
      </w:r>
    </w:p>
    <w:p>
      <w:pPr>
        <w:tabs>
          <w:tab w:val="left" w:pos="1911"/>
        </w:tabs>
        <w:jc w:val="left"/>
        <w:rPr>
          <w:rFonts w:hint="eastAsia" w:ascii="仿宋_GB2312" w:hAnsi="仿宋_GB2312" w:eastAsia="仿宋_GB2312" w:cs="仿宋_GB2312"/>
          <w:b w:val="0"/>
          <w:bCs w:val="0"/>
          <w:kern w:val="0"/>
          <w:position w:val="0"/>
          <w:sz w:val="32"/>
          <w:szCs w:val="32"/>
          <w:highlight w:val="none"/>
          <w:lang w:val="en" w:eastAsia="zh-CN" w:bidi="ar-SA"/>
        </w:rPr>
      </w:pPr>
      <w:r>
        <w:rPr>
          <w:rFonts w:hint="eastAsia" w:ascii="仿宋_GB2312" w:hAnsi="仿宋_GB2312" w:eastAsia="仿宋_GB2312" w:cs="仿宋_GB2312"/>
          <w:color w:val="auto"/>
          <w:kern w:val="0"/>
          <w:sz w:val="32"/>
          <w:szCs w:val="32"/>
          <w:highlight w:val="none"/>
          <w:u w:val="none"/>
          <w:shd w:val="clear" w:color="auto" w:fill="FFFFFF"/>
          <w:lang w:val="zh-CN" w:eastAsia="zh-CN"/>
        </w:rPr>
        <w:t xml:space="preserve"> </w:t>
      </w:r>
      <w:r>
        <w:rPr>
          <w:rFonts w:hint="eastAsia" w:ascii="仿宋_GB2312" w:hAnsi="仿宋_GB2312" w:cs="仿宋_GB2312"/>
          <w:b w:val="0"/>
          <w:bCs w:val="0"/>
          <w:kern w:val="0"/>
          <w:position w:val="0"/>
          <w:sz w:val="32"/>
          <w:szCs w:val="32"/>
          <w:highlight w:val="none"/>
          <w:lang w:val="en-US" w:eastAsia="zh-CN" w:bidi="ar-SA"/>
        </w:rPr>
        <w:t xml:space="preserve">   </w:t>
      </w:r>
      <w:bookmarkStart w:id="0" w:name="_Hlk110546638"/>
      <w:r>
        <w:rPr>
          <w:rFonts w:hint="eastAsia" w:ascii="仿宋_GB2312" w:hAnsi="仿宋_GB2312" w:cs="仿宋_GB2312"/>
          <w:b w:val="0"/>
          <w:bCs w:val="0"/>
          <w:kern w:val="0"/>
          <w:position w:val="0"/>
          <w:sz w:val="32"/>
          <w:szCs w:val="32"/>
          <w:highlight w:val="none"/>
          <w:lang w:val="en-US" w:eastAsia="zh-CN" w:bidi="ar-SA"/>
        </w:rPr>
        <w:t>优化完善项目目标，加强运行监控，节约财政资金并提升资金效益，提升项目预算绩效管理水平。</w:t>
      </w:r>
    </w:p>
    <w:bookmarkEnd w:id="0"/>
    <w:p>
      <w:pPr>
        <w:keepNext w:val="0"/>
        <w:keepLines w:val="0"/>
        <w:pageBreakBefore w:val="0"/>
        <w:kinsoku/>
        <w:wordWrap/>
        <w:overflowPunct/>
        <w:topLinePunct w:val="0"/>
        <w:autoSpaceDE/>
        <w:autoSpaceDN/>
        <w:bidi w:val="0"/>
        <w:adjustRightInd/>
        <w:snapToGrid w:val="0"/>
        <w:spacing w:line="578" w:lineRule="exact"/>
        <w:ind w:left="0" w:leftChars="0" w:firstLine="640" w:firstLineChars="200"/>
        <w:textAlignment w:val="auto"/>
        <w:outlineLvl w:val="9"/>
        <w:rPr>
          <w:rFonts w:hint="eastAsia" w:ascii="Times New Roman" w:hAnsi="Times New Roman" w:cs="Times New Roman"/>
          <w:color w:val="000000"/>
          <w:kern w:val="0"/>
          <w:szCs w:val="32"/>
          <w:highlight w:val="none"/>
          <w:shd w:val="clear" w:color="auto" w:fill="FFFFFF"/>
          <w:lang w:val="zh-CN" w:eastAsia="zh-CN"/>
        </w:rPr>
      </w:pPr>
    </w:p>
    <w:p>
      <w:pPr>
        <w:keepNext w:val="0"/>
        <w:keepLines w:val="0"/>
        <w:pageBreakBefore w:val="0"/>
        <w:numPr>
          <w:ilvl w:val="0"/>
          <w:numId w:val="0"/>
        </w:numPr>
        <w:kinsoku/>
        <w:wordWrap/>
        <w:overflowPunct/>
        <w:topLinePunct w:val="0"/>
        <w:autoSpaceDE/>
        <w:autoSpaceDN/>
        <w:bidi w:val="0"/>
        <w:adjustRightInd/>
        <w:snapToGrid w:val="0"/>
        <w:spacing w:line="578" w:lineRule="exact"/>
        <w:textAlignment w:val="auto"/>
        <w:outlineLvl w:val="9"/>
        <w:rPr>
          <w:rFonts w:hint="eastAsia" w:ascii="Times New Roman" w:hAnsi="Times New Roman" w:cs="Times New Roman"/>
          <w:color w:val="000000"/>
          <w:kern w:val="0"/>
          <w:szCs w:val="32"/>
          <w:highlight w:val="none"/>
          <w:shd w:val="clear" w:color="auto" w:fill="FFFFFF"/>
          <w:lang w:val="zh-CN" w:eastAsia="zh-CN"/>
        </w:rPr>
      </w:pPr>
      <w:r>
        <w:rPr>
          <w:rFonts w:hint="eastAsia" w:cs="Times New Roman"/>
          <w:color w:val="000000"/>
          <w:kern w:val="0"/>
          <w:szCs w:val="32"/>
          <w:highlight w:val="none"/>
          <w:shd w:val="clear" w:color="auto" w:fill="FFFFFF"/>
          <w:lang w:val="en-US" w:eastAsia="zh-CN"/>
        </w:rPr>
        <w:t xml:space="preserve"> </w:t>
      </w:r>
    </w:p>
    <w:p>
      <w:pPr>
        <w:pStyle w:val="2"/>
        <w:keepNext w:val="0"/>
        <w:keepLines w:val="0"/>
        <w:pageBreakBefore w:val="0"/>
        <w:kinsoku/>
        <w:wordWrap/>
        <w:overflowPunct/>
        <w:topLinePunct w:val="0"/>
        <w:autoSpaceDE/>
        <w:autoSpaceDN/>
        <w:bidi w:val="0"/>
        <w:spacing w:after="0" w:line="578" w:lineRule="exact"/>
        <w:ind w:left="0" w:leftChars="0"/>
        <w:rPr>
          <w:rFonts w:hint="default" w:ascii="黑体" w:hAnsi="黑体" w:eastAsia="黑体" w:cs="黑体"/>
          <w:sz w:val="24"/>
          <w:szCs w:val="24"/>
          <w:highlight w:val="none"/>
          <w:lang w:val="en-US" w:eastAsia="zh-CN"/>
        </w:rPr>
      </w:pP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A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A00002BF" w:usb1="38CF7CFA" w:usb2="00082016" w:usb3="00000000" w:csb0="00040001" w:csb1="00000000"/>
  </w:font>
  <w:font w:name="??">
    <w:altName w:val="仿宋_GB2312"/>
    <w:panose1 w:val="00000000000000000000"/>
    <w:charset w:val="00"/>
    <w:family w:val="roman"/>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">
              <v:fill on="f" focussize="0,0"/>
              <v:stroke on="f" weight="0.5pt"/>
              <v:imagedata o:title=""/>
              <o:lock v:ext="edit" aspectratio="f"/>
              <v:textbox inset="0mm,0mm,0mm,0mm" style="mso-fit-shape-to-text:t;">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yNDNiMzE3YmFlMWM4YjA4OGZiN2MyZGQ1YzhhYWMifQ=="/>
  </w:docVars>
  <w:rsids>
    <w:rsidRoot w:val="771D4D51"/>
    <w:rsid w:val="00665BAD"/>
    <w:rsid w:val="052B1173"/>
    <w:rsid w:val="071C5217"/>
    <w:rsid w:val="09210F0A"/>
    <w:rsid w:val="0C0E60BC"/>
    <w:rsid w:val="0DF26CD2"/>
    <w:rsid w:val="141164F6"/>
    <w:rsid w:val="1B1464DA"/>
    <w:rsid w:val="1C25106F"/>
    <w:rsid w:val="1CFD8DF6"/>
    <w:rsid w:val="1F296667"/>
    <w:rsid w:val="1FD940E2"/>
    <w:rsid w:val="1FFF9AD9"/>
    <w:rsid w:val="22AD555F"/>
    <w:rsid w:val="24374FE7"/>
    <w:rsid w:val="25315EDA"/>
    <w:rsid w:val="25B97332"/>
    <w:rsid w:val="26CF2DB3"/>
    <w:rsid w:val="2AF86ED7"/>
    <w:rsid w:val="2AFDF212"/>
    <w:rsid w:val="2B385C88"/>
    <w:rsid w:val="2B6BF484"/>
    <w:rsid w:val="2CBE62A5"/>
    <w:rsid w:val="2FFF7DE7"/>
    <w:rsid w:val="30723190"/>
    <w:rsid w:val="33F748AD"/>
    <w:rsid w:val="35874596"/>
    <w:rsid w:val="35F2A362"/>
    <w:rsid w:val="36203B2D"/>
    <w:rsid w:val="36EA2AC9"/>
    <w:rsid w:val="371A51D2"/>
    <w:rsid w:val="373BBD0C"/>
    <w:rsid w:val="39BFEDBA"/>
    <w:rsid w:val="39DBABD8"/>
    <w:rsid w:val="3A3D11C3"/>
    <w:rsid w:val="3AED12ED"/>
    <w:rsid w:val="3AFF6A5D"/>
    <w:rsid w:val="3BDD34D2"/>
    <w:rsid w:val="3BDDFF97"/>
    <w:rsid w:val="3BFFD43B"/>
    <w:rsid w:val="3C7BD5C9"/>
    <w:rsid w:val="3C8F5B6A"/>
    <w:rsid w:val="3CB66F99"/>
    <w:rsid w:val="3D960B78"/>
    <w:rsid w:val="3D9809C9"/>
    <w:rsid w:val="3EB85D65"/>
    <w:rsid w:val="3EFE69D5"/>
    <w:rsid w:val="3FB83028"/>
    <w:rsid w:val="3FBF9251"/>
    <w:rsid w:val="3FED766E"/>
    <w:rsid w:val="3FFEEAD9"/>
    <w:rsid w:val="3FFFE931"/>
    <w:rsid w:val="413B181B"/>
    <w:rsid w:val="457F07F2"/>
    <w:rsid w:val="46BD2949"/>
    <w:rsid w:val="49D264A1"/>
    <w:rsid w:val="4CC6FDBD"/>
    <w:rsid w:val="4E07F45D"/>
    <w:rsid w:val="4FF59AF5"/>
    <w:rsid w:val="503D00E8"/>
    <w:rsid w:val="50F9512B"/>
    <w:rsid w:val="5385101B"/>
    <w:rsid w:val="55FE10A2"/>
    <w:rsid w:val="56AF0889"/>
    <w:rsid w:val="56EF6619"/>
    <w:rsid w:val="57AF1E73"/>
    <w:rsid w:val="5A0674CF"/>
    <w:rsid w:val="5AB21C33"/>
    <w:rsid w:val="5B2D5253"/>
    <w:rsid w:val="5B778EC0"/>
    <w:rsid w:val="5BFD93EC"/>
    <w:rsid w:val="5C423F4D"/>
    <w:rsid w:val="5CBA8FF2"/>
    <w:rsid w:val="5D363A5E"/>
    <w:rsid w:val="5D5F7E21"/>
    <w:rsid w:val="5F5B35E4"/>
    <w:rsid w:val="609FA7B0"/>
    <w:rsid w:val="67F3112E"/>
    <w:rsid w:val="680B4E69"/>
    <w:rsid w:val="68B47F81"/>
    <w:rsid w:val="69CE5072"/>
    <w:rsid w:val="69FCE5E7"/>
    <w:rsid w:val="6BCDA9CC"/>
    <w:rsid w:val="6D9F2765"/>
    <w:rsid w:val="6DB508E5"/>
    <w:rsid w:val="6DDFA6BD"/>
    <w:rsid w:val="6E696B31"/>
    <w:rsid w:val="6E767ACE"/>
    <w:rsid w:val="6E781687"/>
    <w:rsid w:val="6EBC0F1A"/>
    <w:rsid w:val="6EEE3ED1"/>
    <w:rsid w:val="6EFFED40"/>
    <w:rsid w:val="6F1B2166"/>
    <w:rsid w:val="6F5FC1DE"/>
    <w:rsid w:val="6FB3E1FD"/>
    <w:rsid w:val="6FD768E4"/>
    <w:rsid w:val="6FF341F1"/>
    <w:rsid w:val="6FFEBD86"/>
    <w:rsid w:val="730E1E7E"/>
    <w:rsid w:val="73FF1F09"/>
    <w:rsid w:val="73FF684B"/>
    <w:rsid w:val="74A708C5"/>
    <w:rsid w:val="75C5557C"/>
    <w:rsid w:val="76DFCB7D"/>
    <w:rsid w:val="771D4D51"/>
    <w:rsid w:val="7735A28E"/>
    <w:rsid w:val="77778F6D"/>
    <w:rsid w:val="77ABFD6B"/>
    <w:rsid w:val="77B7A121"/>
    <w:rsid w:val="77C748BA"/>
    <w:rsid w:val="77DD24F1"/>
    <w:rsid w:val="77F10335"/>
    <w:rsid w:val="77F7E860"/>
    <w:rsid w:val="77FB8D34"/>
    <w:rsid w:val="78021BF7"/>
    <w:rsid w:val="78CD5030"/>
    <w:rsid w:val="797D0128"/>
    <w:rsid w:val="79EDB415"/>
    <w:rsid w:val="7A2B31B4"/>
    <w:rsid w:val="7ABBCDAB"/>
    <w:rsid w:val="7AFCAD25"/>
    <w:rsid w:val="7AFEB9B4"/>
    <w:rsid w:val="7B5E0C37"/>
    <w:rsid w:val="7B63F034"/>
    <w:rsid w:val="7B735637"/>
    <w:rsid w:val="7B7DE504"/>
    <w:rsid w:val="7BFEC4F8"/>
    <w:rsid w:val="7C961A20"/>
    <w:rsid w:val="7CD24A22"/>
    <w:rsid w:val="7DA14F75"/>
    <w:rsid w:val="7DB57A61"/>
    <w:rsid w:val="7DC7DC1F"/>
    <w:rsid w:val="7DF95E12"/>
    <w:rsid w:val="7DFDF40F"/>
    <w:rsid w:val="7DFF9BC7"/>
    <w:rsid w:val="7EB645E3"/>
    <w:rsid w:val="7EB6B7AB"/>
    <w:rsid w:val="7EB738F3"/>
    <w:rsid w:val="7EDEF702"/>
    <w:rsid w:val="7EFD6908"/>
    <w:rsid w:val="7EFF8787"/>
    <w:rsid w:val="7F1C270D"/>
    <w:rsid w:val="7F5F4807"/>
    <w:rsid w:val="7F722518"/>
    <w:rsid w:val="7F7CF90E"/>
    <w:rsid w:val="7F9E3557"/>
    <w:rsid w:val="7FBF2857"/>
    <w:rsid w:val="7FD3B1BB"/>
    <w:rsid w:val="7FE7031F"/>
    <w:rsid w:val="7FEC5D3B"/>
    <w:rsid w:val="7FEF37E2"/>
    <w:rsid w:val="7FF70813"/>
    <w:rsid w:val="7FF7B584"/>
    <w:rsid w:val="7FFDFB4B"/>
    <w:rsid w:val="7FFF1910"/>
    <w:rsid w:val="7FFF8C1D"/>
    <w:rsid w:val="7FFF92F0"/>
    <w:rsid w:val="7FFFF07C"/>
    <w:rsid w:val="9BF3195D"/>
    <w:rsid w:val="A5DB4128"/>
    <w:rsid w:val="A6E375DB"/>
    <w:rsid w:val="A6EFA809"/>
    <w:rsid w:val="A6F7CC0B"/>
    <w:rsid w:val="AABFBDFA"/>
    <w:rsid w:val="AF7DE88E"/>
    <w:rsid w:val="AFED1DC0"/>
    <w:rsid w:val="AFFBB299"/>
    <w:rsid w:val="B3ECA4C8"/>
    <w:rsid w:val="B4D7E8EA"/>
    <w:rsid w:val="B4EF3795"/>
    <w:rsid w:val="B5E79B51"/>
    <w:rsid w:val="B6E7F02A"/>
    <w:rsid w:val="B797ED78"/>
    <w:rsid w:val="BB75119C"/>
    <w:rsid w:val="BBD3B774"/>
    <w:rsid w:val="BBDF02B2"/>
    <w:rsid w:val="BCFB0575"/>
    <w:rsid w:val="BE5EC634"/>
    <w:rsid w:val="BEC77393"/>
    <w:rsid w:val="BEFECBAE"/>
    <w:rsid w:val="BF2F7DA9"/>
    <w:rsid w:val="BF7F7592"/>
    <w:rsid w:val="BFB71281"/>
    <w:rsid w:val="BFBDF2DF"/>
    <w:rsid w:val="BFE4DD88"/>
    <w:rsid w:val="BFF9117D"/>
    <w:rsid w:val="BFFF6947"/>
    <w:rsid w:val="C8FDA203"/>
    <w:rsid w:val="CEF79301"/>
    <w:rsid w:val="CEFBB93B"/>
    <w:rsid w:val="CF7C6158"/>
    <w:rsid w:val="CF9D4E98"/>
    <w:rsid w:val="CFBFEC5E"/>
    <w:rsid w:val="CFFFF327"/>
    <w:rsid w:val="D65BF816"/>
    <w:rsid w:val="D73F10CF"/>
    <w:rsid w:val="D977C3BB"/>
    <w:rsid w:val="D977C9A6"/>
    <w:rsid w:val="D9FF310B"/>
    <w:rsid w:val="DBF57698"/>
    <w:rsid w:val="DBFFAB54"/>
    <w:rsid w:val="DDFF5069"/>
    <w:rsid w:val="DECF83A1"/>
    <w:rsid w:val="DEEBD176"/>
    <w:rsid w:val="DEED29CB"/>
    <w:rsid w:val="DEFF6025"/>
    <w:rsid w:val="DF4E686F"/>
    <w:rsid w:val="DF7F78BD"/>
    <w:rsid w:val="DFDFC0CD"/>
    <w:rsid w:val="DFF7F21C"/>
    <w:rsid w:val="DFFE4986"/>
    <w:rsid w:val="E3F74AB8"/>
    <w:rsid w:val="E5FD7CF6"/>
    <w:rsid w:val="E7FE6222"/>
    <w:rsid w:val="E9BB2A12"/>
    <w:rsid w:val="EDDF69E1"/>
    <w:rsid w:val="EDF76BB3"/>
    <w:rsid w:val="EEF68640"/>
    <w:rsid w:val="EFF41AC0"/>
    <w:rsid w:val="EFF76D95"/>
    <w:rsid w:val="EFFF2C87"/>
    <w:rsid w:val="EFFFA435"/>
    <w:rsid w:val="F1DF82E1"/>
    <w:rsid w:val="F1F64F55"/>
    <w:rsid w:val="F2E22473"/>
    <w:rsid w:val="F35D14F0"/>
    <w:rsid w:val="F3F4C349"/>
    <w:rsid w:val="F3F64609"/>
    <w:rsid w:val="F4E96614"/>
    <w:rsid w:val="F4F54B3B"/>
    <w:rsid w:val="F58EBBB0"/>
    <w:rsid w:val="F5CBD2AD"/>
    <w:rsid w:val="F6F3FBF3"/>
    <w:rsid w:val="F6FE0D0F"/>
    <w:rsid w:val="F9B8FDC3"/>
    <w:rsid w:val="F9BF4E89"/>
    <w:rsid w:val="FA79E738"/>
    <w:rsid w:val="FAD729CA"/>
    <w:rsid w:val="FB1B5977"/>
    <w:rsid w:val="FBF62448"/>
    <w:rsid w:val="FBF76486"/>
    <w:rsid w:val="FBFF7DC7"/>
    <w:rsid w:val="FC37AF17"/>
    <w:rsid w:val="FCDE5A6F"/>
    <w:rsid w:val="FCFE5638"/>
    <w:rsid w:val="FCFF1FE1"/>
    <w:rsid w:val="FD7C7175"/>
    <w:rsid w:val="FDD7319B"/>
    <w:rsid w:val="FDDE4FF7"/>
    <w:rsid w:val="FDF8F696"/>
    <w:rsid w:val="FE7B38A4"/>
    <w:rsid w:val="FE7EBDAF"/>
    <w:rsid w:val="FEAF5424"/>
    <w:rsid w:val="FECB8DB0"/>
    <w:rsid w:val="FECF948F"/>
    <w:rsid w:val="FEDCE487"/>
    <w:rsid w:val="FEED62B0"/>
    <w:rsid w:val="FEEFF60E"/>
    <w:rsid w:val="FEFD6F73"/>
    <w:rsid w:val="FF0F1500"/>
    <w:rsid w:val="FF5995C2"/>
    <w:rsid w:val="FF6B552C"/>
    <w:rsid w:val="FF6F74D4"/>
    <w:rsid w:val="FFBB4B28"/>
    <w:rsid w:val="FFCFE300"/>
    <w:rsid w:val="FFD58A98"/>
    <w:rsid w:val="FFDD382A"/>
    <w:rsid w:val="FFDFD60A"/>
    <w:rsid w:val="FFE6F78D"/>
    <w:rsid w:val="FFEBBD1A"/>
    <w:rsid w:val="FFEF3B9A"/>
    <w:rsid w:val="FFF171B6"/>
    <w:rsid w:val="FFF33D76"/>
    <w:rsid w:val="FFF3C5BB"/>
    <w:rsid w:val="FFFA984C"/>
    <w:rsid w:val="FFFB4651"/>
    <w:rsid w:val="FFFD90B9"/>
    <w:rsid w:val="FFFF2620"/>
    <w:rsid w:val="FFFF5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qFormat/>
    <w:uiPriority w:val="0"/>
    <w:pPr>
      <w:spacing w:after="120"/>
      <w:ind w:leftChars="200"/>
    </w:pPr>
    <w:rPr>
      <w:rFonts w:ascii="仿宋_GB2312"/>
      <w:szCs w:val="32"/>
    </w:rPr>
  </w:style>
  <w:style w:type="paragraph" w:styleId="4">
    <w:name w:val="Body Text"/>
    <w:basedOn w:val="1"/>
    <w:qFormat/>
    <w:uiPriority w:val="99"/>
    <w:pPr>
      <w:widowControl/>
      <w:tabs>
        <w:tab w:val="left" w:pos="2160"/>
      </w:tabs>
      <w:spacing w:line="480" w:lineRule="auto"/>
      <w:jc w:val="left"/>
    </w:pPr>
    <w:rPr>
      <w:rFonts w:ascii="楷体_GB2312" w:eastAsia="黑体"/>
      <w:kern w:val="0"/>
      <w:position w:val="3"/>
      <w:sz w:val="20"/>
      <w:szCs w:val="20"/>
      <w:lang w:eastAsia="en-US"/>
    </w:rPr>
  </w:style>
  <w:style w:type="paragraph" w:styleId="5">
    <w:name w:val="footer"/>
    <w:basedOn w:val="1"/>
    <w:unhideWhenUsed/>
    <w:qFormat/>
    <w:uiPriority w:val="99"/>
    <w:pPr>
      <w:tabs>
        <w:tab w:val="center" w:pos="4153"/>
        <w:tab w:val="right" w:pos="8306"/>
      </w:tabs>
      <w:snapToGrid w:val="0"/>
      <w:jc w:val="left"/>
    </w:pPr>
    <w:rPr>
      <w:sz w:val="18"/>
      <w:szCs w:val="18"/>
      <w:lang w:val="zh-CN" w:eastAsia="zh-CN"/>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lang w:val="zh-CN" w:eastAsia="zh-CN"/>
    </w:rPr>
  </w:style>
  <w:style w:type="paragraph" w:styleId="7">
    <w:name w:val="toc 1"/>
    <w:basedOn w:val="1"/>
    <w:next w:val="1"/>
    <w:qFormat/>
    <w:uiPriority w:val="0"/>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paragraph" w:customStyle="1" w:styleId="12">
    <w:name w:val="四号正文"/>
    <w:basedOn w:val="1"/>
    <w:qFormat/>
    <w:uiPriority w:val="0"/>
    <w:pPr>
      <w:spacing w:line="360" w:lineRule="auto"/>
    </w:pPr>
    <w:rPr>
      <w:rFonts w:ascii="??" w:hAnsi="??" w:eastAsia="宋体"/>
      <w:color w:val="000000"/>
      <w:kern w:val="0"/>
      <w:sz w:val="28"/>
      <w:szCs w:val="21"/>
      <w:lang w:val="zh-CN"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4631</Words>
  <Characters>4942</Characters>
  <Lines>0</Lines>
  <Paragraphs>0</Paragraphs>
  <TotalTime>1</TotalTime>
  <ScaleCrop>false</ScaleCrop>
  <LinksUpToDate>false</LinksUpToDate>
  <CharactersWithSpaces>5080</CharactersWithSpaces>
  <Application>WPS Office_11.8.2.1120_F1E327BC-269C-435d-A152-05C5408002CA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2020-07-12T16:13:00Z</dcterms:created>
  <dc:creator>Administrator</dc:creator>
  <cp:lastModifiedBy>user</cp:lastModifiedBy>
  <cp:lastPrinted>2016-02-13T19:32:00Z</cp:lastPrinted>
  <dcterms:modified xsi:type="dcterms:W3CDTF">2024-11-25T15:18:37Z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2052-11.8.2.1120</vt:lpwstr>
  </property>
  <property fmtid="{D5CDD505-2E9C-101B-9397-08002B2CF9AE}" pid="3" name="ICV">
    <vt:lpwstr>B7C9602092E04E77B2A5764EF9647034_13</vt:lpwstr>
  </property>
</Properties>
</file>