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2"/>
        <w:keepNext w:val="0"/>
        <w:keepLines w:val="0"/>
        <w:pageBreakBefore w:val="0"/>
        <w:widowControl w:val="0"/>
        <w:kinsoku/>
        <w:wordWrap/>
        <w:overflowPunct/>
        <w:topLinePunct w:val="0"/>
        <w:autoSpaceDE/>
        <w:autoSpaceDN/>
        <w:bidi w:val="0"/>
        <w:spacing w:line="578" w:lineRule="exact"/>
        <w:ind w:left="0" w:leftChars="0"/>
        <w:jc w:val="both"/>
        <w:textAlignment w:val="auto"/>
        <w:rPr>
          <w:rFonts w:hint="eastAsia" w:ascii="方正小标宋简体" w:hAnsi="方正小标宋简体" w:eastAsia="方正小标宋简体" w:cs="方正小标宋简体"/>
          <w:color w:val="auto"/>
          <w:kern w:val="2"/>
          <w:sz w:val="44"/>
          <w:szCs w:val="44"/>
          <w:highlight w:val="none"/>
          <w:lang w:val="en-US" w:eastAsia="zh-CN"/>
        </w:rPr>
      </w:pPr>
    </w:p>
    <w:p>
      <w:pPr>
        <w:pStyle w:val="12"/>
        <w:keepNext w:val="0"/>
        <w:keepLines w:val="0"/>
        <w:pageBreakBefore w:val="0"/>
        <w:widowControl w:val="0"/>
        <w:kinsoku/>
        <w:wordWrap/>
        <w:overflowPunct/>
        <w:topLinePunct w:val="0"/>
        <w:autoSpaceDE/>
        <w:autoSpaceDN/>
        <w:bidi w:val="0"/>
        <w:spacing w:line="578" w:lineRule="exact"/>
        <w:ind w:left="0" w:leftChars="0"/>
        <w:jc w:val="center"/>
        <w:textAlignment w:val="auto"/>
        <w:rPr>
          <w:rFonts w:hint="eastAsia" w:ascii="方正小标宋简体" w:hAnsi="方正小标宋简体" w:eastAsia="方正小标宋简体" w:cs="方正小标宋简体"/>
          <w:color w:val="auto"/>
          <w:kern w:val="2"/>
          <w:sz w:val="44"/>
          <w:szCs w:val="44"/>
          <w:highlight w:val="none"/>
          <w:lang w:val="en-US" w:eastAsia="zh-CN"/>
        </w:rPr>
      </w:pPr>
      <w:r>
        <w:rPr>
          <w:rFonts w:hint="eastAsia" w:ascii="方正小标宋简体" w:hAnsi="方正小标宋简体" w:eastAsia="方正小标宋简体" w:cs="方正小标宋简体"/>
          <w:color w:val="auto"/>
          <w:kern w:val="2"/>
          <w:sz w:val="44"/>
          <w:szCs w:val="44"/>
          <w:highlight w:val="none"/>
          <w:lang w:val="en-US" w:eastAsia="zh-CN"/>
        </w:rPr>
        <w:t>2021年第二批省级工业发展专项资金</w:t>
      </w:r>
    </w:p>
    <w:p>
      <w:pPr>
        <w:pStyle w:val="12"/>
        <w:keepNext w:val="0"/>
        <w:keepLines w:val="0"/>
        <w:pageBreakBefore w:val="0"/>
        <w:widowControl w:val="0"/>
        <w:kinsoku/>
        <w:wordWrap/>
        <w:overflowPunct/>
        <w:topLinePunct w:val="0"/>
        <w:autoSpaceDE/>
        <w:autoSpaceDN/>
        <w:bidi w:val="0"/>
        <w:spacing w:line="578" w:lineRule="exact"/>
        <w:ind w:left="0" w:leftChars="0"/>
        <w:jc w:val="center"/>
        <w:textAlignment w:val="auto"/>
        <w:rPr>
          <w:rFonts w:hint="eastAsia" w:ascii="方正小标宋简体" w:hAnsi="方正小标宋简体" w:eastAsia="方正小标宋简体" w:cs="方正小标宋简体"/>
          <w:color w:val="auto"/>
          <w:kern w:val="2"/>
          <w:sz w:val="44"/>
          <w:szCs w:val="44"/>
          <w:highlight w:val="none"/>
          <w:lang w:val="en-US" w:eastAsia="zh-CN"/>
        </w:rPr>
      </w:pPr>
      <w:r>
        <w:rPr>
          <w:rFonts w:hint="eastAsia" w:ascii="方正小标宋简体" w:hAnsi="方正小标宋简体" w:eastAsia="方正小标宋简体" w:cs="方正小标宋简体"/>
          <w:color w:val="auto"/>
          <w:kern w:val="2"/>
          <w:sz w:val="44"/>
          <w:szCs w:val="44"/>
          <w:highlight w:val="none"/>
          <w:lang w:val="en-US" w:eastAsia="zh-CN"/>
        </w:rPr>
        <w:t>预算项目绩效评价报告</w:t>
      </w:r>
    </w:p>
    <w:p>
      <w:pPr>
        <w:pStyle w:val="12"/>
        <w:keepNext w:val="0"/>
        <w:keepLines w:val="0"/>
        <w:pageBreakBefore w:val="0"/>
        <w:widowControl w:val="0"/>
        <w:kinsoku/>
        <w:wordWrap/>
        <w:overflowPunct/>
        <w:topLinePunct w:val="0"/>
        <w:autoSpaceDE/>
        <w:autoSpaceDN/>
        <w:bidi w:val="0"/>
        <w:spacing w:line="578" w:lineRule="exact"/>
        <w:ind w:left="0" w:leftChars="0" w:firstLine="640"/>
        <w:jc w:val="center"/>
        <w:textAlignment w:val="auto"/>
        <w:rPr>
          <w:rFonts w:ascii="宋体" w:hAnsi="宋体"/>
          <w:color w:val="auto"/>
          <w:kern w:val="2"/>
          <w:sz w:val="32"/>
          <w:szCs w:val="32"/>
          <w:highlight w:val="none"/>
        </w:rPr>
      </w:pPr>
    </w:p>
    <w:p>
      <w:pPr>
        <w:keepNext w:val="0"/>
        <w:keepLines w:val="0"/>
        <w:pageBreakBefore w:val="0"/>
        <w:widowControl w:val="0"/>
        <w:kinsoku/>
        <w:wordWrap/>
        <w:overflowPunct/>
        <w:topLinePunct w:val="0"/>
        <w:autoSpaceDE/>
        <w:autoSpaceDN/>
        <w:bidi w:val="0"/>
        <w:adjustRightInd w:val="0"/>
        <w:snapToGrid w:val="0"/>
        <w:spacing w:line="578" w:lineRule="exact"/>
        <w:ind w:firstLine="640" w:firstLineChars="200"/>
        <w:textAlignment w:val="auto"/>
        <w:rPr>
          <w:rFonts w:ascii="黑体" w:hAnsi="宋体" w:eastAsia="黑体"/>
          <w:highlight w:val="none"/>
          <w:lang w:val="zh-CN"/>
        </w:rPr>
      </w:pPr>
      <w:r>
        <w:rPr>
          <w:rFonts w:hint="eastAsia" w:ascii="黑体" w:hAnsi="宋体" w:eastAsia="黑体"/>
          <w:highlight w:val="none"/>
        </w:rPr>
        <w:t>一、</w:t>
      </w:r>
      <w:r>
        <w:rPr>
          <w:rFonts w:hint="eastAsia" w:ascii="黑体" w:hAnsi="宋体" w:eastAsia="黑体"/>
          <w:highlight w:val="none"/>
          <w:lang w:val="zh-CN"/>
        </w:rPr>
        <w:t>项目概况</w:t>
      </w:r>
      <w:bookmarkStart w:id="1" w:name="_GoBack"/>
      <w:bookmarkEnd w:id="1"/>
    </w:p>
    <w:p>
      <w:pPr>
        <w:keepNext w:val="0"/>
        <w:keepLines w:val="0"/>
        <w:pageBreakBefore w:val="0"/>
        <w:widowControl/>
        <w:numPr>
          <w:ilvl w:val="0"/>
          <w:numId w:val="0"/>
        </w:numPr>
        <w:kinsoku/>
        <w:wordWrap/>
        <w:overflowPunct/>
        <w:topLinePunct w:val="0"/>
        <w:autoSpaceDE/>
        <w:autoSpaceDN/>
        <w:bidi w:val="0"/>
        <w:adjustRightInd w:val="0"/>
        <w:snapToGrid w:val="0"/>
        <w:spacing w:line="578" w:lineRule="exact"/>
        <w:ind w:left="0" w:leftChars="0" w:firstLine="642" w:firstLineChars="200"/>
        <w:contextualSpacing/>
        <w:jc w:val="left"/>
        <w:textAlignment w:val="auto"/>
        <w:rPr>
          <w:rFonts w:hint="eastAsia" w:ascii="仿宋_GB2312" w:hAnsi="仿宋_GB2312" w:cs="仿宋_GB2312"/>
          <w:color w:val="auto"/>
          <w:kern w:val="0"/>
          <w:sz w:val="32"/>
          <w:szCs w:val="32"/>
          <w:highlight w:val="none"/>
          <w:u w:val="none"/>
          <w:shd w:val="clear" w:color="auto" w:fill="FFFFFF"/>
          <w:lang w:val="zh-CN" w:eastAsia="zh-CN"/>
        </w:rPr>
      </w:pPr>
      <w:r>
        <w:rPr>
          <w:rFonts w:hint="eastAsia" w:ascii="楷体_GB2312" w:hAnsi="宋体" w:eastAsia="楷体_GB2312"/>
          <w:b/>
          <w:color w:val="auto"/>
          <w:sz w:val="32"/>
          <w:szCs w:val="32"/>
          <w:highlight w:val="none"/>
          <w:u w:val="none"/>
          <w:lang w:val="zh-CN"/>
        </w:rPr>
        <w:t>（一）设立背景及基本情况。</w:t>
      </w:r>
      <w:r>
        <w:rPr>
          <w:rFonts w:hint="eastAsia" w:ascii="仿宋_GB2312" w:hAnsi="仿宋_GB2312" w:cs="仿宋_GB2312"/>
          <w:color w:val="auto"/>
          <w:kern w:val="0"/>
          <w:sz w:val="32"/>
          <w:szCs w:val="32"/>
          <w:highlight w:val="none"/>
          <w:u w:val="none"/>
          <w:shd w:val="clear" w:color="auto" w:fill="FFFFFF"/>
          <w:lang w:val="zh-CN" w:eastAsia="zh-CN"/>
        </w:rPr>
        <w:t>为进一步做好2021年第二批省级工业发展资金（助力乡村振兴资金）管理使用，县经信局于2022年4月25日通过县人民政府官网对2021年第二批省级工业发展资金项目进行公示征集，征集时间为2022年4月25日至5月20日。征集到2021年第二批省级工业发展资金项目1个，即：黑水康鑫农牧业有限责任公司“黑水康鑫扶贫车间灾后生产线设备购置项目”；项目征集后，县经信局组织人员对项目进行实地核查，就项目的真实性及建设进度进行了解，并对项目申报资料进行指导、初审。2022年5月31日，州经信局组织相关专家在都江堰对全州2021年第二批省级工业发展专项资金项目进行评审，我县黑水康鑫农牧业有限责任公司申报的“黑水康鑫扶贫车间灾后生产线设备购置项目”通过专家组申报评审。根据专家组现场意见，项目名称、内容等需进一步优化调整。我局在申报评审工作结束后，积极指导该企业补充完善项目申报资料，完善后项目名称改为“黑水县康鑫农牧业有限公司藏香猪肉制品深加工设备更新改造及相关配套设施建设项目”；我局委托阿坝州工业经济研究院在阿坝州经信系统专家库抽取相关专家对黑水康鑫农牧业有限责任公司验收资料开展竣工评审工作，经请示州经信局同意，2023年6月29日，在成都对该项目开展验收工作，该项目通过专家组验收评审。专家意见为:项目实际投资3942103元，完成了生产加工设备更新及厂房、库房等设备设施改造，建议给予补助资金50万元；黑水康鑫农牧业有限责任公司实施的“藏香猪肉制品深加工设备更新改造及相关配套设施建设项目”总投资394.21万元，其中固定资产投资265万元。根据《阿坝州经济和信息化局关于工业发展专项资金项目管理和验收细则（试行）》（阿州经信〔2021〕225号）要求，单个补助项目额度原则上不超过该项目固定资产投资的20%，拟补助“黑水县康鑫农牧业有限公司藏香猪肉制品深加工设备更新改造及相关配套设施建设项目”资金50万元。</w:t>
      </w:r>
    </w:p>
    <w:p>
      <w:pPr>
        <w:keepNext w:val="0"/>
        <w:keepLines w:val="0"/>
        <w:pageBreakBefore w:val="0"/>
        <w:widowControl/>
        <w:numPr>
          <w:ilvl w:val="0"/>
          <w:numId w:val="0"/>
        </w:numPr>
        <w:kinsoku/>
        <w:wordWrap/>
        <w:overflowPunct/>
        <w:topLinePunct w:val="0"/>
        <w:autoSpaceDE/>
        <w:autoSpaceDN/>
        <w:bidi w:val="0"/>
        <w:adjustRightInd w:val="0"/>
        <w:snapToGrid w:val="0"/>
        <w:spacing w:line="578" w:lineRule="exact"/>
        <w:ind w:left="0" w:leftChars="0" w:firstLine="642" w:firstLineChars="200"/>
        <w:contextualSpacing/>
        <w:jc w:val="left"/>
        <w:textAlignment w:val="auto"/>
        <w:rPr>
          <w:rFonts w:hint="eastAsia" w:ascii="仿宋_GB2312" w:hAnsi="仿宋_GB2312" w:cs="仿宋_GB2312"/>
          <w:color w:val="auto"/>
          <w:kern w:val="0"/>
          <w:sz w:val="32"/>
          <w:szCs w:val="32"/>
          <w:highlight w:val="none"/>
          <w:u w:val="none"/>
          <w:shd w:val="clear" w:color="auto" w:fill="FFFFFF"/>
          <w:lang w:val="zh-CN" w:eastAsia="zh-CN"/>
        </w:rPr>
      </w:pPr>
      <w:r>
        <w:rPr>
          <w:rFonts w:hint="eastAsia" w:ascii="楷体_GB2312" w:hAnsi="宋体" w:eastAsia="楷体_GB2312"/>
          <w:b/>
          <w:color w:val="auto"/>
          <w:sz w:val="32"/>
          <w:szCs w:val="32"/>
          <w:highlight w:val="none"/>
          <w:u w:val="none"/>
          <w:lang w:val="zh-CN"/>
        </w:rPr>
        <w:t>（</w:t>
      </w:r>
      <w:r>
        <w:rPr>
          <w:rFonts w:hint="eastAsia" w:ascii="楷体_GB2312" w:hAnsi="宋体" w:eastAsia="楷体_GB2312" w:cs="Times New Roman"/>
          <w:b/>
          <w:color w:val="auto"/>
          <w:sz w:val="32"/>
          <w:szCs w:val="32"/>
          <w:highlight w:val="none"/>
          <w:u w:val="none"/>
          <w:lang w:val="zh-CN"/>
        </w:rPr>
        <w:t>二）</w:t>
      </w:r>
      <w:r>
        <w:rPr>
          <w:rFonts w:hint="default" w:ascii="楷体_GB2312" w:hAnsi="宋体" w:eastAsia="楷体_GB2312" w:cs="Times New Roman"/>
          <w:b/>
          <w:color w:val="auto"/>
          <w:sz w:val="32"/>
          <w:szCs w:val="32"/>
          <w:highlight w:val="none"/>
          <w:u w:val="none"/>
          <w:lang w:val="en-US" w:eastAsia="zh-CN"/>
        </w:rPr>
        <w:t>实施目的及支持方向</w:t>
      </w:r>
      <w:r>
        <w:rPr>
          <w:rFonts w:hint="eastAsia" w:ascii="楷体_GB2312" w:hAnsi="宋体" w:eastAsia="楷体_GB2312" w:cs="Times New Roman"/>
          <w:b/>
          <w:color w:val="auto"/>
          <w:sz w:val="32"/>
          <w:szCs w:val="32"/>
          <w:highlight w:val="none"/>
          <w:u w:val="none"/>
          <w:lang w:val="en-US" w:eastAsia="zh-CN"/>
        </w:rPr>
        <w:t>。</w:t>
      </w:r>
      <w:r>
        <w:rPr>
          <w:rFonts w:hint="eastAsia" w:ascii="仿宋_GB2312" w:hAnsi="仿宋_GB2312" w:cs="仿宋_GB2312"/>
          <w:color w:val="auto"/>
          <w:kern w:val="0"/>
          <w:sz w:val="32"/>
          <w:szCs w:val="32"/>
          <w:highlight w:val="none"/>
          <w:u w:val="none"/>
          <w:shd w:val="clear" w:color="auto" w:fill="FFFFFF"/>
          <w:lang w:val="en-US" w:eastAsia="zh-CN"/>
        </w:rPr>
        <w:t>支持黑水康鑫农牧业技术升级改造，扩大生产规模，开发新产品，拓宽销售市场，提升农特产品品牌竞争力。</w:t>
      </w:r>
      <w:r>
        <w:rPr>
          <w:rFonts w:hint="eastAsia" w:ascii="仿宋_GB2312" w:hAnsi="仿宋_GB2312" w:cs="仿宋_GB2312"/>
          <w:color w:val="auto"/>
          <w:kern w:val="0"/>
          <w:sz w:val="32"/>
          <w:szCs w:val="32"/>
          <w:highlight w:val="none"/>
          <w:u w:val="none"/>
          <w:shd w:val="clear" w:color="auto" w:fill="FFFFFF"/>
          <w:lang w:val="zh-CN" w:eastAsia="zh-CN"/>
        </w:rPr>
        <w:t>根据《阿坝州经济和信息化局关于工业发展专项资金项目管理和验收细则（试行）》（阿州经信〔2021〕225号）要求，单个补助项目额度原则上不超过该项目固定资产投资的20%，拟补助“黑水县康鑫农牧业有限公司藏香猪肉制品深加工设备更新改造及相关配套设施建设项目”资金50万元。</w:t>
      </w:r>
    </w:p>
    <w:p>
      <w:pPr>
        <w:keepNext w:val="0"/>
        <w:keepLines w:val="0"/>
        <w:pageBreakBefore w:val="0"/>
        <w:kinsoku/>
        <w:wordWrap/>
        <w:overflowPunct/>
        <w:topLinePunct w:val="0"/>
        <w:autoSpaceDE/>
        <w:autoSpaceDN/>
        <w:bidi w:val="0"/>
        <w:adjustRightInd w:val="0"/>
        <w:snapToGrid w:val="0"/>
        <w:spacing w:line="578" w:lineRule="exact"/>
        <w:ind w:left="0" w:leftChars="0" w:firstLine="642" w:firstLineChars="200"/>
        <w:textAlignment w:val="auto"/>
        <w:rPr>
          <w:rFonts w:ascii="楷体_GB2312" w:hAnsi="宋体" w:eastAsia="楷体_GB2312"/>
          <w:b/>
          <w:color w:val="auto"/>
          <w:sz w:val="32"/>
          <w:szCs w:val="32"/>
          <w:highlight w:val="none"/>
          <w:u w:val="none"/>
          <w:lang w:val="zh-CN"/>
        </w:rPr>
      </w:pPr>
    </w:p>
    <w:p>
      <w:pPr>
        <w:keepNext w:val="0"/>
        <w:keepLines w:val="0"/>
        <w:pageBreakBefore w:val="0"/>
        <w:widowControl/>
        <w:numPr>
          <w:ilvl w:val="0"/>
          <w:numId w:val="0"/>
        </w:numPr>
        <w:kinsoku/>
        <w:wordWrap/>
        <w:overflowPunct/>
        <w:topLinePunct w:val="0"/>
        <w:autoSpaceDE/>
        <w:autoSpaceDN/>
        <w:bidi w:val="0"/>
        <w:adjustRightInd w:val="0"/>
        <w:snapToGrid w:val="0"/>
        <w:spacing w:line="578" w:lineRule="exact"/>
        <w:ind w:left="0" w:leftChars="0" w:firstLine="642" w:firstLineChars="200"/>
        <w:contextualSpacing/>
        <w:jc w:val="left"/>
        <w:textAlignment w:val="auto"/>
        <w:rPr>
          <w:rFonts w:hint="eastAsia" w:ascii="仿宋_GB2312" w:hAnsi="仿宋_GB2312" w:cs="仿宋_GB2312"/>
          <w:color w:val="auto"/>
          <w:kern w:val="0"/>
          <w:sz w:val="32"/>
          <w:szCs w:val="32"/>
          <w:highlight w:val="none"/>
          <w:u w:val="none"/>
          <w:shd w:val="clear" w:color="auto" w:fill="FFFFFF"/>
          <w:lang w:val="zh-CN"/>
        </w:rPr>
      </w:pPr>
      <w:r>
        <w:rPr>
          <w:rFonts w:hint="eastAsia" w:ascii="楷体_GB2312" w:hAnsi="宋体" w:eastAsia="楷体_GB2312" w:cs="Times New Roman"/>
          <w:b/>
          <w:color w:val="auto"/>
          <w:sz w:val="32"/>
          <w:szCs w:val="32"/>
          <w:highlight w:val="none"/>
          <w:u w:val="none"/>
          <w:lang w:val="zh-CN" w:eastAsia="zh-CN"/>
        </w:rPr>
        <w:t>（三）</w:t>
      </w:r>
      <w:r>
        <w:rPr>
          <w:rFonts w:hint="default" w:ascii="楷体_GB2312" w:hAnsi="宋体" w:eastAsia="楷体_GB2312" w:cs="Times New Roman"/>
          <w:b/>
          <w:color w:val="auto"/>
          <w:sz w:val="32"/>
          <w:szCs w:val="32"/>
          <w:highlight w:val="none"/>
          <w:u w:val="none"/>
          <w:lang w:val="en-US" w:eastAsia="zh-CN"/>
        </w:rPr>
        <w:t>预算安排及分配管理</w:t>
      </w:r>
      <w:r>
        <w:rPr>
          <w:rFonts w:hint="eastAsia" w:ascii="楷体_GB2312" w:hAnsi="宋体" w:eastAsia="楷体_GB2312" w:cs="Times New Roman"/>
          <w:b/>
          <w:color w:val="auto"/>
          <w:sz w:val="32"/>
          <w:szCs w:val="32"/>
          <w:highlight w:val="none"/>
          <w:u w:val="none"/>
          <w:lang w:val="zh-CN" w:eastAsia="zh-CN"/>
        </w:rPr>
        <w:t>。</w:t>
      </w:r>
      <w:r>
        <w:rPr>
          <w:rFonts w:hint="eastAsia" w:ascii="仿宋_GB2312" w:hAnsi="仿宋_GB2312" w:cs="仿宋_GB2312"/>
          <w:color w:val="auto"/>
          <w:kern w:val="0"/>
          <w:sz w:val="32"/>
          <w:szCs w:val="32"/>
          <w:highlight w:val="none"/>
          <w:u w:val="none"/>
          <w:shd w:val="clear" w:color="auto" w:fill="FFFFFF"/>
          <w:lang w:val="zh-CN" w:eastAsia="zh-CN"/>
        </w:rPr>
        <w:t>根据《阿坝州经济和信息化局关于工业发展专项资金项目管理和验收细则（试行）》（阿州经信〔2021〕225号）要求，单个补助项目额度原则上不超过该项目固定资产投资的20%，拟补助“黑水县康鑫农牧业有限公司藏香猪肉制品深加工设备更新改造及相关配套设施建设项目”资金50万元。</w:t>
      </w:r>
    </w:p>
    <w:p>
      <w:pPr>
        <w:keepNext w:val="0"/>
        <w:keepLines w:val="0"/>
        <w:pageBreakBefore w:val="0"/>
        <w:kinsoku/>
        <w:wordWrap/>
        <w:overflowPunct/>
        <w:topLinePunct w:val="0"/>
        <w:autoSpaceDE/>
        <w:autoSpaceDN/>
        <w:bidi w:val="0"/>
        <w:adjustRightInd w:val="0"/>
        <w:snapToGrid w:val="0"/>
        <w:spacing w:line="578" w:lineRule="exact"/>
        <w:ind w:left="0" w:leftChars="0" w:firstLine="642" w:firstLineChars="200"/>
        <w:textAlignment w:val="auto"/>
        <w:rPr>
          <w:rFonts w:hint="default" w:ascii="仿宋_GB2312" w:hAnsi="仿宋_GB2312" w:cs="仿宋_GB2312"/>
          <w:color w:val="auto"/>
          <w:kern w:val="0"/>
          <w:sz w:val="32"/>
          <w:szCs w:val="32"/>
          <w:highlight w:val="none"/>
          <w:u w:val="none"/>
          <w:shd w:val="clear" w:color="auto" w:fill="FFFFFF"/>
          <w:lang w:val="zh-CN" w:eastAsia="zh-CN"/>
        </w:rPr>
      </w:pPr>
      <w:r>
        <w:rPr>
          <w:rFonts w:hint="eastAsia" w:ascii="楷体_GB2312" w:hAnsi="宋体" w:eastAsia="楷体_GB2312" w:cs="Times New Roman"/>
          <w:b/>
          <w:color w:val="auto"/>
          <w:sz w:val="32"/>
          <w:szCs w:val="32"/>
          <w:highlight w:val="none"/>
          <w:u w:val="none"/>
          <w:lang w:val="zh-CN" w:eastAsia="zh-CN"/>
        </w:rPr>
        <w:t>（四）项目绩效目标设置。</w:t>
      </w:r>
      <w:r>
        <w:rPr>
          <w:rFonts w:hint="eastAsia" w:ascii="仿宋_GB2312" w:hAnsi="仿宋_GB2312" w:cs="仿宋_GB2312"/>
          <w:color w:val="auto"/>
          <w:kern w:val="0"/>
          <w:sz w:val="32"/>
          <w:szCs w:val="32"/>
          <w:highlight w:val="none"/>
          <w:u w:val="none"/>
          <w:shd w:val="clear" w:color="auto" w:fill="FFFFFF"/>
          <w:lang w:val="en-US" w:eastAsia="zh-CN"/>
        </w:rPr>
        <w:t>支持黑水康鑫农牧业技术升级改造，扩大生产规模，开发新产品，拓宽销售市场，提升农特产品品牌竞争力。</w:t>
      </w:r>
      <w:r>
        <w:rPr>
          <w:rFonts w:hint="eastAsia" w:ascii="仿宋_GB2312" w:hAnsi="仿宋_GB2312" w:cs="仿宋_GB2312"/>
          <w:color w:val="auto"/>
          <w:kern w:val="0"/>
          <w:sz w:val="32"/>
          <w:szCs w:val="32"/>
          <w:highlight w:val="none"/>
          <w:u w:val="none"/>
          <w:shd w:val="clear" w:color="auto" w:fill="FFFFFF"/>
          <w:lang w:val="zh-CN" w:eastAsia="zh-CN"/>
        </w:rPr>
        <w:t>根据《阿坝州经济和信息化局关于工业发展专项资金项目管理和验收细则（试行）》（阿州经信〔2021〕225号）要求，单个补助项目额度原则上不超过该项目固定资产投资的20%，拟补助“黑水县康鑫农牧业有限公司藏香猪肉制品深加工设备更新改造及相关配套设施建设项目”资金50万元。</w:t>
      </w:r>
    </w:p>
    <w:p>
      <w:pPr>
        <w:keepNext w:val="0"/>
        <w:keepLines w:val="0"/>
        <w:pageBreakBefore w:val="0"/>
        <w:widowControl w:val="0"/>
        <w:kinsoku/>
        <w:wordWrap/>
        <w:overflowPunct/>
        <w:topLinePunct w:val="0"/>
        <w:autoSpaceDE/>
        <w:autoSpaceDN/>
        <w:bidi w:val="0"/>
        <w:adjustRightInd w:val="0"/>
        <w:snapToGrid w:val="0"/>
        <w:spacing w:line="578" w:lineRule="exact"/>
        <w:ind w:firstLine="640" w:firstLineChars="200"/>
        <w:textAlignment w:val="auto"/>
        <w:outlineLvl w:val="9"/>
        <w:rPr>
          <w:rFonts w:hint="eastAsia" w:ascii="黑体" w:hAnsi="宋体" w:eastAsia="黑体"/>
          <w:highlight w:val="none"/>
          <w:lang w:eastAsia="zh-CN"/>
        </w:rPr>
      </w:pPr>
      <w:r>
        <w:rPr>
          <w:rFonts w:hint="eastAsia" w:ascii="黑体" w:hAnsi="宋体" w:eastAsia="黑体"/>
          <w:highlight w:val="none"/>
        </w:rPr>
        <w:t>二、</w:t>
      </w:r>
      <w:r>
        <w:rPr>
          <w:rFonts w:hint="eastAsia" w:ascii="黑体" w:hAnsi="宋体" w:eastAsia="黑体"/>
          <w:highlight w:val="none"/>
          <w:lang w:eastAsia="zh-CN"/>
        </w:rPr>
        <w:t>评价实施</w:t>
      </w:r>
    </w:p>
    <w:p>
      <w:pPr>
        <w:adjustRightInd w:val="0"/>
        <w:snapToGrid w:val="0"/>
        <w:spacing w:line="578" w:lineRule="exact"/>
        <w:ind w:firstLine="642" w:firstLineChars="200"/>
        <w:rPr>
          <w:rFonts w:eastAsia="仿宋_GB2312" w:cs="Times New Roman"/>
          <w:szCs w:val="32"/>
        </w:rPr>
      </w:pPr>
      <w:r>
        <w:rPr>
          <w:rFonts w:hint="eastAsia" w:ascii="楷体_GB2312" w:hAnsi="宋体" w:eastAsia="楷体_GB2312"/>
          <w:b/>
          <w:color w:val="auto"/>
          <w:sz w:val="32"/>
          <w:szCs w:val="32"/>
          <w:highlight w:val="none"/>
          <w:u w:val="none"/>
          <w:lang w:val="zh-CN"/>
        </w:rPr>
        <w:t>（一）评价目的。</w:t>
      </w:r>
      <w:r>
        <w:rPr>
          <w:rFonts w:hint="eastAsia" w:ascii="Times New Roman" w:hAnsi="Times New Roman" w:cs="Times New Roman"/>
          <w:kern w:val="0"/>
          <w:szCs w:val="28"/>
        </w:rPr>
        <w:t>为了进一步规范和加强预算绩效管理和专项资金管理，为项目设立和预算安排提供重要参考依据，提高预算编制科学性、合理性，优化财政支出结构，从源头上防控财政资源配置的低效无效，提高财政资源配置效率和财政资金使用效益，</w:t>
      </w:r>
      <w:r>
        <w:rPr>
          <w:rFonts w:hint="eastAsia" w:ascii="Times New Roman" w:hAnsi="Times New Roman" w:cs="Times New Roman"/>
          <w:kern w:val="0"/>
          <w:szCs w:val="28"/>
          <w:lang w:val="en-US" w:eastAsia="zh-CN"/>
        </w:rPr>
        <w:t>阿坝州财政局</w:t>
      </w:r>
      <w:r>
        <w:rPr>
          <w:rFonts w:hint="eastAsia" w:ascii="Times New Roman" w:hAnsi="Times New Roman" w:cs="Times New Roman"/>
          <w:kern w:val="0"/>
          <w:szCs w:val="28"/>
        </w:rPr>
        <w:t>印发《</w:t>
      </w:r>
      <w:r>
        <w:rPr>
          <w:rFonts w:hint="eastAsia" w:ascii="Times New Roman" w:hAnsi="Times New Roman" w:cs="Times New Roman"/>
          <w:kern w:val="0"/>
          <w:szCs w:val="28"/>
          <w:lang w:val="en-US" w:eastAsia="zh-CN"/>
        </w:rPr>
        <w:t>阿坝州财政局关于开展2024年州级部门绩效自评工作的</w:t>
      </w:r>
      <w:r>
        <w:rPr>
          <w:rFonts w:hint="eastAsia" w:ascii="Times New Roman" w:hAnsi="Times New Roman" w:cs="Times New Roman"/>
          <w:kern w:val="0"/>
          <w:szCs w:val="28"/>
          <w:lang w:eastAsia="zh-CN"/>
        </w:rPr>
        <w:t>通知</w:t>
      </w:r>
      <w:r>
        <w:rPr>
          <w:rFonts w:hint="eastAsia" w:ascii="Times New Roman" w:hAnsi="Times New Roman" w:cs="Times New Roman"/>
          <w:kern w:val="0"/>
          <w:szCs w:val="28"/>
        </w:rPr>
        <w:t>》（</w:t>
      </w:r>
      <w:r>
        <w:rPr>
          <w:rFonts w:hint="eastAsia" w:ascii="Times New Roman" w:hAnsi="Times New Roman" w:cs="Times New Roman"/>
          <w:kern w:val="0"/>
          <w:szCs w:val="28"/>
          <w:lang w:val="en-US" w:eastAsia="zh-CN"/>
        </w:rPr>
        <w:t>阿州财监绩〔2024〕19号</w:t>
      </w:r>
      <w:r>
        <w:rPr>
          <w:rFonts w:hint="eastAsia" w:ascii="Times New Roman" w:hAnsi="Times New Roman" w:cs="Times New Roman"/>
          <w:kern w:val="0"/>
          <w:szCs w:val="28"/>
        </w:rPr>
        <w:t>），要求</w:t>
      </w:r>
      <w:r>
        <w:rPr>
          <w:rFonts w:hint="eastAsia" w:ascii="Times New Roman" w:hAnsi="Times New Roman" w:cs="Times New Roman"/>
          <w:kern w:val="0"/>
          <w:szCs w:val="28"/>
          <w:lang w:eastAsia="zh-CN"/>
        </w:rPr>
        <w:t>各部门（单位）</w:t>
      </w:r>
      <w:r>
        <w:rPr>
          <w:rFonts w:hint="eastAsia" w:ascii="Times New Roman" w:hAnsi="Times New Roman" w:cs="Times New Roman"/>
          <w:kern w:val="0"/>
          <w:szCs w:val="28"/>
        </w:rPr>
        <w:t>按照</w:t>
      </w:r>
      <w:r>
        <w:rPr>
          <w:rFonts w:hint="eastAsia" w:ascii="Times New Roman" w:hAnsi="Times New Roman" w:cs="Times New Roman"/>
          <w:kern w:val="0"/>
          <w:szCs w:val="28"/>
          <w:lang w:eastAsia="zh-CN"/>
        </w:rPr>
        <w:t>州财政局</w:t>
      </w:r>
      <w:r>
        <w:rPr>
          <w:rFonts w:hint="eastAsia" w:ascii="Times New Roman" w:hAnsi="Times New Roman" w:cs="Times New Roman"/>
          <w:kern w:val="0"/>
          <w:szCs w:val="28"/>
        </w:rPr>
        <w:t>制定的相关制度办法和共性绩效指标框架，建立涵盖项目决策、项目管理、项目实施、项目结果、民生保障五个板块，覆盖所有管理对象，贯穿绩效目标管理、事前评估、事中监控、事后评价以及绩效结果应用全过程的本部门的具体措施、实施细则和指标体系，形成全州全面实施预算绩效管理制度体系格局。通过本次评价总结经验，发现问题，提出改进建议，进一步提升加强项目支出绩效管理水平、提升预算管理水平、提升项目管理水平。</w:t>
      </w:r>
    </w:p>
    <w:p>
      <w:pPr>
        <w:adjustRightInd w:val="0"/>
        <w:snapToGrid w:val="0"/>
        <w:spacing w:line="578" w:lineRule="exact"/>
        <w:ind w:firstLine="642" w:firstLineChars="200"/>
        <w:rPr>
          <w:rFonts w:ascii="楷体_GB2312" w:hAnsi="宋体" w:eastAsia="楷体_GB2312"/>
          <w:b/>
          <w:lang w:val="zh-CN"/>
        </w:rPr>
      </w:pPr>
      <w:r>
        <w:rPr>
          <w:rFonts w:hint="eastAsia" w:ascii="楷体_GB2312" w:hAnsi="宋体" w:eastAsia="楷体_GB2312" w:cs="Times New Roman"/>
          <w:b/>
          <w:color w:val="auto"/>
          <w:sz w:val="32"/>
          <w:szCs w:val="32"/>
          <w:highlight w:val="none"/>
          <w:u w:val="none"/>
          <w:lang w:val="zh-CN"/>
        </w:rPr>
        <w:t>（二）预设问题及评价重点。</w:t>
      </w:r>
      <w:r>
        <w:rPr>
          <w:rFonts w:hint="eastAsia"/>
          <w:kern w:val="0"/>
          <w:szCs w:val="28"/>
        </w:rPr>
        <w:t>本次评价主要针对该项目的规划编制的内容完整性和项目实施工作的质量问题，结合该项目资金的使用情况来完整的体现。</w:t>
      </w:r>
    </w:p>
    <w:p>
      <w:pPr>
        <w:adjustRightInd w:val="0"/>
        <w:snapToGrid w:val="0"/>
        <w:spacing w:line="578" w:lineRule="exact"/>
        <w:ind w:firstLine="642" w:firstLineChars="200"/>
        <w:rPr>
          <w:rFonts w:hint="eastAsia"/>
          <w:kern w:val="0"/>
          <w:szCs w:val="28"/>
        </w:rPr>
      </w:pPr>
      <w:r>
        <w:rPr>
          <w:rFonts w:hint="eastAsia" w:ascii="楷体_GB2312" w:hAnsi="宋体" w:eastAsia="楷体_GB2312" w:cs="Times New Roman"/>
          <w:b/>
          <w:color w:val="auto"/>
          <w:sz w:val="32"/>
          <w:szCs w:val="32"/>
          <w:highlight w:val="none"/>
          <w:u w:val="none"/>
          <w:lang w:val="zh-CN"/>
        </w:rPr>
        <w:t>（三）评价选点。</w:t>
      </w:r>
      <w:r>
        <w:rPr>
          <w:rFonts w:hint="eastAsia" w:ascii="Times New Roman" w:hAnsi="Times New Roman" w:cs="Times New Roman"/>
          <w:kern w:val="0"/>
          <w:szCs w:val="28"/>
          <w:lang w:val="zh-CN" w:eastAsia="zh-CN"/>
        </w:rPr>
        <w:t>2021年第二批省级工业发展专项资金</w:t>
      </w:r>
      <w:r>
        <w:rPr>
          <w:rFonts w:hint="eastAsia" w:ascii="Times New Roman" w:hAnsi="Times New Roman" w:cs="Times New Roman"/>
          <w:kern w:val="0"/>
          <w:szCs w:val="28"/>
        </w:rPr>
        <w:t>项</w:t>
      </w:r>
      <w:r>
        <w:rPr>
          <w:rFonts w:hint="eastAsia"/>
          <w:kern w:val="0"/>
          <w:szCs w:val="28"/>
        </w:rPr>
        <w:t>目主要开展工作地点为</w:t>
      </w:r>
      <w:r>
        <w:rPr>
          <w:rFonts w:hint="eastAsia"/>
          <w:kern w:val="0"/>
          <w:szCs w:val="28"/>
          <w:lang w:eastAsia="zh-CN"/>
        </w:rPr>
        <w:t>黑水</w:t>
      </w:r>
      <w:r>
        <w:rPr>
          <w:rFonts w:hint="eastAsia"/>
          <w:kern w:val="0"/>
          <w:szCs w:val="28"/>
        </w:rPr>
        <w:t>县，本次绩效评价主体为</w:t>
      </w:r>
      <w:r>
        <w:rPr>
          <w:rFonts w:hint="eastAsia"/>
          <w:kern w:val="0"/>
          <w:szCs w:val="28"/>
          <w:lang w:eastAsia="zh-CN"/>
        </w:rPr>
        <w:t>阿坝州财政局</w:t>
      </w:r>
      <w:r>
        <w:rPr>
          <w:rFonts w:hint="eastAsia"/>
          <w:kern w:val="0"/>
          <w:szCs w:val="28"/>
        </w:rPr>
        <w:t>，项目不</w:t>
      </w:r>
      <w:r>
        <w:rPr>
          <w:rFonts w:hint="eastAsia"/>
          <w:kern w:val="0"/>
          <w:szCs w:val="28"/>
          <w:lang w:eastAsia="zh-CN"/>
        </w:rPr>
        <w:t>涉及其他</w:t>
      </w:r>
      <w:r>
        <w:rPr>
          <w:rFonts w:hint="eastAsia"/>
          <w:kern w:val="0"/>
          <w:szCs w:val="28"/>
        </w:rPr>
        <w:t>点位。</w:t>
      </w:r>
    </w:p>
    <w:p>
      <w:pPr>
        <w:keepNext w:val="0"/>
        <w:keepLines w:val="0"/>
        <w:pageBreakBefore w:val="0"/>
        <w:widowControl w:val="0"/>
        <w:kinsoku/>
        <w:wordWrap/>
        <w:overflowPunct/>
        <w:topLinePunct w:val="0"/>
        <w:autoSpaceDE/>
        <w:autoSpaceDN/>
        <w:bidi w:val="0"/>
        <w:spacing w:line="578" w:lineRule="exact"/>
        <w:ind w:firstLine="640"/>
        <w:textAlignment w:val="auto"/>
        <w:outlineLvl w:val="9"/>
        <w:rPr>
          <w:rFonts w:eastAsia="仿宋_GB2312" w:cs="Times New Roman"/>
          <w:szCs w:val="32"/>
        </w:rPr>
      </w:pPr>
      <w:r>
        <w:rPr>
          <w:rFonts w:hint="eastAsia" w:ascii="楷体_GB2312" w:hAnsi="宋体" w:eastAsia="楷体_GB2312"/>
          <w:b/>
          <w:color w:val="auto"/>
          <w:sz w:val="32"/>
          <w:szCs w:val="32"/>
          <w:highlight w:val="none"/>
          <w:u w:val="none"/>
          <w:lang w:val="zh-CN"/>
        </w:rPr>
        <w:t>（四）评价方法。</w:t>
      </w:r>
      <w:r>
        <w:rPr>
          <w:rFonts w:eastAsia="仿宋_GB2312" w:cs="Times New Roman"/>
          <w:szCs w:val="32"/>
        </w:rPr>
        <w:t>根据项目情况和评价重点，</w:t>
      </w:r>
      <w:r>
        <w:rPr>
          <w:rFonts w:hint="eastAsia" w:ascii="仿宋_GB2312" w:hAnsi="仿宋_GB2312" w:cs="仿宋_GB2312"/>
          <w:color w:val="auto"/>
          <w:kern w:val="0"/>
          <w:sz w:val="32"/>
          <w:szCs w:val="32"/>
          <w:highlight w:val="none"/>
          <w:u w:val="none"/>
          <w:shd w:val="clear" w:color="auto" w:fill="FFFFFF"/>
          <w:lang w:val="zh-CN" w:eastAsia="zh-CN"/>
        </w:rPr>
        <w:t>我局委托阿坝州工业经济研究院在阿坝州经信系统专家库抽取相关专家对黑水康鑫农牧业有限责任公司验收资料开展竣工评审工作，经请示州经信局同意，2023年6月29日，在成都对该项目开展验收工作，该项目通过专家组验收评审。</w:t>
      </w:r>
    </w:p>
    <w:p>
      <w:pPr>
        <w:adjustRightInd w:val="0"/>
        <w:snapToGrid w:val="0"/>
        <w:spacing w:line="578" w:lineRule="exact"/>
        <w:ind w:firstLine="642" w:firstLineChars="200"/>
        <w:rPr>
          <w:kern w:val="0"/>
          <w:szCs w:val="28"/>
        </w:rPr>
      </w:pPr>
      <w:r>
        <w:rPr>
          <w:rFonts w:hint="eastAsia" w:ascii="楷体_GB2312" w:hAnsi="宋体" w:eastAsia="楷体_GB2312"/>
          <w:b/>
          <w:color w:val="auto"/>
          <w:sz w:val="32"/>
          <w:szCs w:val="32"/>
          <w:highlight w:val="none"/>
          <w:u w:val="none"/>
          <w:lang w:val="zh-CN"/>
        </w:rPr>
        <w:t>（五）评价组织。</w:t>
      </w:r>
      <w:r>
        <w:rPr>
          <w:rFonts w:hint="eastAsia"/>
          <w:kern w:val="0"/>
          <w:szCs w:val="28"/>
        </w:rPr>
        <w:t>1.</w:t>
      </w:r>
      <w:r>
        <w:rPr>
          <w:kern w:val="0"/>
          <w:szCs w:val="28"/>
        </w:rPr>
        <w:t>领导小组职责：</w:t>
      </w:r>
    </w:p>
    <w:p>
      <w:pPr>
        <w:adjustRightInd w:val="0"/>
        <w:snapToGrid w:val="0"/>
        <w:spacing w:line="578" w:lineRule="exact"/>
        <w:ind w:firstLine="640" w:firstLineChars="200"/>
        <w:rPr>
          <w:kern w:val="0"/>
          <w:szCs w:val="28"/>
        </w:rPr>
      </w:pPr>
      <w:r>
        <w:rPr>
          <w:rFonts w:hint="eastAsia"/>
          <w:kern w:val="0"/>
          <w:szCs w:val="28"/>
        </w:rPr>
        <w:t>（1）</w:t>
      </w:r>
      <w:r>
        <w:rPr>
          <w:kern w:val="0"/>
          <w:szCs w:val="28"/>
        </w:rPr>
        <w:t>研究和决定同级政府公共事业管理绩效评价中的重大问题。</w:t>
      </w:r>
    </w:p>
    <w:p>
      <w:pPr>
        <w:adjustRightInd w:val="0"/>
        <w:snapToGrid w:val="0"/>
        <w:spacing w:line="578" w:lineRule="exact"/>
        <w:ind w:firstLine="640" w:firstLineChars="200"/>
        <w:rPr>
          <w:kern w:val="0"/>
          <w:szCs w:val="28"/>
        </w:rPr>
      </w:pPr>
      <w:r>
        <w:rPr>
          <w:rFonts w:hint="eastAsia"/>
          <w:kern w:val="0"/>
          <w:szCs w:val="28"/>
        </w:rPr>
        <w:t>（2）</w:t>
      </w:r>
      <w:r>
        <w:rPr>
          <w:kern w:val="0"/>
          <w:szCs w:val="28"/>
        </w:rPr>
        <w:t>组织协调绩效评价工作，确保评价的顺利进行。</w:t>
      </w:r>
    </w:p>
    <w:p>
      <w:pPr>
        <w:adjustRightInd w:val="0"/>
        <w:snapToGrid w:val="0"/>
        <w:spacing w:line="578" w:lineRule="exact"/>
        <w:ind w:firstLine="640" w:firstLineChars="200"/>
        <w:rPr>
          <w:kern w:val="0"/>
          <w:szCs w:val="28"/>
        </w:rPr>
      </w:pPr>
      <w:r>
        <w:rPr>
          <w:rFonts w:hint="eastAsia"/>
          <w:kern w:val="0"/>
          <w:szCs w:val="28"/>
        </w:rPr>
        <w:t>（3）</w:t>
      </w:r>
      <w:r>
        <w:rPr>
          <w:kern w:val="0"/>
          <w:szCs w:val="28"/>
        </w:rPr>
        <w:t>对各单位的工作目标、绩效考核结果和等次、奖惩方案进行审核，并报同级党委和政府审定。</w:t>
      </w:r>
    </w:p>
    <w:p>
      <w:pPr>
        <w:adjustRightInd w:val="0"/>
        <w:snapToGrid w:val="0"/>
        <w:spacing w:line="578" w:lineRule="exact"/>
        <w:ind w:firstLine="640" w:firstLineChars="200"/>
        <w:rPr>
          <w:kern w:val="0"/>
          <w:szCs w:val="28"/>
        </w:rPr>
      </w:pPr>
      <w:r>
        <w:rPr>
          <w:rFonts w:hint="eastAsia"/>
          <w:kern w:val="0"/>
          <w:szCs w:val="28"/>
        </w:rPr>
        <w:t>2.</w:t>
      </w:r>
      <w:r>
        <w:rPr>
          <w:kern w:val="0"/>
          <w:szCs w:val="28"/>
        </w:rPr>
        <w:t>办公室职责：</w:t>
      </w:r>
    </w:p>
    <w:p>
      <w:pPr>
        <w:adjustRightInd w:val="0"/>
        <w:snapToGrid w:val="0"/>
        <w:spacing w:line="578" w:lineRule="exact"/>
        <w:ind w:firstLine="640" w:firstLineChars="200"/>
        <w:rPr>
          <w:kern w:val="0"/>
          <w:szCs w:val="28"/>
        </w:rPr>
      </w:pPr>
      <w:r>
        <w:rPr>
          <w:rFonts w:hint="eastAsia"/>
          <w:kern w:val="0"/>
          <w:szCs w:val="28"/>
        </w:rPr>
        <w:t>（1）</w:t>
      </w:r>
      <w:r>
        <w:rPr>
          <w:kern w:val="0"/>
          <w:szCs w:val="28"/>
        </w:rPr>
        <w:t>提出全省（市、县）政府公共事业管理绩效评价的工作方案，并负责具体组织实施。</w:t>
      </w:r>
    </w:p>
    <w:p>
      <w:pPr>
        <w:adjustRightInd w:val="0"/>
        <w:snapToGrid w:val="0"/>
        <w:spacing w:line="578" w:lineRule="exact"/>
        <w:ind w:firstLine="640" w:firstLineChars="200"/>
        <w:rPr>
          <w:kern w:val="0"/>
          <w:szCs w:val="28"/>
        </w:rPr>
      </w:pPr>
      <w:r>
        <w:rPr>
          <w:rFonts w:hint="eastAsia"/>
          <w:kern w:val="0"/>
          <w:szCs w:val="28"/>
        </w:rPr>
        <w:t>（2）</w:t>
      </w:r>
      <w:r>
        <w:rPr>
          <w:kern w:val="0"/>
          <w:szCs w:val="28"/>
        </w:rPr>
        <w:t>综合评价信息，提出评价结果</w:t>
      </w:r>
      <w:r>
        <w:rPr>
          <w:rFonts w:hint="eastAsia"/>
          <w:kern w:val="0"/>
          <w:szCs w:val="28"/>
          <w:lang w:eastAsia="zh-CN"/>
        </w:rPr>
        <w:t>等</w:t>
      </w:r>
      <w:r>
        <w:rPr>
          <w:kern w:val="0"/>
          <w:szCs w:val="28"/>
        </w:rPr>
        <w:t>次认定方案及奖惩方案等。</w:t>
      </w:r>
    </w:p>
    <w:p>
      <w:pPr>
        <w:adjustRightInd w:val="0"/>
        <w:snapToGrid w:val="0"/>
        <w:spacing w:line="578" w:lineRule="exact"/>
        <w:ind w:firstLine="640" w:firstLineChars="200"/>
        <w:rPr>
          <w:kern w:val="0"/>
          <w:szCs w:val="28"/>
        </w:rPr>
      </w:pPr>
      <w:r>
        <w:rPr>
          <w:rFonts w:hint="eastAsia"/>
          <w:kern w:val="0"/>
          <w:szCs w:val="28"/>
        </w:rPr>
        <w:t>（3）</w:t>
      </w:r>
      <w:r>
        <w:rPr>
          <w:kern w:val="0"/>
          <w:szCs w:val="28"/>
        </w:rPr>
        <w:t>负责绩效评价的日常工作，包括宣传、沟通、协调等。</w:t>
      </w:r>
    </w:p>
    <w:p>
      <w:pPr>
        <w:adjustRightInd w:val="0"/>
        <w:snapToGrid w:val="0"/>
        <w:spacing w:line="578" w:lineRule="exact"/>
        <w:ind w:firstLine="640" w:firstLineChars="200"/>
        <w:rPr>
          <w:kern w:val="0"/>
          <w:szCs w:val="28"/>
        </w:rPr>
      </w:pPr>
      <w:r>
        <w:rPr>
          <w:rFonts w:hint="eastAsia"/>
          <w:kern w:val="0"/>
          <w:szCs w:val="28"/>
        </w:rPr>
        <w:t>（4）</w:t>
      </w:r>
      <w:r>
        <w:rPr>
          <w:kern w:val="0"/>
          <w:szCs w:val="28"/>
        </w:rPr>
        <w:t>根据评价结果撰写绩效评价报告，并递交给领导小组。</w:t>
      </w:r>
    </w:p>
    <w:p>
      <w:pPr>
        <w:adjustRightInd w:val="0"/>
        <w:snapToGrid w:val="0"/>
        <w:spacing w:line="578" w:lineRule="exact"/>
        <w:ind w:firstLine="640" w:firstLineChars="200"/>
        <w:rPr>
          <w:kern w:val="0"/>
          <w:szCs w:val="28"/>
        </w:rPr>
      </w:pPr>
      <w:r>
        <w:rPr>
          <w:rFonts w:hint="eastAsia"/>
          <w:kern w:val="0"/>
          <w:szCs w:val="28"/>
        </w:rPr>
        <w:t>3.</w:t>
      </w:r>
      <w:r>
        <w:rPr>
          <w:kern w:val="0"/>
          <w:szCs w:val="28"/>
        </w:rPr>
        <w:t>具体执行人员职责：</w:t>
      </w:r>
    </w:p>
    <w:p>
      <w:pPr>
        <w:adjustRightInd w:val="0"/>
        <w:snapToGrid w:val="0"/>
        <w:spacing w:line="578" w:lineRule="exact"/>
        <w:ind w:firstLine="640" w:firstLineChars="200"/>
        <w:rPr>
          <w:kern w:val="0"/>
          <w:szCs w:val="28"/>
        </w:rPr>
      </w:pPr>
      <w:r>
        <w:rPr>
          <w:rFonts w:hint="eastAsia"/>
          <w:kern w:val="0"/>
          <w:szCs w:val="28"/>
        </w:rPr>
        <w:t>（1）</w:t>
      </w:r>
      <w:r>
        <w:rPr>
          <w:kern w:val="0"/>
          <w:szCs w:val="28"/>
        </w:rPr>
        <w:t>组长：审批绩效自评方案，监督、检查、核实绩效自评结果。</w:t>
      </w:r>
    </w:p>
    <w:p>
      <w:pPr>
        <w:adjustRightInd w:val="0"/>
        <w:snapToGrid w:val="0"/>
        <w:spacing w:line="578" w:lineRule="exact"/>
        <w:ind w:firstLine="640" w:firstLineChars="200"/>
        <w:rPr>
          <w:kern w:val="0"/>
          <w:szCs w:val="28"/>
        </w:rPr>
      </w:pPr>
      <w:r>
        <w:rPr>
          <w:rFonts w:hint="eastAsia"/>
          <w:kern w:val="0"/>
          <w:szCs w:val="28"/>
        </w:rPr>
        <w:t>（2）</w:t>
      </w:r>
      <w:r>
        <w:rPr>
          <w:kern w:val="0"/>
          <w:szCs w:val="28"/>
        </w:rPr>
        <w:t>副组长：审核修改拟定的绩效自评方案，并提交考评工作组会议讨论通过；监督、部署、确认绩效自评过程及反馈意见的处理。</w:t>
      </w:r>
    </w:p>
    <w:p>
      <w:pPr>
        <w:adjustRightInd w:val="0"/>
        <w:snapToGrid w:val="0"/>
        <w:spacing w:line="578" w:lineRule="exact"/>
        <w:ind w:firstLine="640" w:firstLineChars="200"/>
        <w:rPr>
          <w:rFonts w:hint="eastAsia" w:eastAsia="仿宋_GB2312" w:cs="Times New Roman"/>
          <w:bCs/>
          <w:lang w:eastAsia="zh-CN"/>
        </w:rPr>
      </w:pPr>
      <w:r>
        <w:rPr>
          <w:rFonts w:hint="eastAsia"/>
          <w:kern w:val="0"/>
          <w:szCs w:val="28"/>
        </w:rPr>
        <w:t>（3）</w:t>
      </w:r>
      <w:r>
        <w:rPr>
          <w:kern w:val="0"/>
          <w:szCs w:val="28"/>
        </w:rPr>
        <w:t>小组成员：起草和修改绩效考评方案报自评领导工作组会议讨论通过，实施执行绩效自评方案；牵头组织并实施年度绩效自评，根据组长、副组长指示，对考评结果进行复核，完成绩效自核工作组安排的其他工作。</w:t>
      </w:r>
    </w:p>
    <w:p>
      <w:pPr>
        <w:keepNext w:val="0"/>
        <w:keepLines w:val="0"/>
        <w:pageBreakBefore w:val="0"/>
        <w:kinsoku/>
        <w:wordWrap/>
        <w:overflowPunct/>
        <w:topLinePunct w:val="0"/>
        <w:autoSpaceDE/>
        <w:autoSpaceDN/>
        <w:bidi w:val="0"/>
        <w:adjustRightInd w:val="0"/>
        <w:snapToGrid w:val="0"/>
        <w:spacing w:line="578" w:lineRule="exact"/>
        <w:ind w:firstLine="640" w:firstLineChars="200"/>
        <w:textAlignment w:val="auto"/>
        <w:rPr>
          <w:rFonts w:ascii="仿宋_GB2312" w:hAnsi="宋体"/>
          <w:color w:val="auto"/>
          <w:sz w:val="32"/>
          <w:szCs w:val="32"/>
          <w:highlight w:val="none"/>
          <w:u w:val="none"/>
          <w:lang w:val="zh-CN"/>
        </w:rPr>
      </w:pPr>
      <w:r>
        <w:rPr>
          <w:rFonts w:hint="eastAsia" w:ascii="黑体" w:hAnsi="宋体" w:eastAsia="黑体"/>
          <w:color w:val="auto"/>
          <w:sz w:val="32"/>
          <w:szCs w:val="32"/>
          <w:highlight w:val="none"/>
          <w:u w:val="none"/>
        </w:rPr>
        <w:t>三、</w:t>
      </w:r>
      <w:r>
        <w:rPr>
          <w:rFonts w:hint="eastAsia" w:ascii="黑体" w:hAnsi="宋体" w:eastAsia="黑体"/>
          <w:color w:val="auto"/>
          <w:sz w:val="32"/>
          <w:szCs w:val="32"/>
          <w:highlight w:val="none"/>
          <w:u w:val="none"/>
          <w:lang w:eastAsia="zh-CN"/>
        </w:rPr>
        <w:t>绩效分析</w:t>
      </w:r>
      <w:r>
        <w:rPr>
          <w:rFonts w:hint="eastAsia" w:ascii="仿宋_GB2312" w:hAnsi="宋体"/>
          <w:color w:val="auto"/>
          <w:sz w:val="32"/>
          <w:szCs w:val="32"/>
          <w:highlight w:val="none"/>
          <w:u w:val="none"/>
          <w:lang w:val="zh-CN"/>
        </w:rPr>
        <w:tab/>
      </w:r>
    </w:p>
    <w:p>
      <w:pPr>
        <w:keepNext w:val="0"/>
        <w:keepLines w:val="0"/>
        <w:pageBreakBefore w:val="0"/>
        <w:widowControl w:val="0"/>
        <w:kinsoku/>
        <w:wordWrap/>
        <w:overflowPunct/>
        <w:topLinePunct w:val="0"/>
        <w:autoSpaceDE/>
        <w:autoSpaceDN/>
        <w:bidi w:val="0"/>
        <w:spacing w:line="578" w:lineRule="exact"/>
        <w:ind w:firstLine="640"/>
        <w:textAlignment w:val="auto"/>
        <w:outlineLvl w:val="9"/>
        <w:rPr>
          <w:rFonts w:hint="eastAsia" w:eastAsia="仿宋_GB2312" w:cs="Times New Roman"/>
          <w:szCs w:val="32"/>
          <w:lang w:val="en-US" w:eastAsia="zh-CN"/>
        </w:rPr>
      </w:pPr>
      <w:r>
        <w:rPr>
          <w:rFonts w:hint="default" w:eastAsia="仿宋_GB2312" w:cs="Times New Roman"/>
          <w:szCs w:val="32"/>
          <w:lang w:val="zh-CN" w:eastAsia="zh-CN"/>
        </w:rPr>
        <w:t>根据</w:t>
      </w:r>
      <w:r>
        <w:rPr>
          <w:rFonts w:hint="eastAsia" w:eastAsia="仿宋_GB2312" w:cs="Times New Roman"/>
          <w:szCs w:val="32"/>
          <w:lang w:val="zh-CN" w:eastAsia="zh-CN"/>
        </w:rPr>
        <w:t>项目</w:t>
      </w:r>
      <w:r>
        <w:rPr>
          <w:rFonts w:hint="default" w:eastAsia="仿宋_GB2312" w:cs="Times New Roman"/>
          <w:szCs w:val="32"/>
          <w:lang w:val="zh-CN" w:eastAsia="zh-CN"/>
        </w:rPr>
        <w:t>预算绩效评价指标体系“</w:t>
      </w:r>
      <w:r>
        <w:rPr>
          <w:rFonts w:hint="eastAsia" w:eastAsia="仿宋_GB2312" w:cs="Times New Roman"/>
          <w:szCs w:val="32"/>
          <w:lang w:val="zh-CN" w:eastAsia="zh-CN"/>
        </w:rPr>
        <w:t>通用指标</w:t>
      </w:r>
      <w:r>
        <w:rPr>
          <w:rFonts w:hint="default" w:eastAsia="仿宋_GB2312" w:cs="Times New Roman"/>
          <w:szCs w:val="32"/>
          <w:lang w:val="zh-CN" w:eastAsia="zh-CN"/>
        </w:rPr>
        <w:t>”</w:t>
      </w:r>
      <w:r>
        <w:rPr>
          <w:rFonts w:hint="eastAsia" w:eastAsia="仿宋_GB2312" w:cs="Times New Roman"/>
          <w:szCs w:val="32"/>
          <w:lang w:val="zh-CN" w:eastAsia="zh-CN"/>
        </w:rPr>
        <w:t>“专用指标”“个性指标”</w:t>
      </w:r>
      <w:r>
        <w:rPr>
          <w:rFonts w:hint="default" w:eastAsia="仿宋_GB2312" w:cs="Times New Roman"/>
          <w:szCs w:val="32"/>
          <w:lang w:val="zh-CN" w:eastAsia="zh-CN"/>
        </w:rPr>
        <w:t>涉及</w:t>
      </w:r>
      <w:r>
        <w:rPr>
          <w:rFonts w:hint="eastAsia" w:eastAsia="仿宋_GB2312" w:cs="Times New Roman"/>
          <w:szCs w:val="32"/>
          <w:lang w:val="zh-CN" w:eastAsia="zh-CN"/>
        </w:rPr>
        <w:t>二、三级</w:t>
      </w:r>
      <w:r>
        <w:rPr>
          <w:rFonts w:hint="default" w:eastAsia="仿宋_GB2312" w:cs="Times New Roman"/>
          <w:szCs w:val="32"/>
          <w:lang w:val="zh-CN" w:eastAsia="zh-CN"/>
        </w:rPr>
        <w:t>指标进行</w:t>
      </w:r>
      <w:r>
        <w:rPr>
          <w:rFonts w:hint="eastAsia" w:eastAsia="仿宋_GB2312" w:cs="Times New Roman"/>
          <w:szCs w:val="32"/>
          <w:lang w:val="zh-CN" w:eastAsia="zh-CN"/>
        </w:rPr>
        <w:t>逐项</w:t>
      </w:r>
      <w:r>
        <w:rPr>
          <w:rFonts w:hint="default" w:eastAsia="仿宋_GB2312" w:cs="Times New Roman"/>
          <w:szCs w:val="32"/>
          <w:lang w:val="zh-CN" w:eastAsia="zh-CN"/>
        </w:rPr>
        <w:t>绩效分析</w:t>
      </w:r>
      <w:r>
        <w:rPr>
          <w:rFonts w:hint="eastAsia" w:eastAsia="仿宋_GB2312" w:cs="Times New Roman"/>
          <w:szCs w:val="32"/>
          <w:lang w:val="zh-CN" w:eastAsia="zh-CN"/>
        </w:rPr>
        <w:t>并评分</w:t>
      </w:r>
      <w:r>
        <w:rPr>
          <w:rFonts w:hint="eastAsia" w:cs="Times New Roman"/>
          <w:szCs w:val="32"/>
          <w:lang w:val="en-US" w:eastAsia="zh-CN"/>
        </w:rPr>
        <w:t>。</w:t>
      </w:r>
    </w:p>
    <w:p>
      <w:pPr>
        <w:keepNext w:val="0"/>
        <w:keepLines w:val="0"/>
        <w:pageBreakBefore w:val="0"/>
        <w:widowControl w:val="0"/>
        <w:kinsoku/>
        <w:wordWrap/>
        <w:overflowPunct/>
        <w:topLinePunct w:val="0"/>
        <w:autoSpaceDE/>
        <w:autoSpaceDN/>
        <w:bidi w:val="0"/>
        <w:adjustRightInd/>
        <w:snapToGrid/>
        <w:spacing w:line="578" w:lineRule="exact"/>
        <w:ind w:firstLine="640"/>
        <w:textAlignment w:val="auto"/>
        <w:outlineLvl w:val="9"/>
        <w:rPr>
          <w:rFonts w:hint="eastAsia" w:ascii="仿宋_GB2312" w:cs="Times New Roman"/>
          <w:b/>
          <w:color w:val="auto"/>
          <w:sz w:val="32"/>
          <w:szCs w:val="32"/>
          <w:highlight w:val="none"/>
          <w:u w:val="none"/>
          <w:lang w:val="en-US" w:eastAsia="zh-CN"/>
        </w:rPr>
      </w:pPr>
      <w:r>
        <w:rPr>
          <w:rFonts w:hint="eastAsia" w:ascii="楷体_GB2312" w:eastAsia="楷体_GB2312" w:cs="Times New Roman"/>
          <w:b/>
          <w:color w:val="auto"/>
          <w:sz w:val="32"/>
          <w:szCs w:val="32"/>
          <w:highlight w:val="none"/>
          <w:u w:val="none"/>
          <w:lang w:val="zh-CN"/>
        </w:rPr>
        <w:t>（一）</w:t>
      </w:r>
      <w:r>
        <w:rPr>
          <w:rFonts w:hint="eastAsia" w:ascii="楷体_GB2312" w:eastAsia="楷体_GB2312" w:cs="Times New Roman"/>
          <w:b/>
          <w:color w:val="auto"/>
          <w:sz w:val="32"/>
          <w:szCs w:val="32"/>
          <w:highlight w:val="none"/>
          <w:u w:val="none"/>
          <w:lang w:val="en-US" w:eastAsia="zh-CN"/>
        </w:rPr>
        <w:t>通用指标</w:t>
      </w:r>
      <w:r>
        <w:rPr>
          <w:rFonts w:ascii="Times New Roman" w:hAnsi="Times New Roman" w:eastAsia="楷体_GB2312" w:cs="Times New Roman"/>
          <w:b/>
          <w:bCs/>
          <w:color w:val="000000"/>
          <w:kern w:val="0"/>
          <w:szCs w:val="32"/>
          <w:highlight w:val="none"/>
          <w:shd w:val="clear" w:color="auto" w:fill="FFFFFF"/>
          <w:lang w:val="zh-CN"/>
        </w:rPr>
        <w:t>绩效分析。</w:t>
      </w:r>
      <w:r>
        <w:rPr>
          <w:rFonts w:hint="eastAsia" w:ascii="仿宋_GB2312" w:cs="楷体_GB2312"/>
          <w:color w:val="auto"/>
          <w:szCs w:val="32"/>
          <w:lang w:eastAsia="zh-CN"/>
        </w:rPr>
        <w:t>分值</w:t>
      </w:r>
      <w:r>
        <w:rPr>
          <w:rFonts w:hint="eastAsia" w:ascii="仿宋_GB2312" w:cs="楷体_GB2312"/>
          <w:color w:val="auto"/>
          <w:szCs w:val="32"/>
          <w:lang w:val="en-US" w:eastAsia="zh-CN"/>
        </w:rPr>
        <w:t>54分，自评打分54分。</w:t>
      </w:r>
    </w:p>
    <w:p>
      <w:pPr>
        <w:keepNext w:val="0"/>
        <w:keepLines w:val="0"/>
        <w:pageBreakBefore w:val="0"/>
        <w:widowControl w:val="0"/>
        <w:kinsoku/>
        <w:wordWrap/>
        <w:overflowPunct/>
        <w:topLinePunct w:val="0"/>
        <w:autoSpaceDE/>
        <w:autoSpaceDN/>
        <w:bidi w:val="0"/>
        <w:adjustRightInd/>
        <w:snapToGrid/>
        <w:spacing w:line="578" w:lineRule="exact"/>
        <w:ind w:firstLine="640"/>
        <w:textAlignment w:val="auto"/>
        <w:outlineLvl w:val="9"/>
        <w:rPr>
          <w:rFonts w:hint="eastAsia" w:ascii="仿宋_GB2312" w:cs="楷体_GB2312"/>
          <w:color w:val="auto"/>
          <w:szCs w:val="32"/>
          <w:lang w:val="en-US" w:eastAsia="zh-CN"/>
        </w:rPr>
      </w:pPr>
      <w:r>
        <w:rPr>
          <w:rFonts w:hint="eastAsia" w:ascii="仿宋_GB2312" w:cs="楷体_GB2312"/>
          <w:color w:val="auto"/>
          <w:szCs w:val="32"/>
          <w:lang w:val="en-US" w:eastAsia="zh-CN"/>
        </w:rPr>
        <w:t>1.</w:t>
      </w:r>
      <w:r>
        <w:rPr>
          <w:rFonts w:hint="eastAsia" w:ascii="仿宋_GB2312" w:cs="楷体_GB2312"/>
          <w:color w:val="auto"/>
          <w:szCs w:val="32"/>
          <w:lang w:eastAsia="zh-CN"/>
        </w:rPr>
        <w:t>项目决策。分值</w:t>
      </w:r>
      <w:r>
        <w:rPr>
          <w:rFonts w:hint="eastAsia" w:ascii="仿宋_GB2312" w:cs="楷体_GB2312"/>
          <w:color w:val="auto"/>
          <w:szCs w:val="32"/>
          <w:lang w:val="en-US" w:eastAsia="zh-CN"/>
        </w:rPr>
        <w:t>18分，自评打分18分。</w:t>
      </w:r>
    </w:p>
    <w:p>
      <w:pPr>
        <w:keepNext w:val="0"/>
        <w:keepLines w:val="0"/>
        <w:pageBreakBefore w:val="0"/>
        <w:widowControl w:val="0"/>
        <w:kinsoku/>
        <w:wordWrap/>
        <w:overflowPunct/>
        <w:topLinePunct w:val="0"/>
        <w:autoSpaceDE/>
        <w:autoSpaceDN/>
        <w:adjustRightInd/>
        <w:snapToGrid/>
        <w:spacing w:line="578" w:lineRule="exact"/>
        <w:ind w:firstLine="640"/>
        <w:rPr>
          <w:rFonts w:ascii="仿宋_GB2312" w:cs="Times New Roman"/>
          <w:color w:val="auto"/>
          <w:szCs w:val="32"/>
          <w:lang w:val="en-US" w:eastAsia="zh-CN"/>
        </w:rPr>
      </w:pPr>
      <w:r>
        <w:rPr>
          <w:rFonts w:hint="eastAsia" w:ascii="仿宋_GB2312" w:cs="Times New Roman"/>
          <w:color w:val="auto"/>
          <w:szCs w:val="32"/>
          <w:lang w:eastAsia="zh-CN"/>
        </w:rPr>
        <w:t>决策程序项目设立、调整延续等方面符合资金管理基本规范和决策程序要求，分值</w:t>
      </w:r>
      <w:r>
        <w:rPr>
          <w:rFonts w:hint="eastAsia" w:ascii="仿宋_GB2312" w:cs="Times New Roman"/>
          <w:color w:val="auto"/>
          <w:szCs w:val="32"/>
          <w:lang w:val="en-US" w:eastAsia="zh-CN"/>
        </w:rPr>
        <w:t>6分，自评打分6分。</w:t>
      </w:r>
    </w:p>
    <w:p>
      <w:pPr>
        <w:keepNext w:val="0"/>
        <w:keepLines w:val="0"/>
        <w:pageBreakBefore w:val="0"/>
        <w:widowControl w:val="0"/>
        <w:kinsoku/>
        <w:wordWrap/>
        <w:overflowPunct/>
        <w:topLinePunct w:val="0"/>
        <w:autoSpaceDE/>
        <w:autoSpaceDN/>
        <w:adjustRightInd/>
        <w:snapToGrid/>
        <w:spacing w:line="578" w:lineRule="exact"/>
        <w:ind w:firstLine="640"/>
        <w:rPr>
          <w:rFonts w:ascii="仿宋_GB2312" w:eastAsia="仿宋_GB2312" w:cs="Times New Roman"/>
          <w:b w:val="0"/>
          <w:color w:val="auto"/>
          <w:kern w:val="2"/>
          <w:sz w:val="32"/>
          <w:szCs w:val="32"/>
          <w:lang w:val="en-US" w:eastAsia="zh-CN" w:bidi="ar-SA"/>
        </w:rPr>
      </w:pPr>
      <w:r>
        <w:rPr>
          <w:rFonts w:hint="eastAsia" w:ascii="仿宋_GB2312" w:eastAsia="仿宋_GB2312" w:cs="Times New Roman"/>
          <w:b w:val="0"/>
          <w:color w:val="auto"/>
          <w:kern w:val="2"/>
          <w:sz w:val="32"/>
          <w:szCs w:val="32"/>
          <w:lang w:val="en-US" w:eastAsia="zh-CN" w:bidi="ar-SA"/>
        </w:rPr>
        <w:t>规划论证：项目规划论证是否符合</w:t>
      </w:r>
      <w:r>
        <w:rPr>
          <w:rFonts w:hint="eastAsia" w:ascii="仿宋_GB2312" w:cs="Times New Roman"/>
          <w:b w:val="0"/>
          <w:color w:val="auto"/>
          <w:kern w:val="2"/>
          <w:sz w:val="32"/>
          <w:szCs w:val="32"/>
          <w:lang w:val="en-US" w:eastAsia="zh-CN" w:bidi="ar-SA"/>
        </w:rPr>
        <w:t>中央、省委</w:t>
      </w:r>
      <w:r>
        <w:rPr>
          <w:rFonts w:hint="eastAsia" w:ascii="仿宋_GB2312" w:eastAsia="仿宋_GB2312" w:cs="Times New Roman"/>
          <w:b w:val="0"/>
          <w:color w:val="auto"/>
          <w:kern w:val="2"/>
          <w:sz w:val="32"/>
          <w:szCs w:val="32"/>
          <w:lang w:val="en-US" w:eastAsia="zh-CN" w:bidi="ar-SA"/>
        </w:rPr>
        <w:t>要求，项目绩效目标设置较为科学合理，分值6分，自评打分</w:t>
      </w:r>
      <w:r>
        <w:rPr>
          <w:rFonts w:hint="eastAsia" w:ascii="仿宋_GB2312" w:cs="Times New Roman"/>
          <w:b w:val="0"/>
          <w:color w:val="auto"/>
          <w:kern w:val="2"/>
          <w:sz w:val="32"/>
          <w:szCs w:val="32"/>
          <w:lang w:val="en-US" w:eastAsia="zh-CN" w:bidi="ar-SA"/>
        </w:rPr>
        <w:t>6</w:t>
      </w:r>
      <w:r>
        <w:rPr>
          <w:rFonts w:hint="eastAsia" w:ascii="仿宋_GB2312" w:eastAsia="仿宋_GB2312" w:cs="Times New Roman"/>
          <w:b w:val="0"/>
          <w:color w:val="auto"/>
          <w:kern w:val="2"/>
          <w:sz w:val="32"/>
          <w:szCs w:val="32"/>
          <w:lang w:val="en-US" w:eastAsia="zh-CN" w:bidi="ar-SA"/>
        </w:rPr>
        <w:t>分。</w:t>
      </w:r>
    </w:p>
    <w:p>
      <w:pPr>
        <w:keepNext w:val="0"/>
        <w:keepLines w:val="0"/>
        <w:pageBreakBefore w:val="0"/>
        <w:widowControl w:val="0"/>
        <w:kinsoku/>
        <w:wordWrap/>
        <w:overflowPunct/>
        <w:topLinePunct w:val="0"/>
        <w:autoSpaceDE/>
        <w:autoSpaceDN/>
        <w:adjustRightInd/>
        <w:snapToGrid/>
        <w:spacing w:line="578" w:lineRule="exact"/>
        <w:ind w:firstLine="640"/>
        <w:rPr>
          <w:rFonts w:hint="eastAsia" w:ascii="仿宋_GB2312"/>
        </w:rPr>
      </w:pPr>
      <w:r>
        <w:rPr>
          <w:rFonts w:hint="eastAsia" w:ascii="仿宋_GB2312" w:cs="Times New Roman"/>
          <w:b w:val="0"/>
          <w:color w:val="auto"/>
          <w:kern w:val="2"/>
          <w:sz w:val="32"/>
          <w:szCs w:val="32"/>
          <w:lang w:val="en-US" w:eastAsia="zh-CN" w:bidi="ar-SA"/>
        </w:rPr>
        <w:t>资金投向：项目资金与项目总体规划、相关行业事业发展相匹配，分值6分，自评打分6分。</w:t>
      </w:r>
    </w:p>
    <w:p>
      <w:pPr>
        <w:keepNext w:val="0"/>
        <w:keepLines w:val="0"/>
        <w:pageBreakBefore w:val="0"/>
        <w:widowControl w:val="0"/>
        <w:numPr>
          <w:ilvl w:val="0"/>
          <w:numId w:val="1"/>
        </w:numPr>
        <w:kinsoku/>
        <w:wordWrap/>
        <w:overflowPunct/>
        <w:topLinePunct w:val="0"/>
        <w:autoSpaceDE/>
        <w:autoSpaceDN/>
        <w:bidi w:val="0"/>
        <w:adjustRightInd/>
        <w:snapToGrid/>
        <w:spacing w:line="578" w:lineRule="exact"/>
        <w:ind w:left="0" w:firstLine="640"/>
        <w:textAlignment w:val="auto"/>
        <w:outlineLvl w:val="9"/>
        <w:rPr>
          <w:rFonts w:hint="eastAsia" w:ascii="仿宋_GB2312" w:cs="楷体_GB2312"/>
          <w:color w:val="auto"/>
          <w:szCs w:val="32"/>
          <w:lang w:val="en-US" w:eastAsia="zh-CN"/>
        </w:rPr>
      </w:pPr>
      <w:r>
        <w:rPr>
          <w:rFonts w:hint="eastAsia" w:ascii="仿宋_GB2312" w:cs="楷体_GB2312"/>
          <w:color w:val="auto"/>
          <w:szCs w:val="32"/>
          <w:lang w:eastAsia="zh-CN"/>
        </w:rPr>
        <w:t>项目管理。分值</w:t>
      </w:r>
      <w:r>
        <w:rPr>
          <w:rFonts w:hint="eastAsia" w:ascii="仿宋_GB2312" w:cs="楷体_GB2312"/>
          <w:color w:val="auto"/>
          <w:szCs w:val="32"/>
          <w:lang w:val="en-US" w:eastAsia="zh-CN"/>
        </w:rPr>
        <w:t>18分，自评打分18分。</w:t>
      </w:r>
    </w:p>
    <w:p>
      <w:pPr>
        <w:keepNext w:val="0"/>
        <w:keepLines w:val="0"/>
        <w:pageBreakBefore w:val="0"/>
        <w:widowControl w:val="0"/>
        <w:kinsoku/>
        <w:wordWrap/>
        <w:overflowPunct/>
        <w:topLinePunct w:val="0"/>
        <w:autoSpaceDE/>
        <w:autoSpaceDN/>
        <w:bidi w:val="0"/>
        <w:adjustRightInd/>
        <w:snapToGrid/>
        <w:spacing w:line="578" w:lineRule="exact"/>
        <w:ind w:left="0" w:firstLine="640" w:firstLineChars="200"/>
        <w:textAlignment w:val="auto"/>
        <w:outlineLvl w:val="9"/>
        <w:rPr>
          <w:rFonts w:hint="eastAsia" w:ascii="仿宋_GB2312" w:cs="Times New Roman"/>
          <w:color w:val="auto"/>
          <w:szCs w:val="32"/>
          <w:lang w:val="en-US" w:eastAsia="zh-CN"/>
        </w:rPr>
      </w:pPr>
      <w:r>
        <w:rPr>
          <w:rFonts w:hint="eastAsia" w:ascii="仿宋_GB2312" w:cs="Times New Roman"/>
          <w:color w:val="auto"/>
          <w:szCs w:val="32"/>
          <w:lang w:val="en-US" w:eastAsia="zh-CN"/>
        </w:rPr>
        <w:t>A.</w:t>
      </w:r>
      <w:r>
        <w:rPr>
          <w:rFonts w:hint="eastAsia" w:ascii="仿宋_GB2312" w:cs="Times New Roman"/>
          <w:color w:val="auto"/>
          <w:szCs w:val="32"/>
          <w:lang w:eastAsia="zh-CN"/>
        </w:rPr>
        <w:t>制度办法：项目制度办法体系健全、要素完备，分值</w:t>
      </w:r>
      <w:r>
        <w:rPr>
          <w:rFonts w:hint="eastAsia" w:ascii="仿宋_GB2312" w:cs="Times New Roman"/>
          <w:color w:val="auto"/>
          <w:szCs w:val="32"/>
          <w:lang w:val="en-US" w:eastAsia="zh-CN"/>
        </w:rPr>
        <w:t>2分，自评打分2分。</w:t>
      </w:r>
    </w:p>
    <w:p>
      <w:pPr>
        <w:keepNext w:val="0"/>
        <w:keepLines w:val="0"/>
        <w:pageBreakBefore w:val="0"/>
        <w:widowControl w:val="0"/>
        <w:kinsoku/>
        <w:wordWrap/>
        <w:overflowPunct/>
        <w:topLinePunct w:val="0"/>
        <w:autoSpaceDE/>
        <w:autoSpaceDN/>
        <w:bidi w:val="0"/>
        <w:adjustRightInd/>
        <w:snapToGrid/>
        <w:spacing w:line="578" w:lineRule="exact"/>
        <w:ind w:left="0" w:firstLine="640" w:firstLineChars="200"/>
        <w:textAlignment w:val="auto"/>
        <w:outlineLvl w:val="9"/>
        <w:rPr>
          <w:rFonts w:hint="eastAsia" w:ascii="仿宋_GB2312" w:cs="Times New Roman"/>
          <w:color w:val="auto"/>
          <w:szCs w:val="32"/>
          <w:lang w:val="en-US" w:eastAsia="zh-CN"/>
        </w:rPr>
      </w:pPr>
      <w:r>
        <w:rPr>
          <w:rFonts w:hint="eastAsia" w:ascii="仿宋_GB2312" w:cs="Times New Roman"/>
          <w:color w:val="auto"/>
          <w:szCs w:val="32"/>
          <w:lang w:val="en-US" w:eastAsia="zh-CN"/>
        </w:rPr>
        <w:t>B.</w:t>
      </w:r>
      <w:r>
        <w:rPr>
          <w:rFonts w:hint="eastAsia" w:ascii="仿宋_GB2312" w:cs="Times New Roman"/>
          <w:color w:val="auto"/>
          <w:szCs w:val="32"/>
          <w:lang w:eastAsia="zh-CN"/>
        </w:rPr>
        <w:t>分配管理</w:t>
      </w:r>
      <w:r>
        <w:rPr>
          <w:rFonts w:hint="eastAsia" w:ascii="仿宋_GB2312" w:cs="Times New Roman"/>
          <w:color w:val="auto"/>
          <w:szCs w:val="32"/>
          <w:lang w:val="en-US" w:eastAsia="zh-CN"/>
        </w:rPr>
        <w:t>:</w:t>
      </w:r>
      <w:r>
        <w:rPr>
          <w:rFonts w:hint="eastAsia" w:ascii="仿宋_GB2312" w:cs="Times New Roman"/>
          <w:color w:val="auto"/>
          <w:szCs w:val="32"/>
          <w:lang w:eastAsia="zh-CN"/>
        </w:rPr>
        <w:t>项目资金分配因素选取、权重设置、区域分布，项目管理、审批符合管理要求</w:t>
      </w:r>
      <w:r>
        <w:rPr>
          <w:rFonts w:hint="eastAsia" w:ascii="仿宋_GB2312" w:cs="Times New Roman"/>
          <w:color w:val="auto"/>
          <w:szCs w:val="32"/>
          <w:lang w:val="en-US" w:eastAsia="zh-CN"/>
        </w:rPr>
        <w:t>,1.</w:t>
      </w:r>
      <w:r>
        <w:rPr>
          <w:rFonts w:hint="eastAsia" w:ascii="仿宋_GB2312" w:cs="Times New Roman"/>
          <w:color w:val="auto"/>
          <w:szCs w:val="32"/>
          <w:lang w:eastAsia="zh-CN"/>
        </w:rPr>
        <w:t>因素分配法：资金分配因素选取充分考虑相关行业事业发展实际和发展需求；资金分配因素的权重设置有效突出项目实施重点；资金区域分布结果公平合理。项目分配法：建设项目储备库，实行入库项目动态管理、推动资金竞争性分配；明确项目申报审核程序，按规定程序履行项目审批。其他分配法：资金分配依据充分合理。2.资金分配严格按管理办法执行，决策程序符合管理要求，及时高效。分值</w:t>
      </w:r>
      <w:r>
        <w:rPr>
          <w:rFonts w:hint="eastAsia" w:ascii="仿宋_GB2312" w:cs="Times New Roman"/>
          <w:color w:val="auto"/>
          <w:szCs w:val="32"/>
          <w:lang w:val="en-US" w:eastAsia="zh-CN"/>
        </w:rPr>
        <w:t>10分，自评打分10分。</w:t>
      </w:r>
    </w:p>
    <w:p>
      <w:pPr>
        <w:keepNext w:val="0"/>
        <w:keepLines w:val="0"/>
        <w:pageBreakBefore w:val="0"/>
        <w:widowControl w:val="0"/>
        <w:kinsoku/>
        <w:wordWrap/>
        <w:overflowPunct/>
        <w:topLinePunct w:val="0"/>
        <w:autoSpaceDE/>
        <w:autoSpaceDN/>
        <w:adjustRightInd/>
        <w:snapToGrid/>
        <w:spacing w:line="578" w:lineRule="exact"/>
        <w:ind w:left="0" w:firstLine="640" w:firstLineChars="200"/>
        <w:rPr>
          <w:rFonts w:ascii="仿宋_GB2312" w:cs="Times New Roman"/>
          <w:color w:val="auto"/>
          <w:szCs w:val="32"/>
          <w:lang w:val="en-US" w:eastAsia="zh-CN"/>
        </w:rPr>
      </w:pPr>
      <w:r>
        <w:rPr>
          <w:rFonts w:hint="eastAsia" w:ascii="仿宋_GB2312" w:cs="Times New Roman"/>
          <w:color w:val="auto"/>
          <w:szCs w:val="32"/>
          <w:lang w:val="en-US" w:eastAsia="zh-CN"/>
        </w:rPr>
        <w:t>C.</w:t>
      </w:r>
      <w:r>
        <w:rPr>
          <w:rFonts w:hint="eastAsia" w:ascii="仿宋_GB2312" w:cs="Times New Roman"/>
          <w:color w:val="auto"/>
          <w:szCs w:val="32"/>
          <w:lang w:eastAsia="zh-CN"/>
        </w:rPr>
        <w:t>绩效监管</w:t>
      </w:r>
      <w:r>
        <w:rPr>
          <w:rFonts w:hint="eastAsia" w:ascii="仿宋_GB2312" w:cs="Times New Roman"/>
          <w:color w:val="auto"/>
          <w:szCs w:val="32"/>
          <w:lang w:val="en-US" w:eastAsia="zh-CN"/>
        </w:rPr>
        <w:t>:管资金、项目、政策并管绩效，项目绩效监管按要求开展，对下指导有力有效</w:t>
      </w:r>
      <w:r>
        <w:rPr>
          <w:rFonts w:hint="eastAsia" w:ascii="仿宋_GB2312" w:cs="Times New Roman"/>
          <w:color w:val="auto"/>
          <w:szCs w:val="32"/>
          <w:lang w:eastAsia="zh-CN"/>
        </w:rPr>
        <w:t>。分值</w:t>
      </w:r>
      <w:r>
        <w:rPr>
          <w:rFonts w:hint="eastAsia" w:ascii="仿宋_GB2312" w:cs="Times New Roman"/>
          <w:color w:val="auto"/>
          <w:szCs w:val="32"/>
          <w:lang w:val="en-US" w:eastAsia="zh-CN"/>
        </w:rPr>
        <w:t>6分，自评打分6分。</w:t>
      </w:r>
    </w:p>
    <w:p>
      <w:pPr>
        <w:keepNext w:val="0"/>
        <w:keepLines w:val="0"/>
        <w:pageBreakBefore w:val="0"/>
        <w:widowControl w:val="0"/>
        <w:kinsoku/>
        <w:wordWrap/>
        <w:overflowPunct/>
        <w:topLinePunct w:val="0"/>
        <w:autoSpaceDE/>
        <w:autoSpaceDN/>
        <w:adjustRightInd/>
        <w:snapToGrid/>
        <w:spacing w:line="578" w:lineRule="exact"/>
        <w:ind w:left="0" w:firstLine="640" w:firstLineChars="200"/>
        <w:rPr>
          <w:rFonts w:hint="eastAsia" w:ascii="仿宋_GB2312"/>
        </w:rPr>
      </w:pPr>
      <w:r>
        <w:rPr>
          <w:rFonts w:hint="eastAsia" w:ascii="仿宋_GB2312" w:cs="楷体_GB2312"/>
          <w:color w:val="auto"/>
          <w:szCs w:val="32"/>
          <w:lang w:val="en-US" w:eastAsia="zh-CN"/>
        </w:rPr>
        <w:t>3.项目实施。</w:t>
      </w:r>
      <w:r>
        <w:rPr>
          <w:rFonts w:hint="eastAsia" w:ascii="仿宋_GB2312" w:cs="Times New Roman"/>
          <w:color w:val="auto"/>
          <w:szCs w:val="32"/>
          <w:lang w:eastAsia="zh-CN"/>
        </w:rPr>
        <w:t>分值</w:t>
      </w:r>
      <w:r>
        <w:rPr>
          <w:rFonts w:hint="eastAsia" w:ascii="仿宋_GB2312" w:cs="Times New Roman"/>
          <w:color w:val="auto"/>
          <w:szCs w:val="32"/>
          <w:lang w:val="en-US" w:eastAsia="zh-CN"/>
        </w:rPr>
        <w:t>9分，自评打分9分。</w:t>
      </w:r>
    </w:p>
    <w:p>
      <w:pPr>
        <w:keepNext w:val="0"/>
        <w:keepLines w:val="0"/>
        <w:pageBreakBefore w:val="0"/>
        <w:widowControl w:val="0"/>
        <w:kinsoku/>
        <w:wordWrap/>
        <w:overflowPunct/>
        <w:topLinePunct w:val="0"/>
        <w:autoSpaceDE/>
        <w:autoSpaceDN/>
        <w:bidi w:val="0"/>
        <w:adjustRightInd/>
        <w:snapToGrid/>
        <w:spacing w:line="578" w:lineRule="exact"/>
        <w:ind w:left="0" w:firstLine="640" w:firstLineChars="200"/>
        <w:textAlignment w:val="auto"/>
        <w:outlineLvl w:val="9"/>
        <w:rPr>
          <w:rFonts w:hint="eastAsia" w:ascii="仿宋_GB2312" w:cs="Times New Roman"/>
          <w:color w:val="auto"/>
          <w:szCs w:val="32"/>
          <w:lang w:val="en-US" w:eastAsia="zh-CN"/>
        </w:rPr>
      </w:pPr>
      <w:r>
        <w:rPr>
          <w:rFonts w:hint="eastAsia" w:ascii="仿宋_GB2312" w:cs="Times New Roman"/>
          <w:color w:val="auto"/>
          <w:szCs w:val="32"/>
          <w:lang w:eastAsia="zh-CN"/>
        </w:rPr>
        <w:t>预算执行</w:t>
      </w:r>
      <w:r>
        <w:rPr>
          <w:rFonts w:hint="eastAsia" w:ascii="仿宋_GB2312" w:cs="Times New Roman"/>
          <w:color w:val="auto"/>
          <w:szCs w:val="32"/>
          <w:lang w:val="en-US" w:eastAsia="zh-CN"/>
        </w:rPr>
        <w:t>:</w:t>
      </w:r>
      <w:r>
        <w:rPr>
          <w:rFonts w:hint="eastAsia" w:ascii="仿宋_GB2312" w:cs="Times New Roman"/>
          <w:color w:val="auto"/>
          <w:szCs w:val="32"/>
          <w:lang w:eastAsia="zh-CN"/>
        </w:rPr>
        <w:t>项目资金财政拨付、单位执行相结合，省级资金到位</w:t>
      </w:r>
      <w:r>
        <w:rPr>
          <w:rFonts w:hint="eastAsia" w:ascii="仿宋_GB2312" w:cs="Times New Roman"/>
          <w:color w:val="auto"/>
          <w:szCs w:val="32"/>
          <w:lang w:val="en-US" w:eastAsia="zh-CN"/>
        </w:rPr>
        <w:t>50万元</w:t>
      </w:r>
      <w:r>
        <w:rPr>
          <w:rFonts w:hint="eastAsia" w:ascii="仿宋_GB2312" w:cs="Times New Roman"/>
          <w:color w:val="auto"/>
          <w:szCs w:val="32"/>
          <w:lang w:eastAsia="zh-CN"/>
        </w:rPr>
        <w:t>。分值</w:t>
      </w:r>
      <w:r>
        <w:rPr>
          <w:rFonts w:hint="eastAsia" w:ascii="仿宋_GB2312" w:cs="Times New Roman"/>
          <w:color w:val="auto"/>
          <w:szCs w:val="32"/>
          <w:lang w:val="en-US" w:eastAsia="zh-CN"/>
        </w:rPr>
        <w:t>6分，自评打分6分。</w:t>
      </w:r>
    </w:p>
    <w:p>
      <w:pPr>
        <w:keepNext w:val="0"/>
        <w:keepLines w:val="0"/>
        <w:pageBreakBefore w:val="0"/>
        <w:widowControl w:val="0"/>
        <w:kinsoku/>
        <w:wordWrap/>
        <w:overflowPunct/>
        <w:topLinePunct w:val="0"/>
        <w:autoSpaceDE/>
        <w:autoSpaceDN/>
        <w:bidi w:val="0"/>
        <w:adjustRightInd/>
        <w:snapToGrid/>
        <w:spacing w:line="578" w:lineRule="exact"/>
        <w:ind w:left="0" w:firstLine="640" w:firstLineChars="200"/>
        <w:textAlignment w:val="auto"/>
        <w:outlineLvl w:val="9"/>
        <w:rPr>
          <w:rFonts w:hint="eastAsia" w:ascii="仿宋_GB2312" w:cs="Times New Roman"/>
          <w:color w:val="auto"/>
          <w:szCs w:val="32"/>
          <w:lang w:eastAsia="zh-CN"/>
        </w:rPr>
      </w:pPr>
      <w:r>
        <w:rPr>
          <w:rFonts w:hint="eastAsia" w:ascii="仿宋_GB2312" w:cs="Times New Roman"/>
          <w:color w:val="auto"/>
          <w:szCs w:val="32"/>
          <w:lang w:eastAsia="zh-CN"/>
        </w:rPr>
        <w:t>资金使用</w:t>
      </w:r>
      <w:r>
        <w:rPr>
          <w:rFonts w:hint="eastAsia" w:ascii="仿宋_GB2312" w:cs="Times New Roman"/>
          <w:color w:val="auto"/>
          <w:szCs w:val="32"/>
          <w:lang w:val="en-US" w:eastAsia="zh-CN"/>
        </w:rPr>
        <w:t>:</w:t>
      </w:r>
      <w:r>
        <w:rPr>
          <w:rFonts w:hint="eastAsia" w:ascii="仿宋_GB2312" w:cs="Times New Roman"/>
          <w:color w:val="auto"/>
          <w:szCs w:val="32"/>
          <w:lang w:eastAsia="zh-CN"/>
        </w:rPr>
        <w:t>资金使用专款专用、按时拨付。分值</w:t>
      </w:r>
      <w:r>
        <w:rPr>
          <w:rFonts w:hint="eastAsia" w:ascii="仿宋_GB2312" w:cs="Times New Roman"/>
          <w:color w:val="auto"/>
          <w:szCs w:val="32"/>
          <w:lang w:val="en-US" w:eastAsia="zh-CN"/>
        </w:rPr>
        <w:t>3分，自评打分3分。</w:t>
      </w:r>
    </w:p>
    <w:p>
      <w:pPr>
        <w:keepNext w:val="0"/>
        <w:keepLines w:val="0"/>
        <w:pageBreakBefore w:val="0"/>
        <w:widowControl w:val="0"/>
        <w:kinsoku/>
        <w:wordWrap/>
        <w:overflowPunct/>
        <w:topLinePunct w:val="0"/>
        <w:autoSpaceDE/>
        <w:autoSpaceDN/>
        <w:bidi w:val="0"/>
        <w:adjustRightInd/>
        <w:snapToGrid/>
        <w:spacing w:line="578" w:lineRule="exact"/>
        <w:ind w:left="640" w:leftChars="200" w:firstLine="0"/>
        <w:textAlignment w:val="auto"/>
        <w:outlineLvl w:val="9"/>
        <w:rPr>
          <w:rFonts w:hint="eastAsia" w:ascii="仿宋_GB2312" w:cs="楷体_GB2312"/>
          <w:color w:val="auto"/>
          <w:szCs w:val="32"/>
          <w:lang w:val="en-US" w:eastAsia="zh-CN"/>
        </w:rPr>
      </w:pPr>
      <w:r>
        <w:rPr>
          <w:rFonts w:hint="eastAsia" w:ascii="仿宋_GB2312" w:cs="楷体_GB2312"/>
          <w:color w:val="auto"/>
          <w:szCs w:val="32"/>
          <w:lang w:val="en-US" w:eastAsia="zh-CN"/>
        </w:rPr>
        <w:t>4.项目结果。分值9分，自评打分9分</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outlineLvl w:val="9"/>
        <w:rPr>
          <w:rFonts w:hint="eastAsia" w:ascii="仿宋_GB2312" w:cs="Times New Roman"/>
          <w:color w:val="auto"/>
          <w:szCs w:val="32"/>
          <w:lang w:val="en-US" w:eastAsia="zh-CN"/>
        </w:rPr>
      </w:pPr>
      <w:r>
        <w:rPr>
          <w:rFonts w:hint="eastAsia" w:ascii="仿宋_GB2312" w:cs="Times New Roman"/>
          <w:color w:val="auto"/>
          <w:szCs w:val="32"/>
          <w:lang w:val="en-US" w:eastAsia="zh-CN"/>
        </w:rPr>
        <w:t>项目完成：预期目标，实施结果与绩效目标相匹配，目标实现程度100%</w:t>
      </w:r>
      <w:r>
        <w:rPr>
          <w:rFonts w:hint="eastAsia" w:ascii="仿宋_GB2312" w:cs="Times New Roman"/>
          <w:color w:val="auto"/>
          <w:szCs w:val="32"/>
          <w:lang w:eastAsia="zh-CN"/>
        </w:rPr>
        <w:t>。项目于</w:t>
      </w:r>
      <w:r>
        <w:rPr>
          <w:rFonts w:hint="eastAsia" w:ascii="仿宋_GB2312" w:cs="Times New Roman"/>
          <w:color w:val="auto"/>
          <w:szCs w:val="32"/>
          <w:lang w:val="en-US" w:eastAsia="zh-CN"/>
        </w:rPr>
        <w:t>2023年5月开工，2023年6月完工。</w:t>
      </w:r>
      <w:r>
        <w:rPr>
          <w:rFonts w:hint="eastAsia" w:ascii="仿宋_GB2312" w:cs="楷体_GB2312"/>
          <w:color w:val="auto"/>
          <w:szCs w:val="32"/>
          <w:lang w:val="en-US" w:eastAsia="zh-CN"/>
        </w:rPr>
        <w:t>分值6分，自评打分6分</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outlineLvl w:val="9"/>
        <w:rPr>
          <w:rFonts w:hint="eastAsia" w:ascii="仿宋_GB2312"/>
          <w:lang w:val="en-US" w:eastAsia="zh-CN"/>
        </w:rPr>
      </w:pPr>
      <w:r>
        <w:rPr>
          <w:rFonts w:hint="eastAsia" w:ascii="仿宋_GB2312" w:cs="Times New Roman"/>
          <w:b w:val="0"/>
          <w:color w:val="auto"/>
          <w:kern w:val="2"/>
          <w:sz w:val="32"/>
          <w:szCs w:val="32"/>
          <w:lang w:val="en-US" w:eastAsia="zh-CN" w:bidi="ar-SA"/>
        </w:rPr>
        <w:t>完成时效：项目实际完成时间与计划完成时间一致，分值，</w:t>
      </w:r>
      <w:r>
        <w:rPr>
          <w:rFonts w:hint="eastAsia" w:ascii="仿宋_GB2312" w:cs="楷体_GB2312"/>
          <w:color w:val="auto"/>
          <w:szCs w:val="32"/>
          <w:lang w:val="en-US" w:eastAsia="zh-CN"/>
        </w:rPr>
        <w:t>分值,3分，自评打分3分.</w:t>
      </w:r>
    </w:p>
    <w:p>
      <w:pPr>
        <w:keepNext w:val="0"/>
        <w:keepLines w:val="0"/>
        <w:pageBreakBefore w:val="0"/>
        <w:widowControl w:val="0"/>
        <w:kinsoku/>
        <w:wordWrap/>
        <w:overflowPunct/>
        <w:topLinePunct w:val="0"/>
        <w:autoSpaceDE/>
        <w:autoSpaceDN/>
        <w:bidi w:val="0"/>
        <w:adjustRightInd/>
        <w:snapToGrid/>
        <w:spacing w:line="578" w:lineRule="exact"/>
        <w:ind w:left="30"/>
        <w:textAlignment w:val="auto"/>
        <w:outlineLvl w:val="9"/>
        <w:rPr>
          <w:rFonts w:hint="eastAsia" w:ascii="仿宋_GB2312" w:cs="楷体_GB2312"/>
          <w:color w:val="auto"/>
          <w:szCs w:val="32"/>
          <w:lang w:val="zh-CN" w:eastAsia="zh-CN"/>
        </w:rPr>
      </w:pPr>
      <w:r>
        <w:rPr>
          <w:rFonts w:hint="eastAsia" w:ascii="楷体_GB2312" w:eastAsia="楷体_GB2312" w:cs="Times New Roman"/>
          <w:b/>
          <w:color w:val="auto"/>
          <w:sz w:val="32"/>
          <w:szCs w:val="32"/>
          <w:highlight w:val="none"/>
          <w:u w:val="none"/>
          <w:lang w:val="zh-CN"/>
        </w:rPr>
        <w:t>（二）</w:t>
      </w:r>
      <w:r>
        <w:rPr>
          <w:rFonts w:hint="eastAsia" w:ascii="楷体_GB2312" w:eastAsia="楷体_GB2312" w:cs="Times New Roman"/>
          <w:b/>
          <w:color w:val="auto"/>
          <w:sz w:val="32"/>
          <w:szCs w:val="32"/>
          <w:highlight w:val="none"/>
          <w:u w:val="none"/>
          <w:lang w:val="en-US" w:eastAsia="zh-CN"/>
        </w:rPr>
        <w:t>专用指标</w:t>
      </w:r>
      <w:r>
        <w:rPr>
          <w:rFonts w:ascii="Times New Roman" w:hAnsi="Times New Roman" w:eastAsia="楷体_GB2312" w:cs="Times New Roman"/>
          <w:b/>
          <w:bCs/>
          <w:color w:val="000000"/>
          <w:kern w:val="0"/>
          <w:szCs w:val="32"/>
          <w:highlight w:val="none"/>
          <w:shd w:val="clear" w:color="auto" w:fill="FFFFFF"/>
          <w:lang w:val="zh-CN"/>
        </w:rPr>
        <w:t>绩效分析。</w:t>
      </w:r>
      <w:r>
        <w:rPr>
          <w:rFonts w:hint="eastAsia" w:eastAsia="楷体_GB2312" w:cs="Times New Roman"/>
          <w:b/>
          <w:bCs/>
          <w:color w:val="000000"/>
          <w:kern w:val="0"/>
          <w:szCs w:val="32"/>
          <w:highlight w:val="none"/>
          <w:shd w:val="clear" w:color="auto" w:fill="FFFFFF"/>
          <w:lang w:val="zh-CN"/>
        </w:rPr>
        <w:t>分值</w:t>
      </w:r>
      <w:r>
        <w:rPr>
          <w:rFonts w:hint="eastAsia" w:eastAsia="楷体_GB2312" w:cs="Times New Roman"/>
          <w:b/>
          <w:bCs/>
          <w:color w:val="000000"/>
          <w:kern w:val="0"/>
          <w:szCs w:val="32"/>
          <w:highlight w:val="none"/>
          <w:shd w:val="clear" w:color="auto" w:fill="FFFFFF"/>
          <w:lang w:val="en-US" w:eastAsia="zh-CN"/>
        </w:rPr>
        <w:t>30分，自评打分28分。</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leftChars="200"/>
        <w:textAlignment w:val="auto"/>
        <w:outlineLvl w:val="9"/>
        <w:rPr>
          <w:rFonts w:hint="eastAsia" w:ascii="仿宋_GB2312" w:cs="Times New Roman"/>
          <w:color w:val="auto"/>
          <w:szCs w:val="32"/>
          <w:lang w:eastAsia="zh-CN"/>
        </w:rPr>
      </w:pPr>
      <w:r>
        <w:rPr>
          <w:rFonts w:hint="eastAsia" w:ascii="仿宋_GB2312" w:cs="楷体_GB2312"/>
          <w:color w:val="auto"/>
          <w:szCs w:val="32"/>
          <w:lang w:val="en-US" w:eastAsia="zh-CN"/>
        </w:rPr>
        <w:t>产业发展。</w:t>
      </w:r>
    </w:p>
    <w:p>
      <w:pPr>
        <w:keepNext w:val="0"/>
        <w:keepLines w:val="0"/>
        <w:pageBreakBefore w:val="0"/>
        <w:widowControl w:val="0"/>
        <w:kinsoku/>
        <w:wordWrap/>
        <w:overflowPunct/>
        <w:topLinePunct w:val="0"/>
        <w:autoSpaceDE/>
        <w:autoSpaceDN/>
        <w:spacing w:line="578" w:lineRule="exact"/>
        <w:ind w:firstLine="640"/>
        <w:rPr>
          <w:rFonts w:hint="eastAsia"/>
          <w:kern w:val="0"/>
          <w:szCs w:val="28"/>
          <w:lang w:eastAsia="zh-CN"/>
        </w:rPr>
      </w:pPr>
      <w:r>
        <w:rPr>
          <w:rFonts w:hint="eastAsia"/>
          <w:kern w:val="0"/>
          <w:szCs w:val="28"/>
          <w:lang w:val="en-US" w:eastAsia="zh-CN"/>
        </w:rPr>
        <w:t>1.</w:t>
      </w:r>
      <w:r>
        <w:rPr>
          <w:rFonts w:hint="eastAsia"/>
          <w:kern w:val="0"/>
          <w:szCs w:val="28"/>
          <w:lang w:eastAsia="zh-CN"/>
        </w:rPr>
        <w:t>符合性。</w:t>
      </w:r>
      <w:r>
        <w:rPr>
          <w:rFonts w:hint="eastAsia"/>
          <w:kern w:val="0"/>
          <w:szCs w:val="28"/>
        </w:rPr>
        <w:t>项目实施是</w:t>
      </w:r>
      <w:r>
        <w:rPr>
          <w:rFonts w:hint="eastAsia"/>
          <w:kern w:val="0"/>
          <w:szCs w:val="28"/>
          <w:lang w:eastAsia="zh-CN"/>
        </w:rPr>
        <w:t>符合</w:t>
      </w:r>
      <w:r>
        <w:rPr>
          <w:rFonts w:hint="eastAsia"/>
          <w:kern w:val="0"/>
          <w:szCs w:val="28"/>
        </w:rPr>
        <w:t>与省委省政府支持重点产业支持政策</w:t>
      </w:r>
      <w:r>
        <w:rPr>
          <w:rFonts w:hint="eastAsia"/>
          <w:kern w:val="0"/>
          <w:szCs w:val="28"/>
          <w:lang w:eastAsia="zh-CN"/>
        </w:rPr>
        <w:t>，资金补助</w:t>
      </w:r>
      <w:r>
        <w:rPr>
          <w:rFonts w:hint="eastAsia"/>
          <w:kern w:val="0"/>
          <w:szCs w:val="28"/>
        </w:rPr>
        <w:t>符合支持对象范围</w:t>
      </w:r>
      <w:r>
        <w:rPr>
          <w:rFonts w:hint="eastAsia"/>
          <w:kern w:val="0"/>
          <w:szCs w:val="28"/>
          <w:lang w:eastAsia="zh-CN"/>
        </w:rPr>
        <w:t>。</w:t>
      </w:r>
      <w:r>
        <w:rPr>
          <w:rFonts w:hint="eastAsia" w:ascii="仿宋_GB2312" w:cs="仿宋"/>
          <w:lang w:val="zh-CN"/>
        </w:rPr>
        <w:t>分值10分，自评打分</w:t>
      </w:r>
      <w:r>
        <w:rPr>
          <w:rFonts w:hint="eastAsia" w:ascii="仿宋_GB2312" w:cs="仿宋"/>
          <w:lang w:val="en-US" w:eastAsia="zh-CN"/>
        </w:rPr>
        <w:t>10</w:t>
      </w:r>
      <w:r>
        <w:rPr>
          <w:rFonts w:hint="eastAsia" w:ascii="仿宋_GB2312" w:cs="仿宋"/>
          <w:lang w:val="zh-CN"/>
        </w:rPr>
        <w:t>分</w:t>
      </w:r>
    </w:p>
    <w:p>
      <w:pPr>
        <w:adjustRightInd w:val="0"/>
        <w:snapToGrid w:val="0"/>
        <w:spacing w:line="578" w:lineRule="exact"/>
        <w:ind w:firstLine="640" w:firstLineChars="200"/>
        <w:rPr>
          <w:rFonts w:hint="eastAsia"/>
          <w:kern w:val="0"/>
          <w:szCs w:val="28"/>
          <w:lang w:eastAsia="zh-CN"/>
        </w:rPr>
      </w:pPr>
      <w:r>
        <w:rPr>
          <w:rFonts w:hint="eastAsia"/>
          <w:kern w:val="0"/>
          <w:szCs w:val="28"/>
          <w:lang w:val="en-US" w:eastAsia="zh-CN"/>
        </w:rPr>
        <w:t>2.</w:t>
      </w:r>
      <w:r>
        <w:rPr>
          <w:rFonts w:hint="eastAsia"/>
          <w:kern w:val="0"/>
          <w:szCs w:val="28"/>
          <w:lang w:eastAsia="zh-CN"/>
        </w:rPr>
        <w:t>成长性。项目实施支持康鑫农牧业生产线技术升级改造，扩大市场销售渠道，拓展了产品产能，增强市场竞争力。</w:t>
      </w:r>
      <w:r>
        <w:rPr>
          <w:rFonts w:hint="eastAsia" w:ascii="仿宋_GB2312" w:cs="仿宋"/>
          <w:lang w:val="zh-CN" w:eastAsia="zh-CN"/>
        </w:rPr>
        <w:t>分值10分，自评打分</w:t>
      </w:r>
      <w:r>
        <w:rPr>
          <w:rFonts w:hint="eastAsia" w:ascii="仿宋_GB2312" w:cs="仿宋"/>
          <w:lang w:val="en-US" w:eastAsia="zh-CN"/>
        </w:rPr>
        <w:t>10</w:t>
      </w:r>
      <w:r>
        <w:rPr>
          <w:rFonts w:hint="eastAsia" w:ascii="仿宋_GB2312" w:cs="仿宋"/>
          <w:lang w:val="zh-CN" w:eastAsia="zh-CN"/>
        </w:rPr>
        <w:t>分</w:t>
      </w:r>
    </w:p>
    <w:p>
      <w:pPr>
        <w:adjustRightInd w:val="0"/>
        <w:snapToGrid w:val="0"/>
        <w:spacing w:line="578" w:lineRule="exact"/>
        <w:ind w:firstLine="640" w:firstLineChars="200"/>
        <w:rPr>
          <w:rFonts w:hint="eastAsia"/>
          <w:kern w:val="0"/>
          <w:szCs w:val="28"/>
          <w:lang w:eastAsia="zh-CN"/>
        </w:rPr>
      </w:pPr>
      <w:r>
        <w:rPr>
          <w:rFonts w:hint="eastAsia"/>
          <w:kern w:val="0"/>
          <w:szCs w:val="28"/>
          <w:lang w:val="en-US" w:eastAsia="zh-CN"/>
        </w:rPr>
        <w:t>3.</w:t>
      </w:r>
      <w:r>
        <w:rPr>
          <w:rFonts w:hint="eastAsia"/>
          <w:kern w:val="0"/>
          <w:szCs w:val="28"/>
          <w:lang w:eastAsia="zh-CN"/>
        </w:rPr>
        <w:t>经济性。该项目带动了康鑫农牧业有限公司主营业务收入、利润增长，</w:t>
      </w:r>
      <w:r>
        <w:rPr>
          <w:rFonts w:hint="eastAsia" w:ascii="仿宋_GB2312" w:cs="仿宋"/>
          <w:lang w:val="zh-CN" w:eastAsia="zh-CN"/>
        </w:rPr>
        <w:t>分值10分，自评打分</w:t>
      </w:r>
      <w:r>
        <w:rPr>
          <w:rFonts w:hint="eastAsia" w:ascii="仿宋_GB2312" w:cs="仿宋"/>
          <w:lang w:val="en-US" w:eastAsia="zh-CN"/>
        </w:rPr>
        <w:t>8</w:t>
      </w:r>
      <w:r>
        <w:rPr>
          <w:rFonts w:hint="eastAsia" w:ascii="仿宋_GB2312" w:cs="仿宋"/>
          <w:lang w:val="zh-CN" w:eastAsia="zh-CN"/>
        </w:rPr>
        <w:t>分</w:t>
      </w:r>
    </w:p>
    <w:p>
      <w:pPr>
        <w:keepNext w:val="0"/>
        <w:keepLines w:val="0"/>
        <w:pageBreakBefore w:val="0"/>
        <w:widowControl w:val="0"/>
        <w:kinsoku/>
        <w:wordWrap/>
        <w:overflowPunct/>
        <w:topLinePunct w:val="0"/>
        <w:autoSpaceDE/>
        <w:autoSpaceDN/>
        <w:bidi w:val="0"/>
        <w:adjustRightInd/>
        <w:snapToGrid/>
        <w:spacing w:line="578" w:lineRule="exact"/>
        <w:ind w:firstLine="640"/>
        <w:textAlignment w:val="auto"/>
        <w:outlineLvl w:val="9"/>
        <w:rPr>
          <w:rFonts w:ascii="Times New Roman" w:hAnsi="Times New Roman" w:eastAsia="楷体_GB2312" w:cs="Times New Roman"/>
          <w:b/>
          <w:bCs/>
          <w:color w:val="000000"/>
          <w:kern w:val="0"/>
          <w:szCs w:val="32"/>
          <w:highlight w:val="none"/>
          <w:shd w:val="clear" w:color="auto" w:fill="FFFFFF"/>
          <w:lang w:val="en-US" w:eastAsia="zh-CN"/>
        </w:rPr>
      </w:pPr>
      <w:r>
        <w:rPr>
          <w:rFonts w:hint="eastAsia" w:ascii="楷体_GB2312" w:eastAsia="楷体_GB2312" w:cs="Times New Roman"/>
          <w:b/>
          <w:color w:val="auto"/>
          <w:sz w:val="32"/>
          <w:szCs w:val="32"/>
          <w:highlight w:val="none"/>
          <w:u w:val="none"/>
          <w:lang w:val="zh-CN"/>
        </w:rPr>
        <w:t>（三）</w:t>
      </w:r>
      <w:r>
        <w:rPr>
          <w:rFonts w:hint="eastAsia" w:ascii="楷体_GB2312" w:eastAsia="楷体_GB2312" w:cs="Times New Roman"/>
          <w:b/>
          <w:color w:val="auto"/>
          <w:sz w:val="32"/>
          <w:szCs w:val="32"/>
          <w:highlight w:val="none"/>
          <w:u w:val="none"/>
          <w:lang w:val="en-US" w:eastAsia="zh-CN"/>
        </w:rPr>
        <w:t>个性指标</w:t>
      </w:r>
      <w:r>
        <w:rPr>
          <w:rFonts w:ascii="Times New Roman" w:hAnsi="Times New Roman" w:eastAsia="楷体_GB2312" w:cs="Times New Roman"/>
          <w:b/>
          <w:bCs/>
          <w:color w:val="000000"/>
          <w:kern w:val="0"/>
          <w:szCs w:val="32"/>
          <w:highlight w:val="none"/>
          <w:shd w:val="clear" w:color="auto" w:fill="FFFFFF"/>
          <w:lang w:val="zh-CN"/>
        </w:rPr>
        <w:t>绩效分析。</w:t>
      </w:r>
      <w:r>
        <w:rPr>
          <w:rFonts w:hint="eastAsia" w:eastAsia="楷体_GB2312" w:cs="Times New Roman"/>
          <w:b/>
          <w:bCs/>
          <w:color w:val="000000"/>
          <w:kern w:val="0"/>
          <w:szCs w:val="32"/>
          <w:highlight w:val="none"/>
          <w:shd w:val="clear" w:color="auto" w:fill="FFFFFF"/>
          <w:lang w:val="zh-CN"/>
        </w:rPr>
        <w:t>分值</w:t>
      </w:r>
      <w:r>
        <w:rPr>
          <w:rFonts w:hint="eastAsia" w:eastAsia="楷体_GB2312" w:cs="Times New Roman"/>
          <w:b/>
          <w:bCs/>
          <w:color w:val="000000"/>
          <w:kern w:val="0"/>
          <w:szCs w:val="32"/>
          <w:highlight w:val="none"/>
          <w:shd w:val="clear" w:color="auto" w:fill="FFFFFF"/>
          <w:lang w:val="en-US" w:eastAsia="zh-CN"/>
        </w:rPr>
        <w:t>16分，自评打分16分。</w:t>
      </w:r>
    </w:p>
    <w:p>
      <w:pPr>
        <w:keepNext w:val="0"/>
        <w:keepLines w:val="0"/>
        <w:pageBreakBefore w:val="0"/>
        <w:widowControl w:val="0"/>
        <w:kinsoku/>
        <w:wordWrap/>
        <w:overflowPunct/>
        <w:topLinePunct w:val="0"/>
        <w:autoSpaceDE/>
        <w:autoSpaceDN/>
        <w:bidi w:val="0"/>
        <w:adjustRightInd/>
        <w:snapToGrid/>
        <w:spacing w:line="578" w:lineRule="exact"/>
        <w:ind w:firstLine="641"/>
        <w:textAlignment w:val="auto"/>
        <w:outlineLvl w:val="9"/>
        <w:rPr>
          <w:rFonts w:hint="eastAsia" w:ascii="仿宋_GB2312" w:cs="Times New Roman"/>
          <w:color w:val="auto"/>
          <w:szCs w:val="32"/>
          <w:lang w:val="en-US" w:eastAsia="zh-CN"/>
        </w:rPr>
      </w:pPr>
      <w:r>
        <w:rPr>
          <w:rFonts w:hint="eastAsia" w:ascii="仿宋_GB2312" w:cs="Times New Roman"/>
          <w:color w:val="auto"/>
          <w:szCs w:val="32"/>
          <w:lang w:val="en-US" w:eastAsia="zh-CN"/>
        </w:rPr>
        <w:t>1.用途合规性：按规定用途、适用范围进行本地区专项资金分配。</w:t>
      </w:r>
      <w:r>
        <w:rPr>
          <w:rFonts w:hint="eastAsia" w:ascii="仿宋_GB2312" w:cs="Times New Roman"/>
          <w:color w:val="auto"/>
          <w:szCs w:val="32"/>
          <w:lang w:val="zh-CN" w:eastAsia="zh-CN"/>
        </w:rPr>
        <w:t>整个施工过程安全质量达标实现预期效果。</w:t>
      </w:r>
      <w:r>
        <w:rPr>
          <w:rFonts w:hint="eastAsia" w:ascii="仿宋_GB2312" w:cs="Times New Roman"/>
          <w:color w:val="auto"/>
          <w:szCs w:val="32"/>
          <w:lang w:val="en-US" w:eastAsia="zh-CN"/>
        </w:rPr>
        <w:t>分值5分，自评打分5分。</w:t>
      </w:r>
    </w:p>
    <w:p>
      <w:pPr>
        <w:keepNext w:val="0"/>
        <w:keepLines w:val="0"/>
        <w:pageBreakBefore w:val="0"/>
        <w:widowControl w:val="0"/>
        <w:kinsoku/>
        <w:wordWrap/>
        <w:overflowPunct/>
        <w:topLinePunct w:val="0"/>
        <w:autoSpaceDE/>
        <w:autoSpaceDN/>
        <w:bidi w:val="0"/>
        <w:adjustRightInd/>
        <w:snapToGrid/>
        <w:spacing w:line="578" w:lineRule="exact"/>
        <w:ind w:firstLine="641"/>
        <w:textAlignment w:val="auto"/>
        <w:outlineLvl w:val="9"/>
        <w:rPr>
          <w:rFonts w:hint="eastAsia" w:ascii="仿宋_GB2312" w:cs="Times New Roman"/>
          <w:color w:val="auto"/>
          <w:szCs w:val="32"/>
          <w:lang w:val="en-US" w:eastAsia="zh-CN"/>
        </w:rPr>
      </w:pPr>
      <w:r>
        <w:rPr>
          <w:rFonts w:hint="eastAsia" w:ascii="仿宋_GB2312" w:cs="Times New Roman"/>
          <w:color w:val="auto"/>
          <w:szCs w:val="32"/>
          <w:lang w:val="en-US" w:eastAsia="zh-CN"/>
        </w:rPr>
        <w:t>2.程序合规性：资金管理程序符合专项资金管理要求，专款专用，分值5分，自评打分5分。</w:t>
      </w:r>
    </w:p>
    <w:p>
      <w:pPr>
        <w:keepNext w:val="0"/>
        <w:keepLines w:val="0"/>
        <w:pageBreakBefore w:val="0"/>
        <w:widowControl w:val="0"/>
        <w:kinsoku/>
        <w:wordWrap/>
        <w:overflowPunct/>
        <w:topLinePunct w:val="0"/>
        <w:autoSpaceDE/>
        <w:autoSpaceDN/>
        <w:bidi w:val="0"/>
        <w:adjustRightInd/>
        <w:snapToGrid/>
        <w:spacing w:line="578" w:lineRule="exact"/>
        <w:ind w:firstLine="641"/>
        <w:textAlignment w:val="auto"/>
        <w:outlineLvl w:val="9"/>
        <w:rPr>
          <w:rFonts w:hint="eastAsia" w:ascii="仿宋_GB2312" w:cs="Times New Roman"/>
          <w:color w:val="auto"/>
          <w:szCs w:val="32"/>
          <w:lang w:val="en-US" w:eastAsia="zh-CN"/>
        </w:rPr>
      </w:pPr>
      <w:r>
        <w:rPr>
          <w:rFonts w:hint="eastAsia" w:ascii="仿宋_GB2312" w:cs="Times New Roman"/>
          <w:color w:val="auto"/>
          <w:szCs w:val="32"/>
          <w:lang w:val="en-US" w:eastAsia="zh-CN"/>
        </w:rPr>
        <w:t>3.标准合规性：资金分配标准符合专项资金管理要求分值6分，自评打分6分</w:t>
      </w:r>
    </w:p>
    <w:p>
      <w:pPr>
        <w:pStyle w:val="4"/>
        <w:pageBreakBefore w:val="0"/>
        <w:numPr>
          <w:ilvl w:val="0"/>
          <w:numId w:val="0"/>
        </w:numPr>
        <w:kinsoku/>
        <w:wordWrap/>
        <w:overflowPunct/>
        <w:topLinePunct w:val="0"/>
        <w:autoSpaceDE/>
        <w:autoSpaceDN/>
        <w:bidi w:val="0"/>
        <w:adjustRightInd/>
        <w:spacing w:line="600" w:lineRule="exact"/>
        <w:ind w:firstLine="640" w:firstLineChars="200"/>
        <w:textAlignment w:val="auto"/>
        <w:rPr>
          <w:rFonts w:hint="eastAsia" w:ascii="黑体" w:hAnsi="宋体" w:eastAsia="黑体"/>
          <w:color w:val="auto"/>
          <w:sz w:val="32"/>
          <w:szCs w:val="32"/>
          <w:highlight w:val="none"/>
          <w:u w:val="none"/>
        </w:rPr>
      </w:pPr>
      <w:r>
        <w:rPr>
          <w:rFonts w:hint="eastAsia" w:ascii="黑体" w:hAnsi="宋体" w:eastAsia="黑体"/>
          <w:color w:val="auto"/>
          <w:sz w:val="32"/>
          <w:szCs w:val="32"/>
          <w:highlight w:val="none"/>
          <w:u w:val="none"/>
          <w:lang w:eastAsia="zh-CN"/>
        </w:rPr>
        <w:t>四</w:t>
      </w:r>
      <w:r>
        <w:rPr>
          <w:rFonts w:hint="eastAsia" w:ascii="黑体" w:hAnsi="宋体" w:eastAsia="黑体"/>
          <w:color w:val="auto"/>
          <w:sz w:val="32"/>
          <w:szCs w:val="32"/>
          <w:highlight w:val="none"/>
          <w:u w:val="none"/>
        </w:rPr>
        <w:t>、评价结论</w:t>
      </w:r>
    </w:p>
    <w:p>
      <w:pPr>
        <w:keepNext w:val="0"/>
        <w:keepLines w:val="0"/>
        <w:pageBreakBefore w:val="0"/>
        <w:widowControl/>
        <w:numPr>
          <w:ilvl w:val="0"/>
          <w:numId w:val="0"/>
        </w:numPr>
        <w:kinsoku/>
        <w:wordWrap/>
        <w:overflowPunct/>
        <w:topLinePunct w:val="0"/>
        <w:autoSpaceDE/>
        <w:autoSpaceDN/>
        <w:bidi w:val="0"/>
        <w:adjustRightInd w:val="0"/>
        <w:snapToGrid w:val="0"/>
        <w:spacing w:line="578" w:lineRule="exact"/>
        <w:ind w:left="0" w:leftChars="0" w:firstLine="640" w:firstLineChars="200"/>
        <w:contextualSpacing/>
        <w:jc w:val="left"/>
        <w:textAlignment w:val="auto"/>
        <w:rPr>
          <w:rFonts w:hint="eastAsia" w:ascii="仿宋_GB2312" w:hAnsi="仿宋_GB2312" w:eastAsia="仿宋_GB2312" w:cs="仿宋_GB2312"/>
          <w:b w:val="0"/>
          <w:bCs w:val="0"/>
          <w:kern w:val="0"/>
          <w:position w:val="0"/>
          <w:sz w:val="32"/>
          <w:szCs w:val="32"/>
          <w:highlight w:val="none"/>
          <w:lang w:val="en-US" w:eastAsia="zh-CN" w:bidi="ar-SA"/>
        </w:rPr>
      </w:pPr>
      <w:r>
        <w:rPr>
          <w:rFonts w:hint="eastAsia" w:ascii="仿宋_GB2312" w:hAnsi="仿宋_GB2312" w:cs="仿宋_GB2312"/>
          <w:color w:val="auto"/>
          <w:kern w:val="0"/>
          <w:sz w:val="32"/>
          <w:szCs w:val="32"/>
          <w:highlight w:val="none"/>
          <w:u w:val="none"/>
          <w:shd w:val="clear" w:color="auto" w:fill="FFFFFF"/>
          <w:lang w:val="zh-CN" w:eastAsia="zh-CN"/>
        </w:rPr>
        <w:t>黑水康鑫农牧业有限责任公司实施的“藏香猪肉制品深加工设备更新改造及相关配套设施建设项目”总投资394.21万元，其中固定资产投资265万元。根据《阿坝州经济和信息化局关于工业发展专项资金项目管理和验收细则（试行）》（阿州经信〔2021〕225号）要求，单个补助项目额度原则上不超过该项目固定资产投资的20%，拟补助“黑水县康鑫农牧业有限公司藏香猪肉制品深加工设备更新改造及相关配套设施建设项目”资金50万元。</w:t>
      </w:r>
      <w:r>
        <w:rPr>
          <w:rFonts w:hint="eastAsia" w:ascii="仿宋_GB2312" w:hAnsi="仿宋_GB2312" w:eastAsia="仿宋_GB2312" w:cs="仿宋_GB2312"/>
          <w:b w:val="0"/>
          <w:bCs w:val="0"/>
          <w:kern w:val="0"/>
          <w:position w:val="0"/>
          <w:sz w:val="32"/>
          <w:szCs w:val="32"/>
          <w:highlight w:val="none"/>
          <w:lang w:val="en-US" w:eastAsia="zh-CN" w:bidi="ar-SA"/>
        </w:rPr>
        <w:t>结合2023年黑水县经济商务和信息化局自评情况，该项目自评总分</w:t>
      </w:r>
      <w:r>
        <w:rPr>
          <w:rFonts w:hint="eastAsia" w:ascii="仿宋_GB2312" w:hAnsi="仿宋_GB2312" w:cs="仿宋_GB2312"/>
          <w:b w:val="0"/>
          <w:bCs w:val="0"/>
          <w:kern w:val="0"/>
          <w:position w:val="0"/>
          <w:sz w:val="32"/>
          <w:szCs w:val="32"/>
          <w:highlight w:val="none"/>
          <w:lang w:val="en-US" w:eastAsia="zh-CN" w:bidi="ar-SA"/>
        </w:rPr>
        <w:t>98</w:t>
      </w:r>
      <w:r>
        <w:rPr>
          <w:rFonts w:hint="eastAsia" w:ascii="仿宋_GB2312" w:hAnsi="仿宋_GB2312" w:eastAsia="仿宋_GB2312" w:cs="仿宋_GB2312"/>
          <w:b w:val="0"/>
          <w:bCs w:val="0"/>
          <w:kern w:val="0"/>
          <w:position w:val="0"/>
          <w:sz w:val="32"/>
          <w:szCs w:val="32"/>
          <w:highlight w:val="none"/>
          <w:lang w:val="en-US" w:eastAsia="zh-CN" w:bidi="ar-SA"/>
        </w:rPr>
        <w:t>分，有利于支持黑水康鑫农牧业技术升级改造，扩大生产规模，开发新产品，拓宽销售市场，提升农特产品品牌竞争力。</w:t>
      </w:r>
    </w:p>
    <w:p>
      <w:pPr>
        <w:pStyle w:val="4"/>
        <w:pageBreakBefore w:val="0"/>
        <w:numPr>
          <w:ilvl w:val="0"/>
          <w:numId w:val="0"/>
        </w:numPr>
        <w:kinsoku/>
        <w:wordWrap/>
        <w:overflowPunct/>
        <w:topLinePunct w:val="0"/>
        <w:autoSpaceDE/>
        <w:autoSpaceDN/>
        <w:bidi w:val="0"/>
        <w:adjustRightInd/>
        <w:spacing w:line="600" w:lineRule="exact"/>
        <w:ind w:firstLine="640" w:firstLineChars="200"/>
        <w:textAlignment w:val="auto"/>
        <w:rPr>
          <w:rFonts w:hint="eastAsia" w:ascii="黑体" w:hAnsi="宋体" w:eastAsia="黑体" w:cs="Times New Roman"/>
          <w:color w:val="auto"/>
          <w:sz w:val="32"/>
          <w:szCs w:val="32"/>
          <w:highlight w:val="none"/>
          <w:u w:val="none"/>
          <w:lang w:eastAsia="zh-CN"/>
        </w:rPr>
      </w:pPr>
      <w:r>
        <w:rPr>
          <w:rFonts w:hint="eastAsia" w:ascii="黑体" w:hAnsi="宋体" w:cs="Times New Roman"/>
          <w:color w:val="auto"/>
          <w:sz w:val="32"/>
          <w:szCs w:val="32"/>
          <w:highlight w:val="none"/>
          <w:u w:val="none"/>
          <w:lang w:eastAsia="zh-CN"/>
        </w:rPr>
        <w:t>五、</w:t>
      </w:r>
      <w:r>
        <w:rPr>
          <w:rFonts w:hint="eastAsia" w:ascii="黑体" w:hAnsi="宋体" w:eastAsia="黑体" w:cs="Times New Roman"/>
          <w:color w:val="auto"/>
          <w:sz w:val="32"/>
          <w:szCs w:val="32"/>
          <w:highlight w:val="none"/>
          <w:u w:val="none"/>
          <w:lang w:eastAsia="zh-CN"/>
        </w:rPr>
        <w:t>存在主要问题</w:t>
      </w:r>
    </w:p>
    <w:p>
      <w:pPr>
        <w:pStyle w:val="4"/>
        <w:pageBreakBefore w:val="0"/>
        <w:numPr>
          <w:ilvl w:val="0"/>
          <w:numId w:val="0"/>
        </w:numPr>
        <w:kinsoku/>
        <w:wordWrap/>
        <w:overflowPunct/>
        <w:topLinePunct w:val="0"/>
        <w:autoSpaceDE/>
        <w:autoSpaceDN/>
        <w:bidi w:val="0"/>
        <w:adjustRightInd/>
        <w:spacing w:line="600" w:lineRule="exact"/>
        <w:ind w:firstLine="640" w:firstLineChars="200"/>
        <w:textAlignment w:val="auto"/>
        <w:rPr>
          <w:rFonts w:hint="eastAsia" w:ascii="仿宋_GB2312" w:hAnsi="仿宋_GB2312" w:eastAsia="仿宋_GB2312" w:cs="仿宋_GB2312"/>
          <w:b w:val="0"/>
          <w:bCs w:val="0"/>
          <w:kern w:val="0"/>
          <w:position w:val="0"/>
          <w:sz w:val="32"/>
          <w:szCs w:val="32"/>
          <w:highlight w:val="none"/>
          <w:lang w:val="en-US" w:eastAsia="zh-CN" w:bidi="ar-SA"/>
        </w:rPr>
      </w:pPr>
      <w:r>
        <w:rPr>
          <w:rFonts w:hint="eastAsia" w:ascii="仿宋_GB2312" w:hAnsi="仿宋_GB2312" w:eastAsia="仿宋_GB2312" w:cs="仿宋_GB2312"/>
          <w:b w:val="0"/>
          <w:bCs w:val="0"/>
          <w:kern w:val="0"/>
          <w:position w:val="0"/>
          <w:sz w:val="32"/>
          <w:szCs w:val="32"/>
          <w:highlight w:val="none"/>
          <w:lang w:val="en-US" w:eastAsia="zh-CN" w:bidi="ar-SA"/>
        </w:rPr>
        <w:t>绩效管理情况不够完善。</w:t>
      </w:r>
    </w:p>
    <w:p>
      <w:pPr>
        <w:pStyle w:val="4"/>
        <w:pageBreakBefore w:val="0"/>
        <w:numPr>
          <w:ilvl w:val="0"/>
          <w:numId w:val="0"/>
        </w:numPr>
        <w:kinsoku/>
        <w:wordWrap/>
        <w:overflowPunct/>
        <w:topLinePunct w:val="0"/>
        <w:autoSpaceDE/>
        <w:autoSpaceDN/>
        <w:bidi w:val="0"/>
        <w:adjustRightInd/>
        <w:spacing w:line="600" w:lineRule="exact"/>
        <w:ind w:firstLine="640" w:firstLineChars="200"/>
        <w:textAlignment w:val="auto"/>
        <w:rPr>
          <w:rFonts w:hint="eastAsia" w:ascii="黑体" w:hAnsi="宋体" w:eastAsia="黑体" w:cs="Times New Roman"/>
          <w:color w:val="auto"/>
          <w:kern w:val="0"/>
          <w:position w:val="3"/>
          <w:sz w:val="32"/>
          <w:szCs w:val="32"/>
          <w:highlight w:val="none"/>
          <w:u w:val="none"/>
          <w:lang w:val="zh-CN" w:eastAsia="zh-CN" w:bidi="ar-SA"/>
        </w:rPr>
      </w:pPr>
      <w:r>
        <w:rPr>
          <w:rFonts w:hint="eastAsia" w:ascii="黑体" w:hAnsi="宋体" w:eastAsia="黑体" w:cs="Times New Roman"/>
          <w:color w:val="auto"/>
          <w:kern w:val="0"/>
          <w:position w:val="3"/>
          <w:sz w:val="32"/>
          <w:szCs w:val="32"/>
          <w:highlight w:val="none"/>
          <w:u w:val="none"/>
          <w:lang w:val="zh-CN" w:eastAsia="zh-CN" w:bidi="ar-SA"/>
        </w:rPr>
        <w:t>六、改进建议</w:t>
      </w:r>
    </w:p>
    <w:p>
      <w:pPr>
        <w:tabs>
          <w:tab w:val="left" w:pos="1911"/>
        </w:tabs>
        <w:jc w:val="left"/>
        <w:rPr>
          <w:rFonts w:hint="eastAsia" w:ascii="仿宋_GB2312" w:hAnsi="仿宋_GB2312" w:eastAsia="仿宋_GB2312" w:cs="仿宋_GB2312"/>
          <w:b w:val="0"/>
          <w:bCs w:val="0"/>
          <w:kern w:val="0"/>
          <w:position w:val="0"/>
          <w:sz w:val="32"/>
          <w:szCs w:val="32"/>
          <w:highlight w:val="none"/>
          <w:lang w:val="en" w:eastAsia="zh-CN" w:bidi="ar-SA"/>
        </w:rPr>
      </w:pPr>
      <w:r>
        <w:rPr>
          <w:rFonts w:hint="eastAsia" w:ascii="仿宋_GB2312" w:hAnsi="仿宋_GB2312" w:eastAsia="仿宋_GB2312" w:cs="仿宋_GB2312"/>
          <w:color w:val="auto"/>
          <w:kern w:val="0"/>
          <w:sz w:val="32"/>
          <w:szCs w:val="32"/>
          <w:highlight w:val="none"/>
          <w:u w:val="none"/>
          <w:shd w:val="clear" w:color="auto" w:fill="FFFFFF"/>
          <w:lang w:val="zh-CN" w:eastAsia="zh-CN"/>
        </w:rPr>
        <w:t xml:space="preserve"> </w:t>
      </w:r>
      <w:r>
        <w:rPr>
          <w:rFonts w:hint="eastAsia" w:ascii="仿宋_GB2312" w:hAnsi="仿宋_GB2312" w:cs="仿宋_GB2312"/>
          <w:b w:val="0"/>
          <w:bCs w:val="0"/>
          <w:kern w:val="0"/>
          <w:position w:val="0"/>
          <w:sz w:val="32"/>
          <w:szCs w:val="32"/>
          <w:highlight w:val="none"/>
          <w:lang w:val="en-US" w:eastAsia="zh-CN" w:bidi="ar-SA"/>
        </w:rPr>
        <w:t xml:space="preserve">   </w:t>
      </w:r>
      <w:bookmarkStart w:id="0" w:name="_Hlk110546638"/>
      <w:r>
        <w:rPr>
          <w:rFonts w:hint="eastAsia" w:ascii="仿宋_GB2312" w:hAnsi="仿宋_GB2312" w:cs="仿宋_GB2312"/>
          <w:b w:val="0"/>
          <w:bCs w:val="0"/>
          <w:kern w:val="0"/>
          <w:position w:val="0"/>
          <w:sz w:val="32"/>
          <w:szCs w:val="32"/>
          <w:highlight w:val="none"/>
          <w:lang w:val="en-US" w:eastAsia="zh-CN" w:bidi="ar-SA"/>
        </w:rPr>
        <w:t>优化完善项目目标，加强运行监控，节约财政资金并提升资金效益，提升项目预算绩效管理水平。</w:t>
      </w:r>
    </w:p>
    <w:bookmarkEnd w:id="0"/>
    <w:p>
      <w:pPr>
        <w:keepNext w:val="0"/>
        <w:keepLines w:val="0"/>
        <w:pageBreakBefore w:val="0"/>
        <w:kinsoku/>
        <w:wordWrap/>
        <w:overflowPunct/>
        <w:topLinePunct w:val="0"/>
        <w:autoSpaceDE/>
        <w:autoSpaceDN/>
        <w:bidi w:val="0"/>
        <w:adjustRightInd/>
        <w:snapToGrid w:val="0"/>
        <w:spacing w:line="578" w:lineRule="exact"/>
        <w:textAlignment w:val="auto"/>
        <w:outlineLvl w:val="9"/>
        <w:rPr>
          <w:rFonts w:hint="default" w:ascii="黑体" w:hAnsi="黑体" w:eastAsia="黑体" w:cs="黑体"/>
          <w:sz w:val="24"/>
          <w:szCs w:val="24"/>
          <w:highlight w:val="none"/>
          <w:lang w:val="en-US" w:eastAsia="zh-CN"/>
        </w:rPr>
      </w:pPr>
    </w:p>
    <w:sectPr>
      <w:footerReference r:id="rId3" w:type="default"/>
      <w:pgSz w:w="11906" w:h="16838"/>
      <w:pgMar w:top="2098" w:right="1474" w:bottom="1984" w:left="1587" w:header="851" w:footer="992" w:gutter="0"/>
      <w:pgNumType w:fmt="numberInDash"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A1"/>
    <w:family w:val="auto"/>
    <w:pitch w:val="default"/>
    <w:sig w:usb0="00000000" w:usb1="00000000" w:usb2="00000009"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DejaVu Sans">
    <w:panose1 w:val="020B0603030804020204"/>
    <w:charset w:val="00"/>
    <w:family w:val="auto"/>
    <w:pitch w:val="default"/>
    <w:sig w:usb0="E7006EFF" w:usb1="D200FDFF" w:usb2="0A246029" w:usb3="0400200C" w:csb0="600001FF" w:csb1="DFFF0000"/>
  </w:font>
  <w:font w:name="Calibri">
    <w:altName w:val="DejaVu Sans"/>
    <w:panose1 w:val="020F0502020204030204"/>
    <w:charset w:val="00"/>
    <w:family w:val="swiss"/>
    <w:pitch w:val="default"/>
    <w:sig w:usb0="00000000" w:usb1="00000000" w:usb2="00000001" w:usb3="00000000" w:csb0="0000019F" w:csb1="00000000"/>
  </w:font>
  <w:font w:name="方正书宋_GBK">
    <w:panose1 w:val="02000000000000000000"/>
    <w:charset w:val="86"/>
    <w:family w:val="auto"/>
    <w:pitch w:val="default"/>
    <w:sig w:usb0="00000001" w:usb1="08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方正黑体_GBK">
    <w:panose1 w:val="02000000000000000000"/>
    <w:charset w:val="86"/>
    <w:family w:val="auto"/>
    <w:pitch w:val="default"/>
    <w:sig w:usb0="A00002BF" w:usb1="38CF7CFA" w:usb2="00082016" w:usb3="00000000" w:csb0="00040001" w:csb1="00000000"/>
  </w:font>
  <w:font w:name="??">
    <w:altName w:val="仿宋_GB2312"/>
    <w:panose1 w:val="00000000000000000000"/>
    <w:charset w:val="00"/>
    <w:family w:val="roman"/>
    <w:pitch w:val="default"/>
    <w:sig w:usb0="00000000" w:usb1="00000000" w:usb2="00000000" w:usb3="00000000" w:csb0="00000000" w:csb1="00000000"/>
  </w:font>
  <w:font w:name="方正小标宋简体">
    <w:panose1 w:val="02000000000000000000"/>
    <w:charset w:val="86"/>
    <w:family w:val="script"/>
    <w:pitch w:val="default"/>
    <w:sig w:usb0="A00002BF" w:usb1="184F6CFA" w:usb2="00000012" w:usb3="00000000" w:csb0="00040001" w:csb1="00000000"/>
  </w:font>
  <w:font w:name="仿宋">
    <w:altName w:val="方正仿宋_GBK"/>
    <w:panose1 w:val="02010609060101010101"/>
    <w:charset w:val="86"/>
    <w:family w:val="auto"/>
    <w:pitch w:val="default"/>
    <w:sig w:usb0="00000000" w:usb1="00000000" w:usb2="00000016" w:usb3="00000000" w:csb0="00040001" w:csb1="00000000"/>
  </w:font>
  <w:font w:name="方正仿宋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1</w:t>
                          </w:r>
                          <w:r>
                            <w:rPr>
                              <w:rFonts w:hint="eastAsia" w:asciiTheme="minorEastAsia" w:hAnsiTheme="minorEastAsia" w:eastAsiaTheme="minorEastAsia" w:cstheme="minorEastAsia"/>
                              <w:sz w:val="28"/>
                              <w:szCs w:val="28"/>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">
              <v:fill on="f" focussize="0,0"/>
              <v:stroke on="f" weight="0.5pt"/>
              <v:imagedata o:title=""/>
              <o:lock v:ext="edit" aspectratio="f"/>
              <v:textbox inset="0mm,0mm,0mm,0mm" style="mso-fit-shape-to-text:t;">
                <w:txbxContent>
                  <w:p>
                    <w:pPr>
                      <w:pStyle w:val="5"/>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1</w:t>
                    </w:r>
                    <w:r>
                      <w:rPr>
                        <w:rFonts w:hint="eastAsia" w:asciiTheme="minorEastAsia" w:hAnsiTheme="minorEastAsia" w:eastAsiaTheme="minorEastAsia" w:cstheme="minorEastAsia"/>
                        <w:sz w:val="28"/>
                        <w:szCs w:val="28"/>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67829D2"/>
    <w:multiLevelType w:val="singleLevel"/>
    <w:tmpl w:val="167829D2"/>
    <w:lvl w:ilvl="0" w:tentative="0">
      <w:start w:val="2"/>
      <w:numFmt w:val="decimal"/>
      <w:lvlText w:val="%1."/>
      <w:lvlJc w:val="left"/>
      <w:pPr>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YyNDNiMzE3YmFlMWM4YjA4OGZiN2MyZGQ1YzhhYWMifQ=="/>
  </w:docVars>
  <w:rsids>
    <w:rsidRoot w:val="771D4D51"/>
    <w:rsid w:val="047D5273"/>
    <w:rsid w:val="087D1715"/>
    <w:rsid w:val="08A70B11"/>
    <w:rsid w:val="098826F0"/>
    <w:rsid w:val="10AF4A06"/>
    <w:rsid w:val="10D1110F"/>
    <w:rsid w:val="11E22BBA"/>
    <w:rsid w:val="13D053C0"/>
    <w:rsid w:val="149208C7"/>
    <w:rsid w:val="156D4E90"/>
    <w:rsid w:val="15B107B3"/>
    <w:rsid w:val="17D66D1D"/>
    <w:rsid w:val="1C25106F"/>
    <w:rsid w:val="1CB1575C"/>
    <w:rsid w:val="1CFD8DF6"/>
    <w:rsid w:val="1E206F43"/>
    <w:rsid w:val="1FFF9AD9"/>
    <w:rsid w:val="22AD555F"/>
    <w:rsid w:val="26CF2DB3"/>
    <w:rsid w:val="28915495"/>
    <w:rsid w:val="28F74D45"/>
    <w:rsid w:val="2ACB6B5A"/>
    <w:rsid w:val="2AED2494"/>
    <w:rsid w:val="2AF86ED7"/>
    <w:rsid w:val="2AFDF212"/>
    <w:rsid w:val="2B385C88"/>
    <w:rsid w:val="2B6BF484"/>
    <w:rsid w:val="2EFA733D"/>
    <w:rsid w:val="2F8D772E"/>
    <w:rsid w:val="2FFF7DE7"/>
    <w:rsid w:val="32FF3174"/>
    <w:rsid w:val="33F748AD"/>
    <w:rsid w:val="35874596"/>
    <w:rsid w:val="35F2A362"/>
    <w:rsid w:val="36162CAE"/>
    <w:rsid w:val="36EA2AC9"/>
    <w:rsid w:val="371A51D2"/>
    <w:rsid w:val="373BBD0C"/>
    <w:rsid w:val="39BFEDBA"/>
    <w:rsid w:val="39DBABD8"/>
    <w:rsid w:val="3AED12ED"/>
    <w:rsid w:val="3AFF6A5D"/>
    <w:rsid w:val="3BDD34D2"/>
    <w:rsid w:val="3BDDFF97"/>
    <w:rsid w:val="3BFFD43B"/>
    <w:rsid w:val="3C7BD5C9"/>
    <w:rsid w:val="3FBF9251"/>
    <w:rsid w:val="3FED766E"/>
    <w:rsid w:val="3FFEEAD9"/>
    <w:rsid w:val="3FFFE931"/>
    <w:rsid w:val="403326AF"/>
    <w:rsid w:val="413E3268"/>
    <w:rsid w:val="43CD4BC8"/>
    <w:rsid w:val="457F07F2"/>
    <w:rsid w:val="476C0661"/>
    <w:rsid w:val="4AB83EDC"/>
    <w:rsid w:val="4B4C0AC8"/>
    <w:rsid w:val="4CC6FDBD"/>
    <w:rsid w:val="4E07F45D"/>
    <w:rsid w:val="4E4B5067"/>
    <w:rsid w:val="4EA47A73"/>
    <w:rsid w:val="4FF59AF5"/>
    <w:rsid w:val="503D00E8"/>
    <w:rsid w:val="50F9512B"/>
    <w:rsid w:val="531243A6"/>
    <w:rsid w:val="55872E29"/>
    <w:rsid w:val="55FE10A2"/>
    <w:rsid w:val="56EF6619"/>
    <w:rsid w:val="572528F9"/>
    <w:rsid w:val="57AF1E73"/>
    <w:rsid w:val="5AB21C33"/>
    <w:rsid w:val="5B778EC0"/>
    <w:rsid w:val="5BFD93EC"/>
    <w:rsid w:val="5CBA8FF2"/>
    <w:rsid w:val="5D5061F6"/>
    <w:rsid w:val="5D5F7E21"/>
    <w:rsid w:val="5F5B35E4"/>
    <w:rsid w:val="609FA7B0"/>
    <w:rsid w:val="63E61662"/>
    <w:rsid w:val="661029C7"/>
    <w:rsid w:val="66692CE9"/>
    <w:rsid w:val="679848C0"/>
    <w:rsid w:val="69FCE5E7"/>
    <w:rsid w:val="6BCDA9CC"/>
    <w:rsid w:val="6CB70D8D"/>
    <w:rsid w:val="6D9F2765"/>
    <w:rsid w:val="6DB508E5"/>
    <w:rsid w:val="6DDFA6BD"/>
    <w:rsid w:val="6E767ACE"/>
    <w:rsid w:val="6E781687"/>
    <w:rsid w:val="6EEE3ED1"/>
    <w:rsid w:val="6EFFED40"/>
    <w:rsid w:val="6F1B2166"/>
    <w:rsid w:val="6F5FC1DE"/>
    <w:rsid w:val="6FB3E1FD"/>
    <w:rsid w:val="6FD768E4"/>
    <w:rsid w:val="6FF341F1"/>
    <w:rsid w:val="6FFEBD86"/>
    <w:rsid w:val="70893AA1"/>
    <w:rsid w:val="71E666A1"/>
    <w:rsid w:val="73027B3B"/>
    <w:rsid w:val="73AB1F81"/>
    <w:rsid w:val="73FF1F09"/>
    <w:rsid w:val="73FF684B"/>
    <w:rsid w:val="74A708C5"/>
    <w:rsid w:val="76DFCB7D"/>
    <w:rsid w:val="771D4D51"/>
    <w:rsid w:val="7735A28E"/>
    <w:rsid w:val="77778F6D"/>
    <w:rsid w:val="77ABFD6B"/>
    <w:rsid w:val="77B7A121"/>
    <w:rsid w:val="77C748BA"/>
    <w:rsid w:val="77DD24F1"/>
    <w:rsid w:val="77F10335"/>
    <w:rsid w:val="77F7E860"/>
    <w:rsid w:val="77FB8D34"/>
    <w:rsid w:val="797D0128"/>
    <w:rsid w:val="79EDB415"/>
    <w:rsid w:val="7ABBCDAB"/>
    <w:rsid w:val="7AFCAD25"/>
    <w:rsid w:val="7AFEB9B4"/>
    <w:rsid w:val="7B5E0C37"/>
    <w:rsid w:val="7B63F034"/>
    <w:rsid w:val="7B735637"/>
    <w:rsid w:val="7B7DE504"/>
    <w:rsid w:val="7BFEC4F8"/>
    <w:rsid w:val="7D4274B2"/>
    <w:rsid w:val="7DA14F75"/>
    <w:rsid w:val="7DB57A61"/>
    <w:rsid w:val="7DC7DC1F"/>
    <w:rsid w:val="7DF95E12"/>
    <w:rsid w:val="7DFDF40F"/>
    <w:rsid w:val="7DFF9BC7"/>
    <w:rsid w:val="7EB645E3"/>
    <w:rsid w:val="7EB6B7AB"/>
    <w:rsid w:val="7EDEF702"/>
    <w:rsid w:val="7EFD6908"/>
    <w:rsid w:val="7EFF8787"/>
    <w:rsid w:val="7F1C270D"/>
    <w:rsid w:val="7F5F4807"/>
    <w:rsid w:val="7F722518"/>
    <w:rsid w:val="7F7CF90E"/>
    <w:rsid w:val="7F7D2A23"/>
    <w:rsid w:val="7F9E3557"/>
    <w:rsid w:val="7FBF2857"/>
    <w:rsid w:val="7FD3B1BB"/>
    <w:rsid w:val="7FE7031F"/>
    <w:rsid w:val="7FEC5D3B"/>
    <w:rsid w:val="7FEF37E2"/>
    <w:rsid w:val="7FF70813"/>
    <w:rsid w:val="7FF7B584"/>
    <w:rsid w:val="7FFDFB4B"/>
    <w:rsid w:val="7FFF1910"/>
    <w:rsid w:val="7FFF8C1D"/>
    <w:rsid w:val="7FFF92F0"/>
    <w:rsid w:val="7FFFF07C"/>
    <w:rsid w:val="9BF3195D"/>
    <w:rsid w:val="A5DB4128"/>
    <w:rsid w:val="A6E375DB"/>
    <w:rsid w:val="A6EFA809"/>
    <w:rsid w:val="A6F7CC0B"/>
    <w:rsid w:val="AABFBDFA"/>
    <w:rsid w:val="AF7DE88E"/>
    <w:rsid w:val="AFED1DC0"/>
    <w:rsid w:val="AFFBB299"/>
    <w:rsid w:val="B3ECA4C8"/>
    <w:rsid w:val="B4D7E8EA"/>
    <w:rsid w:val="B4EF3795"/>
    <w:rsid w:val="B5E79B51"/>
    <w:rsid w:val="B6E7F02A"/>
    <w:rsid w:val="B797ED78"/>
    <w:rsid w:val="BB75119C"/>
    <w:rsid w:val="BBD3B774"/>
    <w:rsid w:val="BBDF02B2"/>
    <w:rsid w:val="BCFB0575"/>
    <w:rsid w:val="BE5EC634"/>
    <w:rsid w:val="BEC77393"/>
    <w:rsid w:val="BEFECBAE"/>
    <w:rsid w:val="BF2F7DA9"/>
    <w:rsid w:val="BF7F7592"/>
    <w:rsid w:val="BFB71281"/>
    <w:rsid w:val="BFBDF2DF"/>
    <w:rsid w:val="BFE4DD88"/>
    <w:rsid w:val="BFF9117D"/>
    <w:rsid w:val="BFFF6947"/>
    <w:rsid w:val="C8FDA203"/>
    <w:rsid w:val="CEF79301"/>
    <w:rsid w:val="CEFBB93B"/>
    <w:rsid w:val="CF7C6158"/>
    <w:rsid w:val="CF9D4E98"/>
    <w:rsid w:val="CFBFEC5E"/>
    <w:rsid w:val="D65BF816"/>
    <w:rsid w:val="D73F10CF"/>
    <w:rsid w:val="D977C3BB"/>
    <w:rsid w:val="D977C9A6"/>
    <w:rsid w:val="D9FF310B"/>
    <w:rsid w:val="DBF57698"/>
    <w:rsid w:val="DBFFAB54"/>
    <w:rsid w:val="DDFF5069"/>
    <w:rsid w:val="DECF83A1"/>
    <w:rsid w:val="DEEBD176"/>
    <w:rsid w:val="DEED29CB"/>
    <w:rsid w:val="DEFF6025"/>
    <w:rsid w:val="DF4E686F"/>
    <w:rsid w:val="DF7F78BD"/>
    <w:rsid w:val="DFDFC0CD"/>
    <w:rsid w:val="DFF7F21C"/>
    <w:rsid w:val="DFFE4986"/>
    <w:rsid w:val="E3F74AB8"/>
    <w:rsid w:val="E5FD7CF6"/>
    <w:rsid w:val="E7FE6222"/>
    <w:rsid w:val="E9BB2A12"/>
    <w:rsid w:val="EDDF69E1"/>
    <w:rsid w:val="EDF76BB3"/>
    <w:rsid w:val="EEF68640"/>
    <w:rsid w:val="EFF41AC0"/>
    <w:rsid w:val="EFF76D95"/>
    <w:rsid w:val="EFFF2C87"/>
    <w:rsid w:val="EFFFA435"/>
    <w:rsid w:val="F1DF82E1"/>
    <w:rsid w:val="F1F64F55"/>
    <w:rsid w:val="F2E22473"/>
    <w:rsid w:val="F35D14F0"/>
    <w:rsid w:val="F3F4C349"/>
    <w:rsid w:val="F3F64609"/>
    <w:rsid w:val="F4E96614"/>
    <w:rsid w:val="F4F54B3B"/>
    <w:rsid w:val="F58EBBB0"/>
    <w:rsid w:val="F5CBD2AD"/>
    <w:rsid w:val="F6F3FBF3"/>
    <w:rsid w:val="F6FE0D0F"/>
    <w:rsid w:val="F9B8FDC3"/>
    <w:rsid w:val="F9BF4E89"/>
    <w:rsid w:val="FA79E738"/>
    <w:rsid w:val="FAD729CA"/>
    <w:rsid w:val="FB1B5977"/>
    <w:rsid w:val="FBF62448"/>
    <w:rsid w:val="FBF76486"/>
    <w:rsid w:val="FBFF7DC7"/>
    <w:rsid w:val="FC37AF17"/>
    <w:rsid w:val="FCDE5A6F"/>
    <w:rsid w:val="FCFE5638"/>
    <w:rsid w:val="FCFF1FE1"/>
    <w:rsid w:val="FD7C7175"/>
    <w:rsid w:val="FDD7319B"/>
    <w:rsid w:val="FDDE4FF7"/>
    <w:rsid w:val="FDF8F696"/>
    <w:rsid w:val="FE7B38A4"/>
    <w:rsid w:val="FE7EBDAF"/>
    <w:rsid w:val="FEAF5424"/>
    <w:rsid w:val="FECB8DB0"/>
    <w:rsid w:val="FECF948F"/>
    <w:rsid w:val="FEDCE487"/>
    <w:rsid w:val="FEED62B0"/>
    <w:rsid w:val="FEEFF60E"/>
    <w:rsid w:val="FEFD6F73"/>
    <w:rsid w:val="FF0F1500"/>
    <w:rsid w:val="FF5995C2"/>
    <w:rsid w:val="FF6B552C"/>
    <w:rsid w:val="FF6F74D4"/>
    <w:rsid w:val="FFBB4B28"/>
    <w:rsid w:val="FFCFE300"/>
    <w:rsid w:val="FFD58A98"/>
    <w:rsid w:val="FFDD382A"/>
    <w:rsid w:val="FFDFD60A"/>
    <w:rsid w:val="FFE6F78D"/>
    <w:rsid w:val="FFEBBD1A"/>
    <w:rsid w:val="FFEF3B9A"/>
    <w:rsid w:val="FFF171B6"/>
    <w:rsid w:val="FFF33D76"/>
    <w:rsid w:val="FFF3C5BB"/>
    <w:rsid w:val="FFFA984C"/>
    <w:rsid w:val="FFFB4651"/>
    <w:rsid w:val="FFFD90B9"/>
    <w:rsid w:val="FFFF2620"/>
    <w:rsid w:val="FFFF5C3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2"/>
      <w:szCs w:val="32"/>
      <w:lang w:val="en-US" w:eastAsia="zh-CN" w:bidi="ar-SA"/>
    </w:rPr>
  </w:style>
  <w:style w:type="character" w:default="1" w:styleId="10">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Body Text First Indent 2"/>
    <w:basedOn w:val="3"/>
    <w:next w:val="1"/>
    <w:unhideWhenUsed/>
    <w:qFormat/>
    <w:uiPriority w:val="99"/>
    <w:pPr>
      <w:ind w:firstLine="420" w:firstLineChars="200"/>
    </w:pPr>
  </w:style>
  <w:style w:type="paragraph" w:styleId="3">
    <w:name w:val="Body Text Indent"/>
    <w:basedOn w:val="1"/>
    <w:qFormat/>
    <w:uiPriority w:val="0"/>
    <w:pPr>
      <w:spacing w:after="120"/>
      <w:ind w:leftChars="200"/>
    </w:pPr>
    <w:rPr>
      <w:rFonts w:ascii="仿宋_GB2312"/>
      <w:szCs w:val="32"/>
    </w:rPr>
  </w:style>
  <w:style w:type="paragraph" w:styleId="4">
    <w:name w:val="Body Text"/>
    <w:basedOn w:val="1"/>
    <w:qFormat/>
    <w:uiPriority w:val="99"/>
    <w:pPr>
      <w:widowControl/>
      <w:tabs>
        <w:tab w:val="left" w:pos="2160"/>
      </w:tabs>
      <w:spacing w:line="480" w:lineRule="auto"/>
      <w:jc w:val="left"/>
    </w:pPr>
    <w:rPr>
      <w:rFonts w:ascii="楷体_GB2312" w:eastAsia="黑体"/>
      <w:kern w:val="0"/>
      <w:position w:val="3"/>
      <w:sz w:val="20"/>
      <w:szCs w:val="20"/>
      <w:lang w:eastAsia="en-US"/>
    </w:rPr>
  </w:style>
  <w:style w:type="paragraph" w:styleId="5">
    <w:name w:val="footer"/>
    <w:basedOn w:val="1"/>
    <w:unhideWhenUsed/>
    <w:qFormat/>
    <w:uiPriority w:val="99"/>
    <w:pPr>
      <w:tabs>
        <w:tab w:val="center" w:pos="4153"/>
        <w:tab w:val="right" w:pos="8306"/>
      </w:tabs>
      <w:snapToGrid w:val="0"/>
      <w:jc w:val="left"/>
    </w:pPr>
    <w:rPr>
      <w:sz w:val="18"/>
      <w:szCs w:val="18"/>
      <w:lang w:val="zh-CN" w:eastAsia="zh-CN"/>
    </w:rPr>
  </w:style>
  <w:style w:type="paragraph" w:styleId="6">
    <w:name w:val="header"/>
    <w:basedOn w:val="1"/>
    <w:unhideWhenUsed/>
    <w:qFormat/>
    <w:uiPriority w:val="99"/>
    <w:pPr>
      <w:pBdr>
        <w:bottom w:val="single" w:color="auto" w:sz="6" w:space="1"/>
      </w:pBdr>
      <w:tabs>
        <w:tab w:val="center" w:pos="4153"/>
        <w:tab w:val="right" w:pos="8306"/>
      </w:tabs>
      <w:snapToGrid w:val="0"/>
      <w:jc w:val="center"/>
    </w:pPr>
    <w:rPr>
      <w:sz w:val="18"/>
      <w:szCs w:val="18"/>
      <w:lang w:val="zh-CN" w:eastAsia="zh-CN"/>
    </w:rPr>
  </w:style>
  <w:style w:type="paragraph" w:styleId="7">
    <w:name w:val="toc 1"/>
    <w:basedOn w:val="1"/>
    <w:next w:val="1"/>
    <w:qFormat/>
    <w:uiPriority w:val="0"/>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1">
    <w:name w:val="标题 5（有编号）（绿盟科技）"/>
    <w:next w:val="1"/>
    <w:qFormat/>
    <w:uiPriority w:val="99"/>
    <w:pPr>
      <w:keepNext/>
      <w:keepLines/>
      <w:widowControl w:val="0"/>
      <w:spacing w:before="280" w:after="156" w:line="377" w:lineRule="auto"/>
      <w:jc w:val="left"/>
      <w:outlineLvl w:val="4"/>
    </w:pPr>
    <w:rPr>
      <w:rFonts w:ascii="Arial" w:hAnsi="Arial" w:eastAsia="黑体" w:cs="Times New Roman"/>
      <w:b/>
      <w:kern w:val="2"/>
      <w:sz w:val="24"/>
      <w:szCs w:val="28"/>
      <w:lang w:val="en-US" w:eastAsia="zh-CN" w:bidi="ar-SA"/>
    </w:rPr>
  </w:style>
  <w:style w:type="paragraph" w:customStyle="1" w:styleId="12">
    <w:name w:val="四号正文"/>
    <w:basedOn w:val="1"/>
    <w:qFormat/>
    <w:uiPriority w:val="0"/>
    <w:pPr>
      <w:spacing w:line="360" w:lineRule="auto"/>
    </w:pPr>
    <w:rPr>
      <w:rFonts w:ascii="??" w:hAnsi="??" w:eastAsia="宋体"/>
      <w:color w:val="000000"/>
      <w:kern w:val="0"/>
      <w:sz w:val="28"/>
      <w:szCs w:val="21"/>
      <w:lang w:val="zh-CN" w:eastAsia="zh-CN"/>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Pages>
  <Words>5278</Words>
  <Characters>5546</Characters>
  <Lines>0</Lines>
  <Paragraphs>0</Paragraphs>
  <TotalTime>1</TotalTime>
  <ScaleCrop>false</ScaleCrop>
  <LinksUpToDate>false</LinksUpToDate>
  <CharactersWithSpaces>5675</CharactersWithSpaces>
  <Application>WPS Office_11.8.2.1120_F1E327BC-269C-435d-A152-05C5408002CA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2020-07-12T16:13:00Z</dcterms:created>
  <dc:creator>Administrator</dc:creator>
  <cp:lastModifiedBy>user</cp:lastModifiedBy>
  <cp:lastPrinted>2016-02-13T19:32:00Z</cp:lastPrinted>
  <dcterms:modified xsi:type="dcterms:W3CDTF">2024-11-25T15:03:09Z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2052-11.8.2.1120</vt:lpwstr>
  </property>
  <property fmtid="{D5CDD505-2E9C-101B-9397-08002B2CF9AE}" pid="3" name="ICV">
    <vt:lpwstr>6ACB36CF218A41E2A01CC9FC5BF9F8AF_13</vt:lpwstr>
  </property>
</Properties>
</file>