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黑水县退役军人事务局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关于“三公”经费201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eastAsia="仿宋_GB2312"/>
          <w:color w:val="000000"/>
          <w:sz w:val="32"/>
          <w:szCs w:val="32"/>
        </w:rPr>
        <w:t>本单位为新增单位，无上年数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eastAsia="仿宋_GB2312"/>
          <w:color w:val="000000"/>
          <w:sz w:val="32"/>
          <w:szCs w:val="32"/>
        </w:rPr>
        <w:t>本单位为新增单位，无上年数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eastAsia="仿宋_GB2312"/>
          <w:color w:val="000000"/>
          <w:sz w:val="32"/>
          <w:szCs w:val="32"/>
        </w:rPr>
        <w:t>本单位为新增单位，无上年数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黑水县退役军人事务局财政拨款“三公”经费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1D0B2F60"/>
    <w:rsid w:val="37E20C68"/>
    <w:rsid w:val="39AC19A4"/>
    <w:rsid w:val="67485305"/>
    <w:rsid w:val="6751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0</TotalTime>
  <ScaleCrop>false</ScaleCrop>
  <LinksUpToDate>false</LinksUpToDate>
  <CharactersWithSpaces>529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2020-08-25T03:47:39Z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