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80" w:lineRule="atLeast"/>
        <w:ind w:firstLine="60"/>
        <w:jc w:val="center"/>
        <w:rPr>
          <w:rFonts w:ascii="黑体" w:hAnsi="黑体" w:eastAsia="黑体" w:cs="宋体"/>
          <w:b/>
          <w:kern w:val="0"/>
          <w:sz w:val="40"/>
          <w:szCs w:val="36"/>
        </w:rPr>
      </w:pPr>
      <w:bookmarkStart w:id="0" w:name="_Toc15396616"/>
      <w:r>
        <w:rPr>
          <w:rFonts w:hint="eastAsia" w:ascii="黑体" w:hAnsi="黑体" w:eastAsia="黑体" w:cs="宋体"/>
          <w:b/>
          <w:kern w:val="0"/>
          <w:sz w:val="40"/>
          <w:szCs w:val="36"/>
          <w:lang w:eastAsia="zh-CN"/>
        </w:rPr>
        <w:t>黑水县退役军人事务局2019</w:t>
      </w:r>
      <w:r>
        <w:rPr>
          <w:rFonts w:hint="eastAsia" w:ascii="黑体" w:hAnsi="黑体" w:eastAsia="黑体" w:cs="宋体"/>
          <w:b/>
          <w:kern w:val="0"/>
          <w:sz w:val="40"/>
          <w:szCs w:val="36"/>
        </w:rPr>
        <w:t>年部门整体支出绩效评价报告</w:t>
      </w:r>
      <w:bookmarkEnd w:id="0"/>
    </w:p>
    <w:p>
      <w:pPr>
        <w:spacing w:line="580" w:lineRule="exact"/>
        <w:ind w:firstLine="643" w:firstLineChars="200"/>
        <w:rPr>
          <w:rFonts w:ascii="仿宋_GB2312" w:hAnsi="黑体" w:eastAsia="仿宋_GB2312" w:cs="黑体"/>
          <w:b/>
          <w:sz w:val="32"/>
          <w:szCs w:val="32"/>
        </w:rPr>
      </w:pPr>
    </w:p>
    <w:p>
      <w:pPr>
        <w:spacing w:line="580" w:lineRule="exact"/>
        <w:ind w:firstLine="640" w:firstLineChars="200"/>
        <w:rPr>
          <w:rFonts w:ascii="仿宋_GB2312" w:hAnsi="黑体" w:eastAsia="仿宋_GB2312" w:cs="黑体"/>
          <w:sz w:val="32"/>
          <w:szCs w:val="32"/>
        </w:rPr>
      </w:pPr>
      <w:r>
        <w:rPr>
          <w:rFonts w:hint="eastAsia" w:ascii="仿宋_GB2312" w:hAnsi="黑体" w:eastAsia="仿宋_GB2312" w:cs="黑体"/>
          <w:sz w:val="32"/>
          <w:szCs w:val="32"/>
        </w:rPr>
        <w:t>一、部门（单位）概况</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（一）机构组成。</w:t>
      </w:r>
    </w:p>
    <w:p>
      <w:pPr>
        <w:widowControl/>
        <w:ind w:firstLine="640" w:firstLineChars="200"/>
        <w:jc w:val="left"/>
        <w:rPr>
          <w:rFonts w:ascii="FangSong_GB2312" w:hAnsi="仿宋" w:eastAsia="FangSong_GB2312"/>
          <w:sz w:val="32"/>
          <w:szCs w:val="32"/>
        </w:rPr>
      </w:pPr>
      <w:r>
        <w:rPr>
          <w:rFonts w:hint="eastAsia" w:ascii="仿宋_GB2312" w:hAnsi="仿宋" w:eastAsia="仿宋_GB2312"/>
          <w:sz w:val="32"/>
          <w:szCs w:val="32"/>
        </w:rPr>
        <w:t>黑水县退役军人事务局下属二级单位2个，其中行政单位1个，其他事业单位1个</w:t>
      </w:r>
      <w:r>
        <w:rPr>
          <w:rFonts w:hint="eastAsia" w:ascii="FangSong_GB2312" w:hAnsi="仿宋" w:eastAsia="FangSong_GB2312"/>
          <w:sz w:val="32"/>
          <w:szCs w:val="32"/>
        </w:rPr>
        <w:t>。</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（二）机构职能。</w:t>
      </w:r>
    </w:p>
    <w:p>
      <w:pPr>
        <w:spacing w:line="570" w:lineRule="exact"/>
        <w:ind w:firstLine="640" w:firstLineChars="200"/>
        <w:rPr>
          <w:rFonts w:ascii="FangSong_GB2312" w:hAnsi="仿宋" w:eastAsia="FangSong_GB2312"/>
          <w:sz w:val="32"/>
          <w:szCs w:val="32"/>
        </w:rPr>
      </w:pPr>
      <w:r>
        <w:rPr>
          <w:rFonts w:hint="eastAsia" w:ascii="FangSong_GB2312" w:hAnsi="仿宋" w:eastAsia="FangSong_GB2312"/>
          <w:sz w:val="32"/>
          <w:szCs w:val="32"/>
        </w:rPr>
        <w:t>（一）贯彻执行有关退役军人思想政治、管理保障和安置优抚等自治法规、规章制度，组织实施退役军人工作政策，褒扬彰显退役军人为党、国家和人民牺牲奉献的精神风范和价值导向。</w:t>
      </w:r>
    </w:p>
    <w:p>
      <w:pPr>
        <w:spacing w:line="570" w:lineRule="exact"/>
        <w:ind w:firstLine="640" w:firstLineChars="200"/>
        <w:rPr>
          <w:rFonts w:ascii="FangSong_GB2312" w:hAnsi="仿宋" w:eastAsia="FangSong_GB2312"/>
          <w:sz w:val="32"/>
          <w:szCs w:val="32"/>
        </w:rPr>
      </w:pPr>
      <w:r>
        <w:rPr>
          <w:rFonts w:hint="eastAsia" w:ascii="FangSong_GB2312" w:hAnsi="仿宋" w:eastAsia="FangSong_GB2312"/>
          <w:sz w:val="32"/>
          <w:szCs w:val="32"/>
        </w:rPr>
        <w:t>（二）负责军队转业干部、复员干部、离休退休干部、退役士兵和无军籍退休退职职工的移交安置和自主择业、就业退役军人服务管理工作。</w:t>
      </w:r>
    </w:p>
    <w:p>
      <w:pPr>
        <w:spacing w:line="570" w:lineRule="exact"/>
        <w:ind w:firstLine="640" w:firstLineChars="200"/>
        <w:rPr>
          <w:rFonts w:ascii="FangSong_GB2312" w:hAnsi="仿宋" w:eastAsia="FangSong_GB2312"/>
          <w:sz w:val="32"/>
          <w:szCs w:val="32"/>
        </w:rPr>
      </w:pPr>
      <w:r>
        <w:rPr>
          <w:rFonts w:hint="eastAsia" w:ascii="FangSong_GB2312" w:hAnsi="仿宋" w:eastAsia="FangSong_GB2312"/>
          <w:sz w:val="32"/>
          <w:szCs w:val="32"/>
        </w:rPr>
        <w:t>（三）组织、指导退役军人教育培训工作，承担退役军人和随军随调家属就业创业扶持工作。</w:t>
      </w:r>
    </w:p>
    <w:p>
      <w:pPr>
        <w:spacing w:line="570" w:lineRule="exact"/>
        <w:ind w:firstLine="640" w:firstLineChars="200"/>
        <w:rPr>
          <w:rFonts w:ascii="FangSong_GB2312" w:hAnsi="仿宋" w:eastAsia="FangSong_GB2312"/>
          <w:sz w:val="32"/>
          <w:szCs w:val="32"/>
        </w:rPr>
      </w:pPr>
      <w:r>
        <w:rPr>
          <w:rFonts w:hint="eastAsia" w:ascii="FangSong_GB2312" w:hAnsi="仿宋" w:eastAsia="FangSong_GB2312"/>
          <w:sz w:val="32"/>
          <w:szCs w:val="32"/>
        </w:rPr>
        <w:t>（四）贯彻执行国家有关退役军人特殊保障政策。</w:t>
      </w:r>
    </w:p>
    <w:p>
      <w:pPr>
        <w:spacing w:line="570" w:lineRule="exact"/>
        <w:ind w:firstLine="640" w:firstLineChars="200"/>
        <w:rPr>
          <w:rFonts w:ascii="FangSong_GB2312" w:hAnsi="仿宋" w:eastAsia="FangSong_GB2312"/>
          <w:sz w:val="32"/>
          <w:szCs w:val="32"/>
        </w:rPr>
      </w:pPr>
      <w:r>
        <w:rPr>
          <w:rFonts w:hint="eastAsia" w:ascii="FangSong_GB2312" w:hAnsi="仿宋" w:eastAsia="FangSong_GB2312"/>
          <w:sz w:val="32"/>
          <w:szCs w:val="32"/>
        </w:rPr>
        <w:t>（五）组织、协调落实移交地方的离休退休军人、符合条件的其他退役军人和无军籍退休退职职工的住房保障工作，以及退役军人医疗保障、社会保险等待遇保障工作。</w:t>
      </w:r>
    </w:p>
    <w:p>
      <w:pPr>
        <w:spacing w:line="570" w:lineRule="exact"/>
        <w:ind w:firstLine="640" w:firstLineChars="200"/>
        <w:rPr>
          <w:rFonts w:ascii="FangSong_GB2312" w:hAnsi="仿宋" w:eastAsia="FangSong_GB2312"/>
          <w:sz w:val="32"/>
          <w:szCs w:val="32"/>
        </w:rPr>
      </w:pPr>
      <w:r>
        <w:rPr>
          <w:rFonts w:hint="eastAsia" w:ascii="FangSong_GB2312" w:hAnsi="仿宋" w:eastAsia="FangSong_GB2312"/>
          <w:sz w:val="32"/>
          <w:szCs w:val="32"/>
        </w:rPr>
        <w:t>（六）负责伤病残退役军人服务管理和抚恤工作，贯彻执行有关退役军人医疗、疗养、养老等机构的规划政策。承担不适宜继续服役的伤病残军人移交安置、退休安置、供养等工作。组织军供服务保障工作。</w:t>
      </w:r>
    </w:p>
    <w:p>
      <w:pPr>
        <w:spacing w:line="570" w:lineRule="exact"/>
        <w:ind w:firstLine="640" w:firstLineChars="200"/>
        <w:rPr>
          <w:rFonts w:ascii="FangSong_GB2312" w:hAnsi="仿宋" w:eastAsia="FangSong_GB2312"/>
          <w:color w:val="FF0000"/>
          <w:sz w:val="32"/>
          <w:szCs w:val="32"/>
          <w:u w:val="single"/>
        </w:rPr>
      </w:pPr>
      <w:r>
        <w:rPr>
          <w:rFonts w:hint="eastAsia" w:ascii="FangSong_GB2312" w:hAnsi="仿宋" w:eastAsia="FangSong_GB2312"/>
          <w:sz w:val="32"/>
          <w:szCs w:val="32"/>
        </w:rPr>
        <w:t>（七）组织、指导拥军优属工作，承担现役军人、退役军人、军队文职人员和军属的优待、抚恤等工作。贯彻执行国家有关国民党抗战老兵等有关人员优待政策。</w:t>
      </w:r>
    </w:p>
    <w:p>
      <w:pPr>
        <w:spacing w:line="570" w:lineRule="exact"/>
        <w:ind w:firstLine="640" w:firstLineChars="200"/>
        <w:rPr>
          <w:rFonts w:ascii="FangSong_GB2312" w:hAnsi="仿宋" w:eastAsia="FangSong_GB2312"/>
          <w:sz w:val="32"/>
          <w:szCs w:val="32"/>
        </w:rPr>
      </w:pPr>
      <w:r>
        <w:rPr>
          <w:rFonts w:hint="eastAsia" w:ascii="FangSong_GB2312" w:hAnsi="仿宋" w:eastAsia="FangSong_GB2312"/>
          <w:sz w:val="32"/>
          <w:szCs w:val="32"/>
        </w:rPr>
        <w:t>（八）负责烈士及退役军人荣誉奖励、军人公墓和烈士纪念设施的建设管理、纪念活动等工作，依法承担英雄烈士保护相关工作，审核拟列入县重点保护单位的烈士纪念建筑物名录，总结表彰和宣扬退役军人、退役军人工作单位和个人先进典型事迹。</w:t>
      </w:r>
    </w:p>
    <w:p>
      <w:pPr>
        <w:spacing w:line="570" w:lineRule="exact"/>
        <w:ind w:firstLine="640" w:firstLineChars="200"/>
        <w:rPr>
          <w:rFonts w:ascii="FangSong_GB2312" w:hAnsi="仿宋" w:eastAsia="FangSong_GB2312"/>
          <w:sz w:val="32"/>
          <w:szCs w:val="32"/>
        </w:rPr>
      </w:pPr>
      <w:r>
        <w:rPr>
          <w:rFonts w:hint="eastAsia" w:ascii="FangSong_GB2312" w:hAnsi="仿宋" w:eastAsia="FangSong_GB2312"/>
          <w:sz w:val="32"/>
          <w:szCs w:val="32"/>
        </w:rPr>
        <w:t>（九）指导并监督检查退役军人相关法律法规和政策措施的落实，组织开展退役军人权益维护和有关人员的帮扶援助工作。</w:t>
      </w:r>
    </w:p>
    <w:p>
      <w:pPr>
        <w:spacing w:line="570" w:lineRule="exact"/>
        <w:ind w:firstLine="640" w:firstLineChars="200"/>
        <w:rPr>
          <w:rFonts w:ascii="FangSong_GB2312" w:hAnsi="仿宋" w:eastAsia="FangSong_GB2312"/>
          <w:sz w:val="32"/>
          <w:szCs w:val="32"/>
        </w:rPr>
      </w:pPr>
      <w:r>
        <w:rPr>
          <w:rFonts w:hint="eastAsia" w:ascii="FangSong_GB2312" w:hAnsi="仿宋" w:eastAsia="FangSong_GB2312"/>
          <w:sz w:val="32"/>
          <w:szCs w:val="32"/>
        </w:rPr>
        <w:t>（十）推动建立退役军人事务分级负责和突发事件应急</w:t>
      </w:r>
      <w:r>
        <w:rPr>
          <w:rFonts w:hint="eastAsia" w:ascii="FangSong_GB2312" w:hAnsi="仿宋" w:eastAsia="FangSong_GB2312"/>
          <w:sz w:val="32"/>
          <w:szCs w:val="32"/>
        </w:rPr>
        <w:br w:type="textWrapping"/>
      </w:r>
      <w:r>
        <w:rPr>
          <w:rFonts w:hint="eastAsia" w:ascii="FangSong_GB2312" w:hAnsi="仿宋" w:eastAsia="FangSong_GB2312"/>
          <w:sz w:val="32"/>
          <w:szCs w:val="32"/>
        </w:rPr>
        <w:t>联动机制，组织、指导退役军人综合服务体系建设。配合指导退役军人党建工作。</w:t>
      </w:r>
    </w:p>
    <w:p>
      <w:pPr>
        <w:spacing w:line="570" w:lineRule="exact"/>
        <w:ind w:firstLine="640" w:firstLineChars="200"/>
        <w:rPr>
          <w:rFonts w:ascii="FangSong_GB2312" w:hAnsi="仿宋" w:eastAsia="FangSong_GB2312"/>
          <w:sz w:val="32"/>
          <w:szCs w:val="32"/>
        </w:rPr>
      </w:pPr>
      <w:r>
        <w:rPr>
          <w:rFonts w:hint="eastAsia" w:ascii="FangSong_GB2312" w:hAnsi="仿宋" w:eastAsia="FangSong_GB2312"/>
          <w:sz w:val="32"/>
          <w:szCs w:val="32"/>
        </w:rPr>
        <w:t>（十一）负责职责范围内的安全生产和职业健康、生态环境保护、审批服务便民化工作。</w:t>
      </w:r>
    </w:p>
    <w:p>
      <w:pPr>
        <w:spacing w:line="570" w:lineRule="exact"/>
        <w:ind w:firstLine="640" w:firstLineChars="200"/>
        <w:rPr>
          <w:rFonts w:ascii="FangSong_GB2312" w:hAnsi="仿宋" w:eastAsia="FangSong_GB2312"/>
          <w:sz w:val="32"/>
          <w:szCs w:val="32"/>
        </w:rPr>
      </w:pPr>
      <w:r>
        <w:rPr>
          <w:rFonts w:hint="eastAsia" w:ascii="FangSong_GB2312" w:hAnsi="仿宋" w:eastAsia="FangSong_GB2312"/>
          <w:sz w:val="32"/>
          <w:szCs w:val="32"/>
        </w:rPr>
        <w:t>（十二）完成县委、县政府和军方交办的其他任务。</w:t>
      </w:r>
    </w:p>
    <w:p>
      <w:pPr>
        <w:spacing w:line="580" w:lineRule="exact"/>
        <w:ind w:firstLine="640" w:firstLineChars="200"/>
        <w:rPr>
          <w:rFonts w:ascii="仿宋_GB2312" w:hAnsi="仿宋" w:eastAsia="仿宋_GB2312" w:cs="仿宋_GB2312"/>
          <w:sz w:val="32"/>
          <w:szCs w:val="32"/>
        </w:rPr>
      </w:pPr>
      <w:r>
        <w:rPr>
          <w:rFonts w:hint="eastAsia" w:ascii="FangSong_GB2312" w:hAnsi="仿宋" w:eastAsia="FangSong_GB2312"/>
          <w:sz w:val="32"/>
          <w:szCs w:val="32"/>
        </w:rPr>
        <w:t>（十三）职能转变。加强全县退役军人思想政治工作以及服务保障体系建设，建立健全集中统一、职责清晰的退役军人管理保障机制，协调各方力量更好为军人军属服务，维护军人军属合法权益，让军人成为全社会尊崇的职业，褒扬彰显退役军人为党、国家和人民牺牲奉献的精神风范和价值导向，更好地为增强部队战斗力和凝聚力做好组织保障。</w:t>
      </w:r>
      <w:r>
        <w:rPr>
          <w:rFonts w:hint="eastAsia" w:ascii="仿宋_GB2312" w:hAnsi="仿宋" w:eastAsia="仿宋_GB2312" w:cs="仿宋_GB2312"/>
          <w:sz w:val="32"/>
          <w:szCs w:val="32"/>
        </w:rPr>
        <w:t>（三）人员概况。</w:t>
      </w:r>
    </w:p>
    <w:p>
      <w:pPr>
        <w:snapToGrid w:val="0"/>
        <w:spacing w:line="52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人员情况：</w:t>
      </w:r>
      <w:r>
        <w:rPr>
          <w:rFonts w:hint="eastAsia" w:ascii="仿宋_GB2312" w:hAnsi="仿宋" w:eastAsia="仿宋_GB2312" w:cs="仿宋_GB2312"/>
          <w:sz w:val="32"/>
          <w:szCs w:val="32"/>
          <w:lang w:eastAsia="zh-CN"/>
        </w:rPr>
        <w:t>2019</w:t>
      </w:r>
      <w:r>
        <w:rPr>
          <w:rFonts w:hint="eastAsia" w:ascii="仿宋_GB2312" w:hAnsi="仿宋" w:eastAsia="仿宋_GB2312" w:cs="仿宋_GB2312"/>
          <w:sz w:val="32"/>
          <w:szCs w:val="32"/>
        </w:rPr>
        <w:t>年12月</w:t>
      </w:r>
      <w:r>
        <w:rPr>
          <w:rFonts w:hint="eastAsia" w:ascii="仿宋_GB2312" w:hAnsi="仿宋" w:eastAsia="仿宋_GB2312" w:cs="仿宋_GB2312"/>
          <w:sz w:val="32"/>
          <w:szCs w:val="32"/>
          <w:lang w:eastAsia="zh-CN"/>
        </w:rPr>
        <w:t>行政</w:t>
      </w:r>
      <w:r>
        <w:rPr>
          <w:rFonts w:hint="eastAsia" w:ascii="仿宋_GB2312" w:hAnsi="仿宋" w:eastAsia="仿宋_GB2312" w:cs="仿宋_GB2312"/>
          <w:sz w:val="32"/>
          <w:szCs w:val="32"/>
        </w:rPr>
        <w:t>在册人数</w:t>
      </w:r>
      <w:r>
        <w:rPr>
          <w:rFonts w:hint="eastAsia" w:ascii="仿宋_GB2312" w:hAnsi="仿宋" w:eastAsia="仿宋_GB2312" w:cs="仿宋_GB2312"/>
          <w:sz w:val="32"/>
          <w:szCs w:val="32"/>
          <w:lang w:val="en-US" w:eastAsia="zh-CN"/>
        </w:rPr>
        <w:t>7人，</w:t>
      </w:r>
      <w:r>
        <w:rPr>
          <w:rFonts w:hint="eastAsia" w:ascii="仿宋_GB2312" w:hAnsi="仿宋" w:eastAsia="仿宋_GB2312" w:cs="仿宋_GB2312"/>
          <w:sz w:val="32"/>
          <w:szCs w:val="32"/>
          <w:lang w:eastAsia="zh-CN"/>
        </w:rPr>
        <w:t>2019</w:t>
      </w:r>
      <w:r>
        <w:rPr>
          <w:rFonts w:hint="eastAsia" w:ascii="仿宋_GB2312" w:hAnsi="仿宋" w:eastAsia="仿宋_GB2312" w:cs="仿宋_GB2312"/>
          <w:sz w:val="32"/>
          <w:szCs w:val="32"/>
        </w:rPr>
        <w:t>年12月</w:t>
      </w:r>
      <w:r>
        <w:rPr>
          <w:rFonts w:hint="eastAsia" w:ascii="仿宋_GB2312" w:hAnsi="仿宋" w:eastAsia="仿宋_GB2312" w:cs="仿宋_GB2312"/>
          <w:sz w:val="32"/>
          <w:szCs w:val="32"/>
          <w:lang w:eastAsia="zh-CN"/>
        </w:rPr>
        <w:t>事业</w:t>
      </w:r>
      <w:r>
        <w:rPr>
          <w:rFonts w:hint="eastAsia" w:ascii="仿宋_GB2312" w:hAnsi="仿宋" w:eastAsia="仿宋_GB2312" w:cs="仿宋_GB2312"/>
          <w:sz w:val="32"/>
          <w:szCs w:val="32"/>
        </w:rPr>
        <w:t>在册人数</w:t>
      </w:r>
      <w:r>
        <w:rPr>
          <w:rFonts w:hint="eastAsia" w:ascii="仿宋_GB2312" w:hAnsi="仿宋" w:eastAsia="仿宋_GB2312" w:cs="仿宋_GB2312"/>
          <w:sz w:val="32"/>
          <w:szCs w:val="32"/>
          <w:lang w:val="en-US" w:eastAsia="zh-CN"/>
        </w:rPr>
        <w:t>4人。</w:t>
      </w:r>
    </w:p>
    <w:p>
      <w:pPr>
        <w:spacing w:line="580" w:lineRule="exact"/>
        <w:ind w:firstLine="640" w:firstLineChars="200"/>
        <w:rPr>
          <w:rFonts w:ascii="仿宋_GB2312" w:hAnsi="黑体" w:eastAsia="仿宋_GB2312" w:cs="黑体"/>
          <w:sz w:val="32"/>
          <w:szCs w:val="32"/>
        </w:rPr>
      </w:pPr>
      <w:r>
        <w:rPr>
          <w:rFonts w:hint="eastAsia" w:ascii="仿宋_GB2312" w:hAnsi="黑体" w:eastAsia="仿宋_GB2312" w:cs="黑体"/>
          <w:sz w:val="32"/>
          <w:szCs w:val="32"/>
        </w:rPr>
        <w:t>二、部门财政资金收支情况</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（一）部门财政资金收入情况。</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lang w:eastAsia="zh-CN"/>
        </w:rPr>
        <w:t>2019</w:t>
      </w:r>
      <w:r>
        <w:rPr>
          <w:rFonts w:hint="eastAsia" w:ascii="仿宋_GB2312" w:hAnsi="仿宋" w:eastAsia="仿宋_GB2312" w:cs="仿宋_GB2312"/>
          <w:sz w:val="32"/>
          <w:szCs w:val="32"/>
        </w:rPr>
        <w:t>年度部门财政资金总收入</w:t>
      </w:r>
      <w:r>
        <w:rPr>
          <w:rFonts w:hint="eastAsia" w:ascii="仿宋_GB2312" w:hAnsi="仿宋" w:eastAsia="仿宋_GB2312" w:cs="仿宋_GB2312"/>
          <w:sz w:val="32"/>
          <w:szCs w:val="32"/>
          <w:lang w:val="en-US" w:eastAsia="zh-CN"/>
        </w:rPr>
        <w:t>714.58</w:t>
      </w:r>
      <w:r>
        <w:rPr>
          <w:rFonts w:hint="eastAsia" w:ascii="仿宋_GB2312" w:hAnsi="仿宋" w:eastAsia="仿宋_GB2312" w:cs="仿宋_GB2312"/>
          <w:sz w:val="32"/>
          <w:szCs w:val="32"/>
        </w:rPr>
        <w:t>万元；其中当年财政拨款收入：</w:t>
      </w:r>
      <w:r>
        <w:rPr>
          <w:rFonts w:hint="eastAsia" w:ascii="仿宋_GB2312" w:hAnsi="仿宋" w:eastAsia="仿宋_GB2312" w:cs="仿宋_GB2312"/>
          <w:sz w:val="32"/>
          <w:szCs w:val="32"/>
          <w:lang w:val="en-US" w:eastAsia="zh-CN"/>
        </w:rPr>
        <w:t>582.8</w:t>
      </w:r>
      <w:r>
        <w:rPr>
          <w:rFonts w:hint="eastAsia" w:ascii="仿宋_GB2312" w:hAnsi="仿宋" w:eastAsia="仿宋_GB2312" w:cs="仿宋_GB2312"/>
          <w:sz w:val="32"/>
          <w:szCs w:val="32"/>
        </w:rPr>
        <w:t>万元，占总收入</w:t>
      </w:r>
      <w:r>
        <w:rPr>
          <w:rFonts w:hint="eastAsia" w:ascii="仿宋_GB2312" w:hAnsi="仿宋" w:eastAsia="仿宋_GB2312" w:cs="仿宋_GB2312"/>
          <w:sz w:val="32"/>
          <w:szCs w:val="32"/>
          <w:lang w:val="en-US" w:eastAsia="zh-CN"/>
        </w:rPr>
        <w:t>81.56</w:t>
      </w:r>
      <w:r>
        <w:rPr>
          <w:rFonts w:hint="eastAsia" w:ascii="仿宋_GB2312" w:hAnsi="仿宋" w:eastAsia="仿宋_GB2312" w:cs="仿宋_GB2312"/>
          <w:sz w:val="32"/>
          <w:szCs w:val="32"/>
        </w:rPr>
        <w:t>%，上年结转</w:t>
      </w:r>
      <w:r>
        <w:rPr>
          <w:rFonts w:hint="eastAsia" w:ascii="仿宋_GB2312" w:hAnsi="仿宋" w:eastAsia="仿宋_GB2312" w:cs="仿宋_GB2312"/>
          <w:sz w:val="32"/>
          <w:szCs w:val="32"/>
          <w:lang w:val="en-US" w:eastAsia="zh-CN"/>
        </w:rPr>
        <w:t>131.78</w:t>
      </w:r>
      <w:r>
        <w:rPr>
          <w:rFonts w:hint="eastAsia" w:ascii="仿宋_GB2312" w:hAnsi="仿宋" w:eastAsia="仿宋_GB2312" w:cs="仿宋_GB2312"/>
          <w:sz w:val="32"/>
          <w:szCs w:val="32"/>
        </w:rPr>
        <w:t>万元，占总收入</w:t>
      </w:r>
      <w:r>
        <w:rPr>
          <w:rFonts w:hint="eastAsia" w:ascii="仿宋_GB2312" w:hAnsi="仿宋" w:eastAsia="仿宋_GB2312" w:cs="仿宋_GB2312"/>
          <w:sz w:val="32"/>
          <w:szCs w:val="32"/>
          <w:lang w:val="en-US" w:eastAsia="zh-CN"/>
        </w:rPr>
        <w:t>18.44</w:t>
      </w:r>
      <w:r>
        <w:rPr>
          <w:rFonts w:hint="eastAsia" w:ascii="仿宋_GB2312" w:hAnsi="仿宋" w:eastAsia="仿宋_GB2312" w:cs="仿宋_GB2312"/>
          <w:sz w:val="32"/>
          <w:szCs w:val="32"/>
        </w:rPr>
        <w:t>%</w:t>
      </w:r>
      <w:r>
        <w:rPr>
          <w:rFonts w:hint="eastAsia" w:ascii="仿宋_GB2312" w:hAnsi="仿宋" w:eastAsia="仿宋_GB2312" w:cs="仿宋_GB2312"/>
          <w:sz w:val="32"/>
          <w:szCs w:val="32"/>
          <w:lang w:val="en-US" w:eastAsia="zh-CN"/>
        </w:rPr>
        <w:t>。</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（二）部门财政资金支出情况。</w:t>
      </w:r>
    </w:p>
    <w:p>
      <w:pPr>
        <w:tabs>
          <w:tab w:val="left" w:pos="2820"/>
        </w:tabs>
        <w:spacing w:line="580" w:lineRule="exact"/>
        <w:ind w:firstLine="640" w:firstLineChars="200"/>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eastAsia="zh-CN"/>
        </w:rPr>
        <w:t>2019</w:t>
      </w:r>
      <w:r>
        <w:rPr>
          <w:rFonts w:hint="eastAsia" w:ascii="仿宋_GB2312" w:hAnsi="仿宋" w:eastAsia="仿宋_GB2312" w:cs="仿宋_GB2312"/>
          <w:sz w:val="32"/>
          <w:szCs w:val="32"/>
        </w:rPr>
        <w:t>年度部门财政资金总支出</w:t>
      </w:r>
      <w:r>
        <w:rPr>
          <w:rFonts w:hint="eastAsia" w:ascii="仿宋_GB2312" w:hAnsi="仿宋" w:eastAsia="仿宋_GB2312"/>
          <w:sz w:val="30"/>
          <w:szCs w:val="30"/>
          <w:lang w:val="en-US" w:eastAsia="zh-CN"/>
        </w:rPr>
        <w:t>425.54</w:t>
      </w:r>
      <w:r>
        <w:rPr>
          <w:rFonts w:hint="eastAsia" w:ascii="仿宋_GB2312" w:hAnsi="仿宋" w:eastAsia="仿宋_GB2312" w:cs="仿宋_GB2312"/>
          <w:sz w:val="32"/>
          <w:szCs w:val="32"/>
        </w:rPr>
        <w:t>万元（其中基本支出</w:t>
      </w:r>
      <w:r>
        <w:rPr>
          <w:rFonts w:hint="eastAsia" w:ascii="仿宋_GB2312" w:hAnsi="仿宋" w:eastAsia="仿宋_GB2312"/>
          <w:sz w:val="30"/>
          <w:szCs w:val="30"/>
          <w:lang w:val="en-US" w:eastAsia="zh-CN"/>
        </w:rPr>
        <w:t>128.46</w:t>
      </w:r>
      <w:r>
        <w:rPr>
          <w:rFonts w:hint="eastAsia" w:ascii="仿宋_GB2312" w:hAnsi="仿宋" w:eastAsia="仿宋_GB2312" w:cs="仿宋_GB2312"/>
          <w:sz w:val="32"/>
          <w:szCs w:val="32"/>
        </w:rPr>
        <w:t>万元、项目支出</w:t>
      </w:r>
      <w:r>
        <w:rPr>
          <w:rFonts w:hint="eastAsia" w:ascii="仿宋_GB2312" w:hAnsi="仿宋" w:eastAsia="仿宋_GB2312" w:cs="仿宋_GB2312"/>
          <w:sz w:val="32"/>
          <w:szCs w:val="32"/>
          <w:lang w:val="en-US" w:eastAsia="zh-CN"/>
        </w:rPr>
        <w:t>297.09</w:t>
      </w:r>
      <w:r>
        <w:rPr>
          <w:rFonts w:hint="eastAsia" w:ascii="仿宋_GB2312" w:hAnsi="仿宋" w:eastAsia="仿宋_GB2312" w:cs="仿宋_GB2312"/>
          <w:sz w:val="32"/>
          <w:szCs w:val="32"/>
        </w:rPr>
        <w:t>万元）具体为工资福利支出</w:t>
      </w:r>
      <w:r>
        <w:rPr>
          <w:rFonts w:hint="eastAsia" w:ascii="仿宋_GB2312" w:hAnsi="仿宋" w:eastAsia="仿宋_GB2312" w:cs="仿宋_GB2312"/>
          <w:sz w:val="32"/>
          <w:szCs w:val="32"/>
          <w:lang w:val="en-US" w:eastAsia="zh-CN"/>
        </w:rPr>
        <w:t>87.53</w:t>
      </w:r>
      <w:r>
        <w:rPr>
          <w:rFonts w:hint="eastAsia" w:ascii="仿宋_GB2312" w:hAnsi="仿宋" w:eastAsia="仿宋_GB2312" w:cs="仿宋_GB2312"/>
          <w:sz w:val="32"/>
          <w:szCs w:val="32"/>
        </w:rPr>
        <w:t>万元，占总支出</w:t>
      </w:r>
      <w:r>
        <w:rPr>
          <w:rFonts w:hint="eastAsia" w:ascii="仿宋_GB2312" w:hAnsi="仿宋" w:eastAsia="仿宋_GB2312" w:cs="仿宋_GB2312"/>
          <w:sz w:val="32"/>
          <w:szCs w:val="32"/>
          <w:lang w:val="en-US" w:eastAsia="zh-CN"/>
        </w:rPr>
        <w:t>20.57</w:t>
      </w:r>
      <w:r>
        <w:rPr>
          <w:rFonts w:hint="eastAsia" w:ascii="仿宋_GB2312" w:hAnsi="仿宋" w:eastAsia="仿宋_GB2312" w:cs="仿宋_GB2312"/>
          <w:sz w:val="32"/>
          <w:szCs w:val="32"/>
        </w:rPr>
        <w:t>%，商品服务支出</w:t>
      </w:r>
      <w:r>
        <w:rPr>
          <w:rFonts w:hint="eastAsia" w:ascii="仿宋_GB2312" w:hAnsi="仿宋" w:eastAsia="仿宋_GB2312" w:cs="仿宋_GB2312"/>
          <w:sz w:val="32"/>
          <w:szCs w:val="32"/>
          <w:lang w:val="en-US" w:eastAsia="zh-CN"/>
        </w:rPr>
        <w:t>40.92</w:t>
      </w:r>
      <w:r>
        <w:rPr>
          <w:rFonts w:hint="eastAsia" w:ascii="仿宋_GB2312" w:hAnsi="仿宋" w:eastAsia="仿宋_GB2312" w:cs="仿宋_GB2312"/>
          <w:sz w:val="32"/>
          <w:szCs w:val="32"/>
        </w:rPr>
        <w:t>万元，占总支出</w:t>
      </w:r>
      <w:r>
        <w:rPr>
          <w:rFonts w:hint="eastAsia" w:ascii="仿宋_GB2312" w:hAnsi="仿宋" w:eastAsia="仿宋_GB2312" w:cs="仿宋_GB2312"/>
          <w:sz w:val="32"/>
          <w:szCs w:val="32"/>
          <w:lang w:val="en-US" w:eastAsia="zh-CN"/>
        </w:rPr>
        <w:t>9.62</w:t>
      </w:r>
      <w:r>
        <w:rPr>
          <w:rFonts w:hint="eastAsia" w:ascii="仿宋_GB2312" w:hAnsi="仿宋" w:eastAsia="仿宋_GB2312" w:cs="仿宋_GB2312"/>
          <w:sz w:val="32"/>
          <w:szCs w:val="32"/>
        </w:rPr>
        <w:t>%，对个人家庭补助支出</w:t>
      </w:r>
      <w:r>
        <w:rPr>
          <w:rFonts w:hint="eastAsia" w:ascii="仿宋_GB2312" w:hAnsi="仿宋" w:eastAsia="仿宋_GB2312" w:cs="仿宋_GB2312"/>
          <w:sz w:val="32"/>
          <w:szCs w:val="32"/>
          <w:lang w:val="en-US" w:eastAsia="zh-CN"/>
        </w:rPr>
        <w:t>297.10</w:t>
      </w:r>
      <w:r>
        <w:rPr>
          <w:rFonts w:hint="eastAsia" w:ascii="仿宋_GB2312" w:hAnsi="仿宋" w:eastAsia="仿宋_GB2312" w:cs="仿宋_GB2312"/>
          <w:sz w:val="32"/>
          <w:szCs w:val="32"/>
        </w:rPr>
        <w:t>万元，占总支出</w:t>
      </w:r>
      <w:r>
        <w:rPr>
          <w:rFonts w:hint="eastAsia" w:ascii="仿宋_GB2312" w:hAnsi="仿宋" w:eastAsia="仿宋_GB2312" w:cs="仿宋_GB2312"/>
          <w:sz w:val="32"/>
          <w:szCs w:val="32"/>
          <w:lang w:val="en-US" w:eastAsia="zh-CN"/>
        </w:rPr>
        <w:t>69.81</w:t>
      </w:r>
      <w:r>
        <w:rPr>
          <w:rFonts w:hint="eastAsia" w:ascii="仿宋_GB2312" w:hAnsi="仿宋" w:eastAsia="仿宋_GB2312" w:cs="仿宋_GB2312"/>
          <w:sz w:val="32"/>
          <w:szCs w:val="32"/>
        </w:rPr>
        <w:t>%</w:t>
      </w:r>
      <w:r>
        <w:rPr>
          <w:rFonts w:hint="eastAsia" w:ascii="仿宋_GB2312" w:hAnsi="仿宋" w:eastAsia="仿宋_GB2312" w:cs="仿宋_GB2312"/>
          <w:sz w:val="32"/>
          <w:szCs w:val="32"/>
          <w:lang w:val="en-US" w:eastAsia="zh-CN"/>
        </w:rPr>
        <w:t>。</w:t>
      </w:r>
      <w:bookmarkStart w:id="1" w:name="_GoBack"/>
      <w:bookmarkEnd w:id="1"/>
    </w:p>
    <w:p>
      <w:pPr>
        <w:spacing w:line="580" w:lineRule="exact"/>
        <w:ind w:firstLine="640" w:firstLineChars="200"/>
        <w:rPr>
          <w:rFonts w:ascii="仿宋_GB2312" w:hAnsi="黑体" w:eastAsia="仿宋_GB2312" w:cs="黑体"/>
          <w:sz w:val="32"/>
          <w:szCs w:val="32"/>
        </w:rPr>
      </w:pPr>
      <w:r>
        <w:rPr>
          <w:rFonts w:hint="eastAsia" w:ascii="仿宋_GB2312" w:hAnsi="黑体" w:eastAsia="仿宋_GB2312" w:cs="黑体"/>
          <w:sz w:val="32"/>
          <w:szCs w:val="32"/>
        </w:rPr>
        <w:t>三、部门整体预算绩效管理情况</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（一）部门预算管理。</w:t>
      </w:r>
    </w:p>
    <w:p>
      <w:pPr>
        <w:spacing w:line="580" w:lineRule="exact"/>
        <w:ind w:firstLine="600" w:firstLineChars="200"/>
        <w:rPr>
          <w:rFonts w:ascii="仿宋_GB2312" w:hAnsi="仿宋" w:eastAsia="仿宋_GB2312" w:cs="仿宋_GB2312"/>
          <w:color w:val="FF0000"/>
          <w:sz w:val="32"/>
          <w:szCs w:val="32"/>
        </w:rPr>
      </w:pPr>
      <w:r>
        <w:rPr>
          <w:rFonts w:hint="eastAsia" w:ascii="仿宋" w:hAnsi="仿宋" w:eastAsia="仿宋" w:cs="仿宋"/>
          <w:sz w:val="30"/>
          <w:szCs w:val="30"/>
        </w:rPr>
        <w:t>严格按照州、县预算编制要求，按时完成了基础信息、项目库的报送工作，完成基础信息的更新，按时完成预算编制并提交部门预算草案。预算编制中，特别注意对预算编制准确性的把握，并严格按照要求进行预算执行调整。按时完成待批复提前细化。部门预算在财政部门批复后及时填报预算公示报表报财政审核在政府信息公开网上公示</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（二）专项预算管理。</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资产管理做到正确核算，加强固定资产购置、使用及保管。账务及各类报表公开、准确如实反映，做到信息及时公开等。各项规章制度健全，制度执行严格合规。会计核算符合相关财务管理规定。资金管理方面，各项资金均实行专款专用，严格依法依规执行资金支付依据和开支标准,严格执行政府采购制度。</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我单位预算内经费和专项基金实行“收支两条线”管理，设立了专门的出纳和会计人员，在报账处理上严格按照财经纪律制度等要求实施报账制，专项基金单独建账、专户储存、专户管理、单独核算。预算内经费和专项基金我单位按照有关法律法规和财务制度严格执行，经费组织决算及报表的审核、报送与财政部门逐一核对，确保经费预决算的严肃性、准确性。</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通过县巡查组巡查组，本单位无违规记录</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（三）结果应用情况。</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本年本单位在执行公务过程中严格执行“厉行节约、反对浪费”的规定，严格控制“三公”经费支出，加强公务用车管理，努力降低燃修费用。</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部门预算决算在财政部门批复后及时填报预算公开资料、决算公开资料报表报财政审核后在政府信息公开网上公示。</w:t>
      </w:r>
    </w:p>
    <w:p>
      <w:pPr>
        <w:spacing w:line="580" w:lineRule="exact"/>
        <w:ind w:firstLine="640" w:firstLineChars="200"/>
        <w:rPr>
          <w:rFonts w:ascii="仿宋_GB2312" w:hAnsi="黑体" w:eastAsia="仿宋_GB2312" w:cs="黑体"/>
          <w:sz w:val="32"/>
          <w:szCs w:val="32"/>
        </w:rPr>
      </w:pPr>
      <w:r>
        <w:rPr>
          <w:rFonts w:hint="eastAsia" w:ascii="仿宋_GB2312" w:hAnsi="黑体" w:eastAsia="仿宋_GB2312" w:cs="黑体"/>
          <w:sz w:val="32"/>
          <w:szCs w:val="32"/>
        </w:rPr>
        <w:t>四、评价结论及建议</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（一）评价结论。</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从自评情况来看，我所部门支出绩效水平较高，整体上完成了年初设定的绩效目标，保障了我所工作的正常运转，促进了我所的事业发展，充分发挥了财政资金的经济效益和社会效益。</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（二）存在问题。</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从绩效评价看，部门支出预算和绩效评价工作还存在部分项目无法用量化指标来进行考评的问题。</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（三）改进建议。</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建议加强对绩效评价工作的培训和指导，进一步优化项目绩效考核指标体系，做到合理性与可操作性的有机统一。</w:t>
      </w:r>
    </w:p>
    <w:p>
      <w:pPr>
        <w:spacing w:line="580" w:lineRule="exact"/>
        <w:ind w:firstLine="640" w:firstLineChars="200"/>
        <w:rPr>
          <w:rFonts w:ascii="仿宋_GB2312" w:hAnsi="仿宋_GB2312" w:eastAsia="仿宋_GB2312" w:cs="仿宋_GB2312"/>
          <w:sz w:val="32"/>
          <w:szCs w:val="32"/>
        </w:rPr>
      </w:pPr>
    </w:p>
    <w:p>
      <w:pPr>
        <w:widowControl/>
        <w:jc w:val="left"/>
        <w:rPr>
          <w:rFonts w:ascii="仿宋_GB2312" w:hAnsi="仿宋_GB2312" w:eastAsia="仿宋_GB2312" w:cs="仿宋_GB2312"/>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FangSong_GB2312">
    <w:altName w:val="仿宋_GB2312"/>
    <w:panose1 w:val="02010609060101010101"/>
    <w:charset w:val="00"/>
    <w:family w:val="auto"/>
    <w:pitch w:val="default"/>
    <w:sig w:usb0="00000000" w:usb1="0000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91B22"/>
    <w:rsid w:val="00291808"/>
    <w:rsid w:val="00491B22"/>
    <w:rsid w:val="0052390C"/>
    <w:rsid w:val="2FCE0F42"/>
    <w:rsid w:val="36435EC2"/>
    <w:rsid w:val="3B6958A3"/>
    <w:rsid w:val="43844B03"/>
    <w:rsid w:val="4A805C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2</Pages>
  <Words>53</Words>
  <Characters>307</Characters>
  <Lines>2</Lines>
  <Paragraphs>1</Paragraphs>
  <TotalTime>1</TotalTime>
  <ScaleCrop>false</ScaleCrop>
  <LinksUpToDate>false</LinksUpToDate>
  <CharactersWithSpaces>359</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2019-08-19T01:06:00Z</dcterms:created>
  <dc:creator>Sky123.Org</dc:creator>
  <cp:lastModifiedBy>Administrator</cp:lastModifiedBy>
  <dcterms:modified xsi:type="dcterms:W3CDTF">2020-08-24T09:28:04Z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