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黑水革命烈士陵园陈列馆室内装修项目</w:t>
      </w:r>
    </w:p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水革命烈士陵园陈列馆室内装修项目，是我县革命烈士陵园作为褒扬烈士祭奠英烈传承革命英雄主义精神，弘扬爱国主义教育基地，使烈士纪念设施形成庄严、肃穆、优美的环境和气氛，为社会提供良好的瞻仰和教育场所。一是讴歌党的光辉历程、振奋和弘扬中华民族精神的需要；二是充分保护和合理利用历史文物资源的需要；三是在多民族地区建设爱国主义教育基地的需要；四是黑水革命烈士陈列馆室内装修项目建设是凝聚民心，推动黑水县经济跨越式发展的需要；五是黑水县烈士陈列馆展陈项目建设是推动黑水县三个文明建设，构建和谐社会的需要；六是城市景观功能与烈士陵园的纪念意义相结合的需要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黑体" w:hAnsi="黑体" w:eastAsia="仿宋_GB2312" w:cs="黑体"/>
          <w:b w:val="0"/>
          <w:bCs w:val="0"/>
          <w:kern w:val="2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2023年黑水县烈士陵园陈列馆室内装修项目9月8日开工，11月8日完工，工期2个月，顺利完成项目实施及工程验收合格，总体态势良好。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ascii="楷体_GB2312" w:hAnsi="宋体" w:eastAsia="楷体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传承革命英雄主义精神，弘扬爱国主义教育基地，使烈士纪念设施形成庄严、肃穆、优美的环境和气氛，为社会提供良好的瞻仰和教育场所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pStyle w:val="2"/>
        <w:numPr>
          <w:ilvl w:val="0"/>
          <w:numId w:val="0"/>
        </w:num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val="zh-CN"/>
        </w:rPr>
        <w:t>黑水革命烈士陵园陈列馆室内装修项目预算安排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val="en-US" w:eastAsia="zh-CN"/>
        </w:rPr>
        <w:t>88.2万元，项目支付88.2万元。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pStyle w:val="2"/>
        <w:numPr>
          <w:ilvl w:val="0"/>
          <w:numId w:val="0"/>
        </w:numPr>
        <w:ind w:leftChars="200"/>
        <w:rPr>
          <w:rFonts w:hint="default" w:ascii="仿宋_GB2312" w:hAnsi="仿宋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项目目标完成情况（数量、质量、时效、成本），项目效益情况（经济效益、</w:t>
      </w:r>
      <w:bookmarkStart w:id="0" w:name="_GoBack"/>
      <w:bookmarkEnd w:id="0"/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社会效益、生态效益、可持续效益、公平性、资金使用效率、受益群体满意度等）。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val="zh-CN" w:eastAsia="zh-CN"/>
        </w:rPr>
        <w:t>项目招标控制价为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val="en-US" w:eastAsia="zh-CN"/>
        </w:rPr>
        <w:t>82.9959万元，审定招标控制价为78.13万元，按照基本建设程序执行。</w:t>
      </w:r>
    </w:p>
    <w:tbl>
      <w:tblPr>
        <w:tblStyle w:val="8"/>
        <w:tblW w:w="9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917"/>
        <w:gridCol w:w="1250"/>
        <w:gridCol w:w="1312"/>
        <w:gridCol w:w="1127"/>
        <w:gridCol w:w="971"/>
        <w:gridCol w:w="1061"/>
        <w:gridCol w:w="938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 目标</w:t>
            </w:r>
          </w:p>
        </w:tc>
        <w:tc>
          <w:tcPr>
            <w:tcW w:w="9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2023年农村最低生活保障对象发放最低生活保障补助资金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 指标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sz w:val="32"/>
                <w:szCs w:val="32"/>
                <w:lang w:val="zh-CN"/>
              </w:rPr>
              <w:t>黑水革命烈士陵园陈列馆室内装修项目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年度内按时完成室内装修项目工程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日前完成维修率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按合同执行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弘扬爱国主义精神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优良差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优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社会反响较好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广大群众满意度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95%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18F59"/>
    <w:multiLevelType w:val="singleLevel"/>
    <w:tmpl w:val="43718F5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2EC"/>
    <w:rsid w:val="004C22EC"/>
    <w:rsid w:val="007B38C6"/>
    <w:rsid w:val="100566B3"/>
    <w:rsid w:val="136A047F"/>
    <w:rsid w:val="1B4A3EC4"/>
    <w:rsid w:val="244E01D1"/>
    <w:rsid w:val="33DA011B"/>
    <w:rsid w:val="358B1B11"/>
    <w:rsid w:val="423607D0"/>
    <w:rsid w:val="4A0B0DD8"/>
    <w:rsid w:val="55704B34"/>
    <w:rsid w:val="57B166CC"/>
    <w:rsid w:val="5DBC40E7"/>
    <w:rsid w:val="6BBF060A"/>
    <w:rsid w:val="77991202"/>
    <w:rsid w:val="78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styleId="4">
    <w:name w:val="Body Text"/>
    <w:basedOn w:val="1"/>
    <w:qFormat/>
    <w:uiPriority w:val="99"/>
    <w:pPr>
      <w:widowControl/>
      <w:tabs>
        <w:tab w:val="left" w:pos="2160"/>
      </w:tabs>
      <w:spacing w:line="480" w:lineRule="auto"/>
      <w:jc w:val="left"/>
    </w:pPr>
    <w:rPr>
      <w:rFonts w:ascii="楷体_GB2312" w:eastAsia="黑体"/>
      <w:kern w:val="0"/>
      <w:position w:val="3"/>
      <w:sz w:val="20"/>
      <w:szCs w:val="20"/>
      <w:lang w:eastAsia="en-US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user</cp:lastModifiedBy>
  <dcterms:modified xsi:type="dcterms:W3CDTF">2025-04-17T17:20:15Z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17E20937DE64E8EECFC700688F941B30</vt:lpwstr>
  </property>
</Properties>
</file>