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nts/font1.odttf" ContentType="application/vnd.openxmlformats-officedocument.obfuscatedFont"/>
  <Override PartName="/word/fonts/font2.odttf" ContentType="application/vnd.openxmlformats-officedocument.obfuscatedFont"/>
  <Override PartName="/word/fonts/font3.odttf" ContentType="application/vnd.openxmlformats-officedocument.obfuscatedFont"/>
  <Override PartName="/word/fonts/font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11C1A0A5">
      <w:pPr>
        <w:snapToGrid w:val="0"/>
        <w:jc w:val="center"/>
        <w:rPr>
          <w:rFonts w:hint="eastAsia" w:ascii="方正小标宋_GBK" w:hAnsi="方正小标宋_GBK" w:eastAsia="方正小标宋_GBK" w:cs="方正小标宋_GBK"/>
          <w:b w:val="0"/>
          <w:bCs/>
          <w:sz w:val="44"/>
          <w:szCs w:val="44"/>
          <w:lang w:val="en-US" w:eastAsia="zh-CN"/>
        </w:rPr>
      </w:pPr>
      <w:r>
        <w:rPr>
          <w:rFonts w:hint="eastAsia" w:ascii="方正小标宋_GBK" w:hAnsi="方正小标宋_GBK" w:eastAsia="方正小标宋_GBK" w:cs="方正小标宋_GBK"/>
          <w:b w:val="0"/>
          <w:bCs/>
          <w:sz w:val="44"/>
          <w:szCs w:val="44"/>
        </w:rPr>
        <w:t>黑水县</w:t>
      </w:r>
      <w:r>
        <w:rPr>
          <w:rFonts w:hint="eastAsia" w:ascii="方正小标宋_GBK" w:hAnsi="方正小标宋_GBK" w:eastAsia="方正小标宋_GBK" w:cs="方正小标宋_GBK"/>
          <w:b w:val="0"/>
          <w:bCs/>
          <w:sz w:val="44"/>
          <w:szCs w:val="44"/>
          <w:lang w:eastAsia="zh-CN"/>
        </w:rPr>
        <w:t>芦花</w:t>
      </w:r>
      <w:r>
        <w:rPr>
          <w:rFonts w:hint="eastAsia" w:ascii="方正小标宋_GBK" w:hAnsi="方正小标宋_GBK" w:eastAsia="方正小标宋_GBK" w:cs="方正小标宋_GBK"/>
          <w:b w:val="0"/>
          <w:bCs/>
          <w:sz w:val="44"/>
          <w:szCs w:val="44"/>
          <w:lang w:val="en-US" w:eastAsia="zh-CN"/>
        </w:rPr>
        <w:t>镇</w:t>
      </w:r>
      <w:r>
        <w:rPr>
          <w:rFonts w:hint="eastAsia" w:ascii="方正小标宋_GBK" w:hAnsi="方正小标宋_GBK" w:eastAsia="方正小标宋_GBK" w:cs="方正小标宋_GBK"/>
          <w:b w:val="0"/>
          <w:bCs/>
          <w:sz w:val="44"/>
          <w:szCs w:val="44"/>
        </w:rPr>
        <w:t>人民政府</w:t>
      </w:r>
      <w:r>
        <w:rPr>
          <w:rFonts w:hint="eastAsia" w:ascii="方正小标宋_GBK" w:hAnsi="方正小标宋_GBK" w:eastAsia="方正小标宋_GBK" w:cs="方正小标宋_GBK"/>
          <w:b w:val="0"/>
          <w:bCs/>
          <w:sz w:val="44"/>
          <w:szCs w:val="44"/>
          <w:lang w:val="en-US" w:eastAsia="zh-CN"/>
        </w:rPr>
        <w:t>关于2024年</w:t>
      </w:r>
    </w:p>
    <w:p w14:paraId="6A388526">
      <w:pPr>
        <w:snapToGrid w:val="0"/>
        <w:jc w:val="center"/>
        <w:rPr>
          <w:rFonts w:hint="default" w:ascii="方正小标宋_GBK" w:hAnsi="方正小标宋_GBK" w:eastAsia="方正小标宋_GBK" w:cs="方正小标宋_GBK"/>
          <w:b w:val="0"/>
          <w:bCs/>
          <w:sz w:val="44"/>
          <w:szCs w:val="44"/>
        </w:rPr>
      </w:pPr>
      <w:r>
        <w:rPr>
          <w:rFonts w:hint="eastAsia" w:ascii="方正小标宋_GBK" w:hAnsi="方正小标宋_GBK" w:eastAsia="方正小标宋_GBK" w:cs="方正小标宋_GBK"/>
          <w:b w:val="0"/>
          <w:bCs/>
          <w:sz w:val="44"/>
          <w:szCs w:val="44"/>
          <w:lang w:val="en-US" w:eastAsia="zh-CN"/>
        </w:rPr>
        <w:t>行政</w:t>
      </w:r>
      <w:r>
        <w:rPr>
          <w:rFonts w:hint="eastAsia" w:ascii="方正小标宋_GBK" w:hAnsi="方正小标宋_GBK" w:eastAsia="方正小标宋_GBK" w:cs="方正小标宋_GBK"/>
          <w:b w:val="0"/>
          <w:bCs/>
          <w:sz w:val="44"/>
          <w:szCs w:val="44"/>
        </w:rPr>
        <w:t>部门</w:t>
      </w:r>
      <w:r>
        <w:rPr>
          <w:rFonts w:hint="eastAsia" w:ascii="方正小标宋_GBK" w:hAnsi="方正小标宋_GBK" w:eastAsia="方正小标宋_GBK" w:cs="方正小标宋_GBK"/>
          <w:b w:val="0"/>
          <w:bCs/>
          <w:sz w:val="44"/>
          <w:szCs w:val="44"/>
          <w:lang w:val="en-US" w:eastAsia="zh-CN"/>
        </w:rPr>
        <w:t>整体</w:t>
      </w:r>
      <w:r>
        <w:rPr>
          <w:rFonts w:hint="eastAsia" w:ascii="方正小标宋_GBK" w:hAnsi="方正小标宋_GBK" w:eastAsia="方正小标宋_GBK" w:cs="方正小标宋_GBK"/>
          <w:b w:val="0"/>
          <w:bCs/>
          <w:sz w:val="44"/>
          <w:szCs w:val="44"/>
          <w:lang w:eastAsia="zh-CN"/>
        </w:rPr>
        <w:t>预算</w:t>
      </w:r>
      <w:r>
        <w:rPr>
          <w:rFonts w:hint="eastAsia" w:ascii="方正小标宋_GBK" w:hAnsi="方正小标宋_GBK" w:eastAsia="方正小标宋_GBK" w:cs="方正小标宋_GBK"/>
          <w:b w:val="0"/>
          <w:bCs/>
          <w:sz w:val="44"/>
          <w:szCs w:val="44"/>
        </w:rPr>
        <w:t>绩效</w:t>
      </w:r>
      <w:r>
        <w:rPr>
          <w:rFonts w:hint="eastAsia" w:ascii="方正小标宋_GBK" w:hAnsi="方正小标宋_GBK" w:eastAsia="方正小标宋_GBK" w:cs="方正小标宋_GBK"/>
          <w:b w:val="0"/>
          <w:bCs/>
          <w:sz w:val="44"/>
          <w:szCs w:val="44"/>
          <w:lang w:eastAsia="zh-CN"/>
        </w:rPr>
        <w:t>评价</w:t>
      </w:r>
      <w:r>
        <w:rPr>
          <w:rFonts w:hint="eastAsia" w:ascii="方正小标宋_GBK" w:hAnsi="方正小标宋_GBK" w:eastAsia="方正小标宋_GBK" w:cs="方正小标宋_GBK"/>
          <w:b w:val="0"/>
          <w:bCs/>
          <w:sz w:val="44"/>
          <w:szCs w:val="44"/>
          <w:lang w:val="en-US" w:eastAsia="zh-CN"/>
        </w:rPr>
        <w:t>的</w:t>
      </w:r>
      <w:r>
        <w:rPr>
          <w:rFonts w:hint="eastAsia" w:ascii="方正小标宋_GBK" w:hAnsi="方正小标宋_GBK" w:eastAsia="方正小标宋_GBK" w:cs="方正小标宋_GBK"/>
          <w:b w:val="0"/>
          <w:bCs/>
          <w:sz w:val="44"/>
          <w:szCs w:val="44"/>
        </w:rPr>
        <w:t>报告</w:t>
      </w:r>
    </w:p>
    <w:p w14:paraId="7CCCFAF9">
      <w:pPr>
        <w:keepNext w:val="0"/>
        <w:keepLines w:val="0"/>
        <w:pageBreakBefore w:val="0"/>
        <w:widowControl/>
        <w:kinsoku/>
        <w:wordWrap/>
        <w:overflowPunct/>
        <w:topLinePunct w:val="0"/>
        <w:autoSpaceDE/>
        <w:autoSpaceDN/>
        <w:bidi w:val="0"/>
        <w:adjustRightInd w:val="0"/>
        <w:snapToGrid w:val="0"/>
        <w:spacing w:line="578" w:lineRule="exact"/>
        <w:ind w:firstLine="480" w:firstLineChars="200"/>
        <w:contextualSpacing/>
        <w:jc w:val="left"/>
        <w:textAlignment w:val="auto"/>
        <w:outlineLvl w:val="9"/>
        <w:rPr>
          <w:rFonts w:hint="default" w:ascii="Times New Roman" w:hAnsi="Times New Roman" w:eastAsia="黑体" w:cs="Times New Roman"/>
          <w:color w:val="000000"/>
          <w:kern w:val="0"/>
          <w:sz w:val="24"/>
          <w:szCs w:val="32"/>
          <w:highlight w:val="none"/>
          <w:shd w:val="clear" w:color="auto" w:fill="FFFFFF"/>
        </w:rPr>
      </w:pPr>
    </w:p>
    <w:p w14:paraId="5F5B7A61">
      <w:pPr>
        <w:keepNext w:val="0"/>
        <w:keepLines w:val="0"/>
        <w:pageBreakBefore w:val="0"/>
        <w:widowControl/>
        <w:numPr>
          <w:ilvl w:val="0"/>
          <w:numId w:val="0"/>
        </w:numPr>
        <w:kinsoku/>
        <w:wordWrap/>
        <w:overflowPunct/>
        <w:topLinePunct w:val="0"/>
        <w:autoSpaceDE/>
        <w:autoSpaceDN/>
        <w:bidi w:val="0"/>
        <w:adjustRightInd w:val="0"/>
        <w:snapToGrid w:val="0"/>
        <w:spacing w:line="560" w:lineRule="exact"/>
        <w:ind w:firstLine="640" w:firstLineChars="200"/>
        <w:contextualSpacing/>
        <w:jc w:val="both"/>
        <w:textAlignment w:val="auto"/>
        <w:outlineLvl w:val="9"/>
        <w:rPr>
          <w:rFonts w:hint="eastAsia" w:eastAsia="黑体" w:cs="Times New Roman"/>
          <w:color w:val="000000"/>
          <w:kern w:val="0"/>
          <w:szCs w:val="32"/>
          <w:highlight w:val="none"/>
          <w:shd w:val="clear" w:color="auto" w:fill="FFFFFF"/>
          <w:lang w:val="zh-CN"/>
        </w:rPr>
      </w:pPr>
      <w:r>
        <w:rPr>
          <w:rFonts w:hint="eastAsia" w:ascii="仿宋_GB2312" w:hAnsi="仿宋_GB2312" w:eastAsia="仿宋_GB2312" w:cs="仿宋_GB2312"/>
          <w:sz w:val="32"/>
          <w:lang w:eastAsia="zh-CN"/>
        </w:rPr>
        <w:t>为进一步加强我镇预算绩效管理，着力提升财政资源配置效率和使用率，根据《黑水县财政局关于开展</w:t>
      </w:r>
      <w:r>
        <w:rPr>
          <w:rFonts w:hint="eastAsia" w:ascii="仿宋_GB2312" w:hAnsi="仿宋_GB2312" w:eastAsia="仿宋_GB2312" w:cs="仿宋_GB2312"/>
          <w:sz w:val="32"/>
          <w:lang w:val="en-US" w:eastAsia="zh-CN"/>
        </w:rPr>
        <w:t>2025年县级部门绩效自评工作的通知</w:t>
      </w:r>
      <w:r>
        <w:rPr>
          <w:rFonts w:hint="eastAsia" w:ascii="仿宋_GB2312" w:hAnsi="仿宋_GB2312" w:eastAsia="仿宋_GB2312" w:cs="仿宋_GB2312"/>
          <w:sz w:val="32"/>
          <w:lang w:eastAsia="zh-CN"/>
        </w:rPr>
        <w:t>》（黑财〔</w:t>
      </w:r>
      <w:r>
        <w:rPr>
          <w:rFonts w:hint="eastAsia" w:ascii="仿宋_GB2312" w:hAnsi="仿宋_GB2312" w:eastAsia="仿宋_GB2312" w:cs="仿宋_GB2312"/>
          <w:sz w:val="32"/>
          <w:lang w:val="en-US" w:eastAsia="zh-CN"/>
        </w:rPr>
        <w:t>2025</w:t>
      </w:r>
      <w:r>
        <w:rPr>
          <w:rFonts w:hint="eastAsia" w:ascii="仿宋_GB2312" w:hAnsi="仿宋_GB2312" w:eastAsia="仿宋_GB2312" w:cs="仿宋_GB2312"/>
          <w:sz w:val="32"/>
          <w:lang w:eastAsia="zh-CN"/>
        </w:rPr>
        <w:t>〕</w:t>
      </w:r>
      <w:r>
        <w:rPr>
          <w:rFonts w:hint="eastAsia" w:ascii="仿宋_GB2312" w:hAnsi="仿宋_GB2312" w:eastAsia="仿宋_GB2312" w:cs="仿宋_GB2312"/>
          <w:sz w:val="32"/>
          <w:lang w:val="en-US" w:eastAsia="zh-CN"/>
        </w:rPr>
        <w:t>30号</w:t>
      </w:r>
      <w:r>
        <w:rPr>
          <w:rFonts w:hint="eastAsia" w:ascii="仿宋_GB2312" w:hAnsi="仿宋_GB2312" w:eastAsia="仿宋_GB2312" w:cs="仿宋_GB2312"/>
          <w:sz w:val="32"/>
          <w:lang w:eastAsia="zh-CN"/>
        </w:rPr>
        <w:t>）精神要求</w:t>
      </w:r>
      <w:r>
        <w:rPr>
          <w:rFonts w:hint="eastAsia" w:ascii="仿宋_GB2312" w:hAnsi="仿宋_GB2312" w:eastAsia="仿宋_GB2312" w:cs="仿宋_GB2312"/>
          <w:sz w:val="32"/>
        </w:rPr>
        <w:t>，结合实际情况，开展202</w:t>
      </w:r>
      <w:r>
        <w:rPr>
          <w:rFonts w:hint="eastAsia" w:ascii="仿宋_GB2312" w:hAnsi="仿宋_GB2312" w:eastAsia="仿宋_GB2312" w:cs="仿宋_GB2312"/>
          <w:sz w:val="32"/>
          <w:lang w:val="en-US" w:eastAsia="zh-CN"/>
        </w:rPr>
        <w:t>4</w:t>
      </w:r>
      <w:r>
        <w:rPr>
          <w:rFonts w:hint="eastAsia" w:ascii="仿宋_GB2312" w:hAnsi="仿宋_GB2312" w:eastAsia="仿宋_GB2312" w:cs="仿宋_GB2312"/>
          <w:sz w:val="32"/>
        </w:rPr>
        <w:t>年财政支出（基本支出和项目支出）绩效评价工作，</w:t>
      </w:r>
      <w:r>
        <w:rPr>
          <w:rFonts w:hint="eastAsia" w:ascii="仿宋_GB2312" w:hAnsi="仿宋_GB2312" w:eastAsia="仿宋_GB2312" w:cs="仿宋_GB2312"/>
          <w:sz w:val="32"/>
          <w:lang w:eastAsia="zh-CN"/>
        </w:rPr>
        <w:t>成立以镇长为组长，财务分管领导为副组长，财务相关工作人员和项目相关工作人员为成员的支出绩效评价工作组，</w:t>
      </w:r>
      <w:r>
        <w:rPr>
          <w:rFonts w:hint="eastAsia" w:ascii="仿宋_GB2312" w:hAnsi="仿宋_GB2312" w:eastAsia="仿宋_GB2312" w:cs="仿宋_GB2312"/>
          <w:sz w:val="32"/>
        </w:rPr>
        <w:t>现将工作情况总结如下</w:t>
      </w:r>
      <w:r>
        <w:rPr>
          <w:rFonts w:hint="eastAsia" w:ascii="仿宋_GB2312" w:hAnsi="仿宋_GB2312" w:eastAsia="仿宋_GB2312" w:cs="仿宋_GB2312"/>
          <w:sz w:val="32"/>
          <w:lang w:eastAsia="zh-CN"/>
        </w:rPr>
        <w:t>：</w:t>
      </w:r>
    </w:p>
    <w:p w14:paraId="3F8BCC68">
      <w:pPr>
        <w:keepNext w:val="0"/>
        <w:keepLines w:val="0"/>
        <w:pageBreakBefore w:val="0"/>
        <w:widowControl/>
        <w:numPr>
          <w:ilvl w:val="0"/>
          <w:numId w:val="0"/>
        </w:numPr>
        <w:kinsoku/>
        <w:wordWrap/>
        <w:overflowPunct/>
        <w:topLinePunct w:val="0"/>
        <w:autoSpaceDE/>
        <w:autoSpaceDN/>
        <w:bidi w:val="0"/>
        <w:adjustRightInd w:val="0"/>
        <w:snapToGrid w:val="0"/>
        <w:spacing w:line="560" w:lineRule="exact"/>
        <w:ind w:firstLine="640" w:firstLineChars="200"/>
        <w:contextualSpacing/>
        <w:jc w:val="both"/>
        <w:textAlignment w:val="auto"/>
        <w:outlineLvl w:val="9"/>
        <w:rPr>
          <w:rFonts w:hint="eastAsia" w:ascii="黑体" w:hAnsi="黑体" w:eastAsia="黑体" w:cs="黑体"/>
          <w:szCs w:val="32"/>
        </w:rPr>
      </w:pPr>
      <w:r>
        <w:rPr>
          <w:rFonts w:hint="eastAsia" w:ascii="黑体" w:hAnsi="黑体" w:eastAsia="黑体" w:cs="黑体"/>
          <w:color w:val="000000"/>
          <w:kern w:val="0"/>
          <w:szCs w:val="32"/>
          <w:highlight w:val="none"/>
          <w:shd w:val="clear" w:color="auto" w:fill="FFFFFF"/>
          <w:lang w:val="zh-CN"/>
        </w:rPr>
        <w:t>一、部门（单位）基本情况</w:t>
      </w:r>
    </w:p>
    <w:p w14:paraId="3A9E69D4">
      <w:pPr>
        <w:keepNext w:val="0"/>
        <w:keepLines w:val="0"/>
        <w:pageBreakBefore w:val="0"/>
        <w:widowControl/>
        <w:numPr>
          <w:ilvl w:val="0"/>
          <w:numId w:val="0"/>
        </w:numPr>
        <w:kinsoku/>
        <w:wordWrap/>
        <w:overflowPunct/>
        <w:topLinePunct w:val="0"/>
        <w:autoSpaceDE/>
        <w:autoSpaceDN/>
        <w:bidi w:val="0"/>
        <w:adjustRightInd w:val="0"/>
        <w:snapToGrid w:val="0"/>
        <w:spacing w:line="560" w:lineRule="exact"/>
        <w:ind w:firstLine="643" w:firstLineChars="200"/>
        <w:contextualSpacing/>
        <w:jc w:val="both"/>
        <w:textAlignment w:val="auto"/>
        <w:outlineLvl w:val="9"/>
        <w:rPr>
          <w:rFonts w:hint="eastAsia" w:ascii="楷体_GB2312" w:hAnsi="楷体_GB2312" w:eastAsia="楷体_GB2312" w:cs="楷体_GB2312"/>
          <w:b/>
          <w:bCs/>
          <w:color w:val="000000"/>
          <w:kern w:val="0"/>
          <w:szCs w:val="32"/>
          <w:highlight w:val="none"/>
          <w:shd w:val="clear" w:color="auto" w:fill="FFFFFF"/>
          <w:lang w:val="zh-CN"/>
        </w:rPr>
      </w:pPr>
      <w:r>
        <w:rPr>
          <w:rFonts w:hint="eastAsia" w:ascii="楷体_GB2312" w:hAnsi="楷体_GB2312" w:eastAsia="楷体_GB2312" w:cs="楷体_GB2312"/>
          <w:b/>
          <w:bCs/>
          <w:color w:val="000000"/>
          <w:kern w:val="0"/>
          <w:szCs w:val="32"/>
          <w:highlight w:val="none"/>
          <w:shd w:val="clear" w:color="auto" w:fill="FFFFFF"/>
          <w:lang w:val="zh-CN"/>
        </w:rPr>
        <w:t>（一）机构组成</w:t>
      </w:r>
    </w:p>
    <w:p w14:paraId="6AA5D528">
      <w:pPr>
        <w:keepNext w:val="0"/>
        <w:keepLines w:val="0"/>
        <w:pageBreakBefore w:val="0"/>
        <w:widowControl/>
        <w:numPr>
          <w:ilvl w:val="0"/>
          <w:numId w:val="0"/>
        </w:numPr>
        <w:kinsoku/>
        <w:wordWrap/>
        <w:overflowPunct/>
        <w:topLinePunct w:val="0"/>
        <w:autoSpaceDE/>
        <w:autoSpaceDN/>
        <w:bidi w:val="0"/>
        <w:adjustRightInd w:val="0"/>
        <w:snapToGrid w:val="0"/>
        <w:spacing w:line="560" w:lineRule="exact"/>
        <w:ind w:firstLine="640" w:firstLineChars="200"/>
        <w:contextualSpacing/>
        <w:jc w:val="both"/>
        <w:textAlignment w:val="auto"/>
        <w:outlineLvl w:val="9"/>
        <w:rPr>
          <w:rFonts w:hint="default" w:ascii="仿宋_GB2312" w:hAnsi="仿宋_GB2312" w:eastAsia="仿宋_GB2312" w:cs="仿宋_GB2312"/>
          <w:sz w:val="32"/>
          <w:lang w:eastAsia="zh-CN"/>
        </w:rPr>
      </w:pPr>
      <w:r>
        <w:rPr>
          <w:rFonts w:hint="default" w:ascii="仿宋_GB2312" w:hAnsi="仿宋_GB2312" w:eastAsia="仿宋_GB2312" w:cs="仿宋_GB2312"/>
          <w:sz w:val="32"/>
          <w:lang w:eastAsia="zh-CN"/>
        </w:rPr>
        <w:t>黑水县</w:t>
      </w:r>
      <w:r>
        <w:rPr>
          <w:rFonts w:hint="eastAsia" w:ascii="仿宋_GB2312" w:hAnsi="仿宋_GB2312" w:cs="仿宋_GB2312"/>
          <w:sz w:val="32"/>
          <w:lang w:eastAsia="zh-CN"/>
        </w:rPr>
        <w:t>芦花</w:t>
      </w:r>
      <w:r>
        <w:rPr>
          <w:rFonts w:hint="default" w:ascii="仿宋_GB2312" w:hAnsi="仿宋_GB2312" w:eastAsia="仿宋_GB2312" w:cs="仿宋_GB2312"/>
          <w:sz w:val="32"/>
          <w:lang w:eastAsia="zh-CN"/>
        </w:rPr>
        <w:t>镇人民政府无下属二级核算单位。</w:t>
      </w:r>
    </w:p>
    <w:p w14:paraId="31AE160C">
      <w:pPr>
        <w:keepNext w:val="0"/>
        <w:keepLines w:val="0"/>
        <w:pageBreakBefore w:val="0"/>
        <w:widowControl/>
        <w:numPr>
          <w:ilvl w:val="0"/>
          <w:numId w:val="0"/>
        </w:numPr>
        <w:kinsoku/>
        <w:wordWrap/>
        <w:overflowPunct/>
        <w:topLinePunct w:val="0"/>
        <w:autoSpaceDE/>
        <w:autoSpaceDN/>
        <w:bidi w:val="0"/>
        <w:adjustRightInd w:val="0"/>
        <w:snapToGrid w:val="0"/>
        <w:spacing w:line="560" w:lineRule="exact"/>
        <w:ind w:firstLine="640" w:firstLineChars="200"/>
        <w:contextualSpacing/>
        <w:jc w:val="both"/>
        <w:textAlignment w:val="auto"/>
        <w:outlineLvl w:val="9"/>
        <w:rPr>
          <w:rFonts w:hint="default" w:ascii="仿宋_GB2312" w:hAnsi="仿宋_GB2312" w:eastAsia="仿宋_GB2312" w:cs="仿宋_GB2312"/>
          <w:sz w:val="32"/>
          <w:lang w:eastAsia="zh-CN"/>
        </w:rPr>
      </w:pPr>
      <w:r>
        <w:rPr>
          <w:rFonts w:hint="eastAsia" w:ascii="仿宋_GB2312" w:hAnsi="仿宋_GB2312" w:eastAsia="仿宋_GB2312" w:cs="仿宋_GB2312"/>
          <w:sz w:val="32"/>
          <w:lang w:val="en-US" w:eastAsia="zh-CN"/>
        </w:rPr>
        <w:t>黑水县</w:t>
      </w:r>
      <w:r>
        <w:rPr>
          <w:rFonts w:hint="eastAsia" w:ascii="仿宋_GB2312" w:hAnsi="仿宋_GB2312" w:cs="仿宋_GB2312"/>
          <w:sz w:val="32"/>
          <w:lang w:val="en-US" w:eastAsia="zh-CN"/>
        </w:rPr>
        <w:t>芦花</w:t>
      </w:r>
      <w:r>
        <w:rPr>
          <w:rFonts w:hint="eastAsia" w:ascii="仿宋_GB2312" w:hAnsi="仿宋_GB2312" w:eastAsia="仿宋_GB2312" w:cs="仿宋_GB2312"/>
          <w:sz w:val="32"/>
          <w:lang w:val="en-US" w:eastAsia="zh-CN"/>
        </w:rPr>
        <w:t>镇人民政府，取得黑水县机构编制委员会办公室颁发的统一社会信用代码：</w:t>
      </w:r>
      <w:r>
        <w:rPr>
          <w:rFonts w:hint="eastAsia" w:ascii="仿宋_GB2312" w:hAnsi="仿宋_GB2312" w:cs="仿宋_GB2312"/>
          <w:sz w:val="32"/>
          <w:lang w:val="en-US" w:eastAsia="zh-CN"/>
        </w:rPr>
        <w:t>115132280089430895</w:t>
      </w:r>
      <w:r>
        <w:rPr>
          <w:rFonts w:hint="eastAsia" w:ascii="仿宋_GB2312" w:hAnsi="仿宋_GB2312" w:eastAsia="仿宋_GB2312" w:cs="仿宋_GB2312"/>
          <w:sz w:val="32"/>
          <w:lang w:val="en-US" w:eastAsia="zh-CN"/>
        </w:rPr>
        <w:t>，机构地址：四川省阿坝</w:t>
      </w:r>
      <w:r>
        <w:rPr>
          <w:rFonts w:hint="eastAsia" w:ascii="仿宋_GB2312" w:hAnsi="仿宋_GB2312" w:cs="仿宋_GB2312"/>
          <w:sz w:val="32"/>
          <w:lang w:val="en-US" w:eastAsia="zh-CN"/>
        </w:rPr>
        <w:t>藏族羌族自治</w:t>
      </w:r>
      <w:r>
        <w:rPr>
          <w:rFonts w:hint="eastAsia" w:ascii="仿宋_GB2312" w:hAnsi="仿宋_GB2312" w:eastAsia="仿宋_GB2312" w:cs="仿宋_GB2312"/>
          <w:sz w:val="32"/>
          <w:lang w:val="en-US" w:eastAsia="zh-CN"/>
        </w:rPr>
        <w:t>州黑水县</w:t>
      </w:r>
      <w:r>
        <w:rPr>
          <w:rFonts w:hint="eastAsia" w:ascii="仿宋_GB2312" w:hAnsi="仿宋_GB2312" w:cs="仿宋_GB2312"/>
          <w:sz w:val="32"/>
          <w:lang w:val="en-US" w:eastAsia="zh-CN"/>
        </w:rPr>
        <w:t>芦花</w:t>
      </w:r>
      <w:r>
        <w:rPr>
          <w:rFonts w:hint="eastAsia" w:ascii="仿宋_GB2312" w:hAnsi="仿宋_GB2312" w:eastAsia="仿宋_GB2312" w:cs="仿宋_GB2312"/>
          <w:sz w:val="32"/>
          <w:lang w:val="en-US" w:eastAsia="zh-CN"/>
        </w:rPr>
        <w:t>镇</w:t>
      </w:r>
      <w:r>
        <w:rPr>
          <w:rFonts w:hint="eastAsia" w:ascii="仿宋_GB2312" w:hAnsi="仿宋_GB2312" w:cs="仿宋_GB2312"/>
          <w:sz w:val="32"/>
          <w:lang w:val="en-US" w:eastAsia="zh-CN"/>
        </w:rPr>
        <w:t>彩林路190号</w:t>
      </w:r>
      <w:r>
        <w:rPr>
          <w:rFonts w:hint="eastAsia" w:ascii="仿宋_GB2312" w:hAnsi="仿宋_GB2312" w:eastAsia="仿宋_GB2312" w:cs="仿宋_GB2312"/>
          <w:sz w:val="32"/>
          <w:lang w:val="en-US" w:eastAsia="zh-CN"/>
        </w:rPr>
        <w:t>，法定代表人：</w:t>
      </w:r>
      <w:r>
        <w:rPr>
          <w:rFonts w:hint="eastAsia" w:ascii="仿宋_GB2312" w:hAnsi="仿宋_GB2312" w:cs="仿宋_GB2312"/>
          <w:sz w:val="32"/>
          <w:lang w:val="en-US" w:eastAsia="zh-CN"/>
        </w:rPr>
        <w:t>唐谦</w:t>
      </w:r>
      <w:r>
        <w:rPr>
          <w:rFonts w:hint="eastAsia" w:ascii="仿宋_GB2312" w:hAnsi="仿宋_GB2312" w:eastAsia="仿宋_GB2312" w:cs="仿宋_GB2312"/>
          <w:sz w:val="32"/>
          <w:lang w:val="en-US" w:eastAsia="zh-CN"/>
        </w:rPr>
        <w:t>，机构性质：机关。</w:t>
      </w:r>
    </w:p>
    <w:p w14:paraId="27F0384E">
      <w:pPr>
        <w:keepNext w:val="0"/>
        <w:keepLines w:val="0"/>
        <w:pageBreakBefore w:val="0"/>
        <w:widowControl/>
        <w:numPr>
          <w:ilvl w:val="0"/>
          <w:numId w:val="0"/>
        </w:numPr>
        <w:kinsoku/>
        <w:wordWrap/>
        <w:overflowPunct/>
        <w:topLinePunct w:val="0"/>
        <w:autoSpaceDE/>
        <w:autoSpaceDN/>
        <w:bidi w:val="0"/>
        <w:adjustRightInd w:val="0"/>
        <w:snapToGrid w:val="0"/>
        <w:spacing w:line="560" w:lineRule="exact"/>
        <w:ind w:firstLine="640" w:firstLineChars="200"/>
        <w:contextualSpacing/>
        <w:jc w:val="both"/>
        <w:textAlignment w:val="auto"/>
        <w:outlineLvl w:val="9"/>
        <w:rPr>
          <w:rFonts w:hint="eastAsia" w:ascii="仿宋_GB2312" w:cs="仿宋_GB2312"/>
          <w:color w:val="000000"/>
          <w:kern w:val="0"/>
          <w:shd w:val="clear" w:color="auto" w:fill="FFFFFF"/>
          <w:lang w:val="en-US" w:eastAsia="zh-CN"/>
        </w:rPr>
      </w:pPr>
      <w:r>
        <w:rPr>
          <w:rFonts w:hint="eastAsia" w:ascii="仿宋_GB2312" w:hAnsi="仿宋_GB2312" w:cs="仿宋_GB2312"/>
          <w:sz w:val="32"/>
          <w:lang w:eastAsia="zh-CN"/>
        </w:rPr>
        <w:t>芦花</w:t>
      </w:r>
      <w:r>
        <w:rPr>
          <w:rFonts w:hint="default" w:ascii="仿宋_GB2312" w:hAnsi="仿宋_GB2312" w:eastAsia="仿宋_GB2312" w:cs="仿宋_GB2312"/>
          <w:sz w:val="32"/>
          <w:lang w:eastAsia="zh-CN"/>
        </w:rPr>
        <w:t>镇属于乡财县管的乡，全镇共辖</w:t>
      </w:r>
      <w:r>
        <w:rPr>
          <w:rFonts w:hint="eastAsia" w:ascii="仿宋_GB2312" w:hAnsi="仿宋_GB2312" w:cs="仿宋_GB2312"/>
          <w:sz w:val="32"/>
          <w:lang w:val="en-US" w:eastAsia="zh-CN"/>
        </w:rPr>
        <w:t>12</w:t>
      </w:r>
      <w:r>
        <w:rPr>
          <w:rFonts w:hint="default" w:ascii="仿宋_GB2312" w:hAnsi="仿宋_GB2312" w:eastAsia="仿宋_GB2312" w:cs="仿宋_GB2312"/>
          <w:sz w:val="32"/>
          <w:lang w:eastAsia="zh-CN"/>
        </w:rPr>
        <w:t>个行政村</w:t>
      </w:r>
      <w:r>
        <w:rPr>
          <w:rFonts w:hint="eastAsia" w:ascii="仿宋_GB2312" w:hAnsi="仿宋_GB2312" w:cs="仿宋_GB2312"/>
          <w:sz w:val="32"/>
          <w:lang w:val="en-US" w:eastAsia="zh-CN"/>
        </w:rPr>
        <w:t>,3个社区</w:t>
      </w:r>
      <w:r>
        <w:rPr>
          <w:rFonts w:hint="default" w:ascii="仿宋_GB2312" w:hAnsi="仿宋_GB2312" w:eastAsia="仿宋_GB2312" w:cs="仿宋_GB2312"/>
          <w:sz w:val="32"/>
          <w:lang w:eastAsia="zh-CN"/>
        </w:rPr>
        <w:t>。</w:t>
      </w:r>
      <w:r>
        <w:rPr>
          <w:rFonts w:hint="eastAsia" w:ascii="仿宋_GB2312" w:hAnsi="仿宋_GB2312" w:cs="仿宋_GB2312"/>
          <w:sz w:val="32"/>
          <w:lang w:eastAsia="zh-CN"/>
        </w:rPr>
        <w:t>芦花</w:t>
      </w:r>
      <w:r>
        <w:rPr>
          <w:rFonts w:hint="default" w:ascii="仿宋_GB2312" w:hAnsi="仿宋_GB2312" w:eastAsia="仿宋_GB2312" w:cs="仿宋_GB2312"/>
          <w:sz w:val="32"/>
          <w:lang w:eastAsia="zh-CN"/>
        </w:rPr>
        <w:t>镇下设股级行政机构6个</w:t>
      </w:r>
      <w:r>
        <w:rPr>
          <w:rFonts w:hint="eastAsia" w:ascii="仿宋_GB2312" w:hAnsi="仿宋_GB2312" w:eastAsia="仿宋_GB2312" w:cs="仿宋_GB2312"/>
          <w:sz w:val="32"/>
          <w:lang w:val="en-US" w:eastAsia="zh-CN"/>
        </w:rPr>
        <w:t>：党政综合办公室，党建工作办公室，应急管理和综合行政执法办公室，社会事务和社会治理办公室，经济发展和乡村振兴办公室，生态环境和村镇管理办公室</w:t>
      </w:r>
      <w:r>
        <w:rPr>
          <w:rFonts w:hint="eastAsia" w:ascii="仿宋_GB2312" w:hAnsi="仿宋_GB2312" w:cs="仿宋_GB2312"/>
          <w:sz w:val="32"/>
          <w:lang w:val="en-US" w:eastAsia="zh-CN"/>
        </w:rPr>
        <w:t>；</w:t>
      </w:r>
      <w:r>
        <w:rPr>
          <w:rFonts w:hint="eastAsia" w:ascii="仿宋_GB2312" w:hAnsi="仿宋_GB2312" w:eastAsia="仿宋_GB2312" w:cs="仿宋_GB2312"/>
          <w:sz w:val="32"/>
          <w:lang w:val="en-US" w:eastAsia="zh-CN"/>
        </w:rPr>
        <w:t>下设一类公益事业单位2个：黑水县</w:t>
      </w:r>
      <w:r>
        <w:rPr>
          <w:rFonts w:hint="eastAsia" w:ascii="仿宋_GB2312" w:hAnsi="仿宋_GB2312" w:cs="仿宋_GB2312"/>
          <w:sz w:val="32"/>
          <w:lang w:val="en-US" w:eastAsia="zh-CN"/>
        </w:rPr>
        <w:t>芦花</w:t>
      </w:r>
      <w:r>
        <w:rPr>
          <w:rFonts w:hint="eastAsia" w:ascii="仿宋_GB2312" w:hAnsi="仿宋_GB2312" w:eastAsia="仿宋_GB2312" w:cs="仿宋_GB2312"/>
          <w:sz w:val="32"/>
          <w:lang w:val="en-US" w:eastAsia="zh-CN"/>
        </w:rPr>
        <w:t>镇便民和退役军人服务中心，黑水县</w:t>
      </w:r>
      <w:r>
        <w:rPr>
          <w:rFonts w:hint="eastAsia" w:ascii="仿宋_GB2312" w:hAnsi="仿宋_GB2312" w:cs="仿宋_GB2312"/>
          <w:sz w:val="32"/>
          <w:lang w:val="en-US" w:eastAsia="zh-CN"/>
        </w:rPr>
        <w:t>芦花</w:t>
      </w:r>
      <w:r>
        <w:rPr>
          <w:rFonts w:hint="eastAsia" w:ascii="仿宋_GB2312" w:hAnsi="仿宋_GB2312" w:eastAsia="仿宋_GB2312" w:cs="仿宋_GB2312"/>
          <w:sz w:val="32"/>
          <w:lang w:val="en-US" w:eastAsia="zh-CN"/>
        </w:rPr>
        <w:t>镇农业农村和文化旅游服务中心。在目前，六个党政综合办事机构、两个一类公益事业单位正常运行。</w:t>
      </w:r>
    </w:p>
    <w:p w14:paraId="2BD3DE8E">
      <w:pPr>
        <w:keepNext w:val="0"/>
        <w:keepLines w:val="0"/>
        <w:pageBreakBefore w:val="0"/>
        <w:widowControl/>
        <w:numPr>
          <w:ilvl w:val="0"/>
          <w:numId w:val="1"/>
        </w:numPr>
        <w:kinsoku/>
        <w:wordWrap/>
        <w:overflowPunct/>
        <w:topLinePunct w:val="0"/>
        <w:autoSpaceDE/>
        <w:autoSpaceDN/>
        <w:bidi w:val="0"/>
        <w:adjustRightInd w:val="0"/>
        <w:snapToGrid w:val="0"/>
        <w:spacing w:line="560" w:lineRule="exact"/>
        <w:ind w:firstLine="643" w:firstLineChars="200"/>
        <w:contextualSpacing/>
        <w:jc w:val="both"/>
        <w:textAlignment w:val="auto"/>
        <w:outlineLvl w:val="9"/>
        <w:rPr>
          <w:rFonts w:hint="eastAsia" w:eastAsia="楷体_GB2312" w:cs="Times New Roman"/>
          <w:b/>
          <w:bCs/>
          <w:color w:val="000000"/>
          <w:kern w:val="0"/>
          <w:szCs w:val="32"/>
          <w:highlight w:val="none"/>
          <w:shd w:val="clear" w:color="auto" w:fill="FFFFFF"/>
          <w:lang w:val="zh-CN"/>
        </w:rPr>
      </w:pPr>
      <w:r>
        <w:rPr>
          <w:rFonts w:hint="default" w:ascii="Times New Roman" w:hAnsi="Times New Roman" w:eastAsia="楷体_GB2312" w:cs="Times New Roman"/>
          <w:b/>
          <w:bCs/>
          <w:color w:val="000000"/>
          <w:kern w:val="0"/>
          <w:szCs w:val="32"/>
          <w:highlight w:val="none"/>
          <w:shd w:val="clear" w:color="auto" w:fill="FFFFFF"/>
          <w:lang w:val="zh-CN"/>
        </w:rPr>
        <w:t>机构职能</w:t>
      </w:r>
    </w:p>
    <w:p w14:paraId="2434B1E2">
      <w:pPr>
        <w:keepNext w:val="0"/>
        <w:keepLines w:val="0"/>
        <w:pageBreakBefore w:val="0"/>
        <w:widowControl/>
        <w:numPr>
          <w:ilvl w:val="0"/>
          <w:numId w:val="0"/>
        </w:numPr>
        <w:kinsoku/>
        <w:wordWrap/>
        <w:overflowPunct/>
        <w:topLinePunct w:val="0"/>
        <w:autoSpaceDE/>
        <w:autoSpaceDN/>
        <w:bidi w:val="0"/>
        <w:adjustRightInd w:val="0"/>
        <w:snapToGrid w:val="0"/>
        <w:spacing w:line="560" w:lineRule="exact"/>
        <w:ind w:firstLine="640" w:firstLineChars="200"/>
        <w:contextualSpacing/>
        <w:jc w:val="both"/>
        <w:textAlignment w:val="auto"/>
        <w:outlineLvl w:val="9"/>
        <w:rPr>
          <w:rFonts w:hint="eastAsia" w:cs="Times New Roman"/>
          <w:szCs w:val="32"/>
          <w:lang w:val="en-US" w:eastAsia="zh-CN"/>
        </w:rPr>
      </w:pPr>
      <w:r>
        <w:rPr>
          <w:rFonts w:hint="eastAsia" w:ascii="仿宋_GB2312" w:hAnsi="仿宋_GB2312" w:eastAsia="仿宋_GB2312" w:cs="仿宋_GB2312"/>
          <w:sz w:val="32"/>
          <w:lang w:val="en-US" w:eastAsia="zh-CN"/>
        </w:rPr>
        <w:t>黑水县</w:t>
      </w:r>
      <w:r>
        <w:rPr>
          <w:rFonts w:hint="eastAsia" w:ascii="仿宋_GB2312" w:hAnsi="仿宋_GB2312" w:cs="仿宋_GB2312"/>
          <w:sz w:val="32"/>
          <w:lang w:val="en-US" w:eastAsia="zh-CN"/>
        </w:rPr>
        <w:t>芦花</w:t>
      </w:r>
      <w:r>
        <w:rPr>
          <w:rFonts w:hint="eastAsia" w:ascii="仿宋_GB2312" w:hAnsi="仿宋_GB2312" w:eastAsia="仿宋_GB2312" w:cs="仿宋_GB2312"/>
          <w:sz w:val="32"/>
          <w:lang w:val="en-US" w:eastAsia="zh-CN"/>
        </w:rPr>
        <w:t>镇人民政府是基层国家行政机关，行使本行政区域的政府行政职能，根据有关文件规定，主要职责是：宣传和贯彻执行上级各部门及本镇的各项政策、法规、决议等；讨论决定全镇经济建设和社会发展中的重大问题；加强党委自身建设和以党支部为核心的村级组织建设；按照干部管理权限，负责对本级镇村干部的教育、管理、培训、选拔和监督工作，并实现村级财务统一由镇代管；认真做好全镇社会治安综合治理及计划生育，环境、国土等管理工作。</w:t>
      </w:r>
    </w:p>
    <w:p w14:paraId="7ED9437A">
      <w:pPr>
        <w:keepNext w:val="0"/>
        <w:keepLines w:val="0"/>
        <w:pageBreakBefore w:val="0"/>
        <w:widowControl/>
        <w:kinsoku/>
        <w:wordWrap/>
        <w:overflowPunct/>
        <w:topLinePunct w:val="0"/>
        <w:autoSpaceDE/>
        <w:autoSpaceDN/>
        <w:bidi w:val="0"/>
        <w:adjustRightInd w:val="0"/>
        <w:snapToGrid w:val="0"/>
        <w:spacing w:line="560" w:lineRule="exact"/>
        <w:ind w:firstLine="643" w:firstLineChars="200"/>
        <w:jc w:val="both"/>
        <w:textAlignment w:val="auto"/>
        <w:rPr>
          <w:rFonts w:hint="eastAsia" w:ascii="仿宋_GB2312" w:cs="仿宋_GB2312"/>
          <w:b/>
          <w:bCs/>
          <w:color w:val="000000"/>
          <w:kern w:val="0"/>
          <w:shd w:val="clear" w:color="auto" w:fill="FFFFFF"/>
        </w:rPr>
      </w:pPr>
      <w:r>
        <w:rPr>
          <w:rFonts w:hint="eastAsia" w:ascii="仿宋_GB2312" w:cs="仿宋_GB2312"/>
          <w:b/>
          <w:bCs/>
          <w:color w:val="000000"/>
          <w:kern w:val="0"/>
          <w:shd w:val="clear" w:color="auto" w:fill="FFFFFF"/>
          <w:lang w:val="en-US" w:eastAsia="zh-CN"/>
        </w:rPr>
        <w:t>1.</w:t>
      </w:r>
      <w:r>
        <w:rPr>
          <w:rFonts w:hint="eastAsia" w:ascii="仿宋_GB2312" w:cs="仿宋_GB2312"/>
          <w:b/>
          <w:bCs/>
          <w:color w:val="000000"/>
          <w:kern w:val="0"/>
          <w:shd w:val="clear" w:color="auto" w:fill="FFFFFF"/>
        </w:rPr>
        <w:t>加强党的领导，抓好基层党建</w:t>
      </w:r>
    </w:p>
    <w:p w14:paraId="6EA0049D">
      <w:pPr>
        <w:keepNext w:val="0"/>
        <w:keepLines w:val="0"/>
        <w:pageBreakBefore w:val="0"/>
        <w:widowControl/>
        <w:numPr>
          <w:ilvl w:val="0"/>
          <w:numId w:val="0"/>
        </w:numPr>
        <w:kinsoku/>
        <w:wordWrap/>
        <w:overflowPunct/>
        <w:topLinePunct w:val="0"/>
        <w:autoSpaceDE/>
        <w:autoSpaceDN/>
        <w:bidi w:val="0"/>
        <w:adjustRightInd w:val="0"/>
        <w:snapToGrid w:val="0"/>
        <w:spacing w:line="560" w:lineRule="exact"/>
        <w:ind w:firstLine="640" w:firstLineChars="200"/>
        <w:contextualSpacing/>
        <w:jc w:val="both"/>
        <w:textAlignment w:val="auto"/>
        <w:outlineLvl w:val="9"/>
        <w:rPr>
          <w:rFonts w:hint="eastAsia" w:ascii="仿宋_GB2312" w:hAnsi="仿宋_GB2312" w:eastAsia="仿宋_GB2312" w:cs="仿宋_GB2312"/>
          <w:sz w:val="32"/>
          <w:lang w:eastAsia="zh-CN"/>
        </w:rPr>
      </w:pPr>
      <w:r>
        <w:rPr>
          <w:rFonts w:hint="eastAsia" w:ascii="仿宋_GB2312" w:hAnsi="仿宋_GB2312" w:eastAsia="仿宋_GB2312" w:cs="仿宋_GB2312"/>
          <w:sz w:val="32"/>
          <w:lang w:eastAsia="zh-CN"/>
        </w:rPr>
        <w:t>（1）履行政治领导责任，做好理论武装和思想政治工作，负责学习、宣传、贯彻执行党的理论和路线方针政策，贯彻落实党中央、省委、州委、县委的决策部署，发挥好把方向、管大局、保落实的重要作用。</w:t>
      </w:r>
    </w:p>
    <w:p w14:paraId="4BBE2271">
      <w:pPr>
        <w:keepNext w:val="0"/>
        <w:keepLines w:val="0"/>
        <w:pageBreakBefore w:val="0"/>
        <w:widowControl/>
        <w:numPr>
          <w:ilvl w:val="0"/>
          <w:numId w:val="0"/>
        </w:numPr>
        <w:kinsoku/>
        <w:wordWrap/>
        <w:overflowPunct/>
        <w:topLinePunct w:val="0"/>
        <w:autoSpaceDE/>
        <w:autoSpaceDN/>
        <w:bidi w:val="0"/>
        <w:adjustRightInd w:val="0"/>
        <w:snapToGrid w:val="0"/>
        <w:spacing w:line="560" w:lineRule="exact"/>
        <w:ind w:firstLine="640" w:firstLineChars="200"/>
        <w:contextualSpacing/>
        <w:jc w:val="both"/>
        <w:textAlignment w:val="auto"/>
        <w:outlineLvl w:val="9"/>
        <w:rPr>
          <w:rFonts w:hint="eastAsia" w:ascii="仿宋_GB2312" w:hAnsi="仿宋_GB2312" w:eastAsia="仿宋_GB2312" w:cs="仿宋_GB2312"/>
          <w:sz w:val="32"/>
          <w:lang w:eastAsia="zh-CN"/>
        </w:rPr>
      </w:pPr>
      <w:r>
        <w:rPr>
          <w:rFonts w:hint="eastAsia" w:ascii="仿宋_GB2312" w:hAnsi="仿宋_GB2312" w:eastAsia="仿宋_GB2312" w:cs="仿宋_GB2312"/>
          <w:sz w:val="32"/>
          <w:lang w:eastAsia="zh-CN"/>
        </w:rPr>
        <w:t>（2）履行党要管党，全面推进辖区党的政治建设、思想建设、组织建设、作风建设、纪律建设，落实党建工作责任制，推动全面从严治党向基层延伸。认真履行党风廉政建设主体责任，维护和执行党的纪律，监督党员干部和其他任何工作人员严格遵守国家法律法规。</w:t>
      </w:r>
    </w:p>
    <w:p w14:paraId="0E8515EE">
      <w:pPr>
        <w:keepNext w:val="0"/>
        <w:keepLines w:val="0"/>
        <w:pageBreakBefore w:val="0"/>
        <w:widowControl/>
        <w:numPr>
          <w:ilvl w:val="0"/>
          <w:numId w:val="0"/>
        </w:numPr>
        <w:kinsoku/>
        <w:wordWrap/>
        <w:overflowPunct/>
        <w:topLinePunct w:val="0"/>
        <w:autoSpaceDE/>
        <w:autoSpaceDN/>
        <w:bidi w:val="0"/>
        <w:adjustRightInd w:val="0"/>
        <w:snapToGrid w:val="0"/>
        <w:spacing w:line="560" w:lineRule="exact"/>
        <w:ind w:firstLine="640" w:firstLineChars="200"/>
        <w:contextualSpacing/>
        <w:jc w:val="both"/>
        <w:textAlignment w:val="auto"/>
        <w:outlineLvl w:val="9"/>
        <w:rPr>
          <w:rFonts w:hint="eastAsia" w:ascii="仿宋_GB2312" w:hAnsi="仿宋_GB2312" w:eastAsia="仿宋_GB2312" w:cs="仿宋_GB2312"/>
          <w:sz w:val="32"/>
          <w:lang w:eastAsia="zh-CN"/>
        </w:rPr>
      </w:pPr>
      <w:r>
        <w:rPr>
          <w:rFonts w:hint="eastAsia" w:ascii="仿宋_GB2312" w:hAnsi="仿宋_GB2312" w:eastAsia="仿宋_GB2312" w:cs="仿宋_GB2312"/>
          <w:sz w:val="32"/>
          <w:lang w:eastAsia="zh-CN"/>
        </w:rPr>
        <w:t>（3）讨论和决定辖区内政治建设、经济建设、文化建设、社会建设、生态文明建设、法制建设和党的建设以及乡村振兴中的重大问题。其他应当由党委讨论和决定的重大问题。</w:t>
      </w:r>
    </w:p>
    <w:p w14:paraId="2135C43E">
      <w:pPr>
        <w:keepNext w:val="0"/>
        <w:keepLines w:val="0"/>
        <w:pageBreakBefore w:val="0"/>
        <w:widowControl/>
        <w:numPr>
          <w:ilvl w:val="0"/>
          <w:numId w:val="0"/>
        </w:numPr>
        <w:kinsoku/>
        <w:wordWrap/>
        <w:overflowPunct/>
        <w:topLinePunct w:val="0"/>
        <w:autoSpaceDE/>
        <w:autoSpaceDN/>
        <w:bidi w:val="0"/>
        <w:adjustRightInd w:val="0"/>
        <w:snapToGrid w:val="0"/>
        <w:spacing w:line="560" w:lineRule="exact"/>
        <w:ind w:firstLine="640" w:firstLineChars="200"/>
        <w:contextualSpacing/>
        <w:jc w:val="both"/>
        <w:textAlignment w:val="auto"/>
        <w:outlineLvl w:val="9"/>
        <w:rPr>
          <w:rFonts w:hint="eastAsia" w:ascii="仿宋_GB2312" w:hAnsi="仿宋_GB2312" w:eastAsia="仿宋_GB2312" w:cs="仿宋_GB2312"/>
          <w:sz w:val="32"/>
          <w:lang w:eastAsia="zh-CN"/>
        </w:rPr>
      </w:pPr>
      <w:r>
        <w:rPr>
          <w:rFonts w:hint="eastAsia" w:ascii="仿宋_GB2312" w:hAnsi="仿宋_GB2312" w:eastAsia="仿宋_GB2312" w:cs="仿宋_GB2312"/>
          <w:sz w:val="32"/>
          <w:lang w:eastAsia="zh-CN"/>
        </w:rPr>
        <w:t>（4）贯彻党管干部原则，加强干部队伍建设，完善干部培养选拔机制，加强干部教育管理监督。贯彻党管人才原则，加强人才队伍建设。加强对本</w:t>
      </w:r>
      <w:r>
        <w:rPr>
          <w:rFonts w:hint="eastAsia" w:ascii="仿宋_GB2312" w:hAnsi="仿宋_GB2312" w:eastAsia="仿宋_GB2312" w:cs="仿宋_GB2312"/>
          <w:sz w:val="32"/>
          <w:lang w:val="en-US" w:eastAsia="zh-CN"/>
        </w:rPr>
        <w:t>镇</w:t>
      </w:r>
      <w:r>
        <w:rPr>
          <w:rFonts w:hint="eastAsia" w:ascii="仿宋_GB2312" w:hAnsi="仿宋_GB2312" w:eastAsia="仿宋_GB2312" w:cs="仿宋_GB2312"/>
          <w:sz w:val="32"/>
          <w:lang w:eastAsia="zh-CN"/>
        </w:rPr>
        <w:t>工会、共青团、妇联等群团工作的领导。</w:t>
      </w:r>
    </w:p>
    <w:p w14:paraId="6B58C9C0">
      <w:pPr>
        <w:keepNext w:val="0"/>
        <w:keepLines w:val="0"/>
        <w:pageBreakBefore w:val="0"/>
        <w:widowControl/>
        <w:numPr>
          <w:ilvl w:val="0"/>
          <w:numId w:val="0"/>
        </w:numPr>
        <w:kinsoku/>
        <w:wordWrap/>
        <w:overflowPunct/>
        <w:topLinePunct w:val="0"/>
        <w:autoSpaceDE/>
        <w:autoSpaceDN/>
        <w:bidi w:val="0"/>
        <w:adjustRightInd w:val="0"/>
        <w:snapToGrid w:val="0"/>
        <w:spacing w:line="560" w:lineRule="exact"/>
        <w:ind w:firstLine="640" w:firstLineChars="200"/>
        <w:contextualSpacing/>
        <w:jc w:val="both"/>
        <w:textAlignment w:val="auto"/>
        <w:outlineLvl w:val="9"/>
        <w:rPr>
          <w:rFonts w:hint="eastAsia" w:ascii="仿宋_GB2312" w:hAnsi="仿宋_GB2312" w:eastAsia="仿宋_GB2312" w:cs="仿宋_GB2312"/>
          <w:sz w:val="32"/>
          <w:lang w:eastAsia="zh-CN"/>
        </w:rPr>
      </w:pPr>
      <w:r>
        <w:rPr>
          <w:rFonts w:hint="eastAsia" w:ascii="仿宋_GB2312" w:hAnsi="仿宋_GB2312" w:eastAsia="仿宋_GB2312" w:cs="仿宋_GB2312"/>
          <w:sz w:val="32"/>
          <w:lang w:eastAsia="zh-CN"/>
        </w:rPr>
        <w:t>（5）指导农村党建，落实基层党建工作责任制，严格抓好基层党组织建设各项制度，统筹抓好</w:t>
      </w:r>
      <w:r>
        <w:rPr>
          <w:rFonts w:hint="eastAsia" w:ascii="仿宋_GB2312" w:hAnsi="仿宋_GB2312" w:eastAsia="仿宋_GB2312" w:cs="仿宋_GB2312"/>
          <w:sz w:val="32"/>
          <w:lang w:val="en-US" w:eastAsia="zh-CN"/>
        </w:rPr>
        <w:t>镇</w:t>
      </w:r>
      <w:r>
        <w:rPr>
          <w:rFonts w:hint="eastAsia" w:ascii="仿宋_GB2312" w:hAnsi="仿宋_GB2312" w:eastAsia="仿宋_GB2312" w:cs="仿宋_GB2312"/>
          <w:sz w:val="32"/>
          <w:lang w:eastAsia="zh-CN"/>
        </w:rPr>
        <w:t>机关、村（社区）、驻辖区单位、行业、“两新”组织等党建工作，推进全面从严治党，强化“两个责任”，落实农村基层党建工作要求。</w:t>
      </w:r>
    </w:p>
    <w:p w14:paraId="195D173C">
      <w:pPr>
        <w:keepNext w:val="0"/>
        <w:keepLines w:val="0"/>
        <w:pageBreakBefore w:val="0"/>
        <w:widowControl/>
        <w:numPr>
          <w:ilvl w:val="0"/>
          <w:numId w:val="0"/>
        </w:numPr>
        <w:kinsoku/>
        <w:wordWrap/>
        <w:overflowPunct/>
        <w:topLinePunct w:val="0"/>
        <w:autoSpaceDE/>
        <w:autoSpaceDN/>
        <w:bidi w:val="0"/>
        <w:adjustRightInd w:val="0"/>
        <w:snapToGrid w:val="0"/>
        <w:spacing w:line="560" w:lineRule="exact"/>
        <w:ind w:firstLine="640" w:firstLineChars="200"/>
        <w:contextualSpacing/>
        <w:jc w:val="both"/>
        <w:textAlignment w:val="auto"/>
        <w:outlineLvl w:val="9"/>
        <w:rPr>
          <w:rFonts w:hint="eastAsia" w:ascii="仿宋_GB2312" w:cs="仿宋_GB2312"/>
          <w:color w:val="000000"/>
          <w:kern w:val="0"/>
          <w:shd w:val="clear" w:color="auto" w:fill="FFFFFF"/>
        </w:rPr>
      </w:pPr>
      <w:r>
        <w:rPr>
          <w:rFonts w:hint="eastAsia" w:ascii="仿宋_GB2312" w:hAnsi="仿宋_GB2312" w:eastAsia="仿宋_GB2312" w:cs="仿宋_GB2312"/>
          <w:sz w:val="32"/>
          <w:lang w:eastAsia="zh-CN"/>
        </w:rPr>
        <w:t>（6）加强基层社会宣传、舆论引导、精神文明建设、统一战线工作，落实党管意识形态工作责任制，健全完善党建引领基层体系，强化基层治理平台建设，进一步增强党在农村的政治领导力、思想引领力、群众组织力、社会号召力。</w:t>
      </w:r>
    </w:p>
    <w:p w14:paraId="3CB21577">
      <w:pPr>
        <w:keepNext w:val="0"/>
        <w:keepLines w:val="0"/>
        <w:pageBreakBefore w:val="0"/>
        <w:widowControl/>
        <w:kinsoku/>
        <w:wordWrap/>
        <w:overflowPunct/>
        <w:topLinePunct w:val="0"/>
        <w:autoSpaceDE/>
        <w:autoSpaceDN/>
        <w:bidi w:val="0"/>
        <w:adjustRightInd w:val="0"/>
        <w:snapToGrid w:val="0"/>
        <w:spacing w:line="560" w:lineRule="exact"/>
        <w:ind w:firstLine="643" w:firstLineChars="200"/>
        <w:jc w:val="both"/>
        <w:textAlignment w:val="auto"/>
        <w:rPr>
          <w:rFonts w:hint="eastAsia" w:ascii="仿宋_GB2312" w:cs="仿宋_GB2312"/>
          <w:b/>
          <w:bCs/>
          <w:color w:val="000000"/>
          <w:kern w:val="0"/>
          <w:shd w:val="clear" w:color="auto" w:fill="FFFFFF"/>
        </w:rPr>
      </w:pPr>
      <w:r>
        <w:rPr>
          <w:rFonts w:hint="eastAsia" w:ascii="仿宋_GB2312" w:cs="仿宋_GB2312"/>
          <w:b/>
          <w:bCs/>
          <w:color w:val="000000"/>
          <w:kern w:val="0"/>
          <w:shd w:val="clear" w:color="auto" w:fill="FFFFFF"/>
          <w:lang w:val="en-US" w:eastAsia="zh-CN"/>
        </w:rPr>
        <w:t>2.</w:t>
      </w:r>
      <w:r>
        <w:rPr>
          <w:rFonts w:hint="eastAsia" w:ascii="仿宋_GB2312" w:cs="仿宋_GB2312"/>
          <w:b/>
          <w:bCs/>
          <w:color w:val="000000"/>
          <w:kern w:val="0"/>
          <w:shd w:val="clear" w:color="auto" w:fill="FFFFFF"/>
        </w:rPr>
        <w:t>统筹经济发展，实施乡村振兴</w:t>
      </w:r>
    </w:p>
    <w:p w14:paraId="360C10A9">
      <w:pPr>
        <w:keepNext w:val="0"/>
        <w:keepLines w:val="0"/>
        <w:pageBreakBefore w:val="0"/>
        <w:widowControl/>
        <w:numPr>
          <w:ilvl w:val="0"/>
          <w:numId w:val="0"/>
        </w:numPr>
        <w:kinsoku/>
        <w:wordWrap/>
        <w:overflowPunct/>
        <w:topLinePunct w:val="0"/>
        <w:autoSpaceDE/>
        <w:autoSpaceDN/>
        <w:bidi w:val="0"/>
        <w:adjustRightInd w:val="0"/>
        <w:snapToGrid w:val="0"/>
        <w:spacing w:line="560" w:lineRule="exact"/>
        <w:ind w:firstLine="640" w:firstLineChars="200"/>
        <w:contextualSpacing/>
        <w:jc w:val="both"/>
        <w:textAlignment w:val="auto"/>
        <w:outlineLvl w:val="9"/>
        <w:rPr>
          <w:rFonts w:hint="eastAsia" w:ascii="仿宋_GB2312" w:hAnsi="仿宋_GB2312" w:eastAsia="仿宋_GB2312" w:cs="仿宋_GB2312"/>
          <w:sz w:val="32"/>
          <w:lang w:eastAsia="zh-CN"/>
        </w:rPr>
      </w:pPr>
      <w:r>
        <w:rPr>
          <w:rFonts w:hint="eastAsia" w:ascii="仿宋_GB2312" w:hAnsi="仿宋_GB2312" w:eastAsia="仿宋_GB2312" w:cs="仿宋_GB2312"/>
          <w:sz w:val="32"/>
          <w:lang w:eastAsia="zh-CN"/>
        </w:rPr>
        <w:t>（1）负责辖区经济发展工作，执行辖区内的经济和社会发展计划、预算。参与区域内土地利用、产业发展等规划编制，对区域内重大基础设施建设、重大公共服务资源布局、重大政策提出意见建议。落实辖区内发展规划、专项规划、区域规划、国土空间规划和“四好农村路”建设等。</w:t>
      </w:r>
    </w:p>
    <w:p w14:paraId="1D6E8631">
      <w:pPr>
        <w:keepNext w:val="0"/>
        <w:keepLines w:val="0"/>
        <w:pageBreakBefore w:val="0"/>
        <w:widowControl/>
        <w:numPr>
          <w:ilvl w:val="0"/>
          <w:numId w:val="0"/>
        </w:numPr>
        <w:kinsoku/>
        <w:wordWrap/>
        <w:overflowPunct/>
        <w:topLinePunct w:val="0"/>
        <w:autoSpaceDE/>
        <w:autoSpaceDN/>
        <w:bidi w:val="0"/>
        <w:adjustRightInd w:val="0"/>
        <w:snapToGrid w:val="0"/>
        <w:spacing w:line="560" w:lineRule="exact"/>
        <w:ind w:firstLine="640" w:firstLineChars="200"/>
        <w:contextualSpacing/>
        <w:jc w:val="both"/>
        <w:textAlignment w:val="auto"/>
        <w:outlineLvl w:val="9"/>
        <w:rPr>
          <w:rFonts w:hint="eastAsia" w:ascii="仿宋_GB2312" w:hAnsi="仿宋_GB2312" w:eastAsia="仿宋_GB2312" w:cs="仿宋_GB2312"/>
          <w:sz w:val="32"/>
          <w:lang w:eastAsia="zh-CN"/>
        </w:rPr>
      </w:pPr>
      <w:r>
        <w:rPr>
          <w:rFonts w:hint="eastAsia" w:ascii="仿宋_GB2312" w:hAnsi="仿宋_GB2312" w:eastAsia="仿宋_GB2312" w:cs="仿宋_GB2312"/>
          <w:sz w:val="32"/>
          <w:lang w:eastAsia="zh-CN"/>
        </w:rPr>
        <w:t>（2）贯彻落实中央、省、州、县关于实施脱贫攻坚、乡村振兴战略的决策部署，提升农业发展质量，加强农村人居环境整治，推进宜居乡村建设，增强乡村振兴内生动力。</w:t>
      </w:r>
    </w:p>
    <w:p w14:paraId="2E738294">
      <w:pPr>
        <w:keepNext w:val="0"/>
        <w:keepLines w:val="0"/>
        <w:pageBreakBefore w:val="0"/>
        <w:widowControl/>
        <w:numPr>
          <w:ilvl w:val="0"/>
          <w:numId w:val="0"/>
        </w:numPr>
        <w:kinsoku/>
        <w:wordWrap/>
        <w:overflowPunct/>
        <w:topLinePunct w:val="0"/>
        <w:autoSpaceDE/>
        <w:autoSpaceDN/>
        <w:bidi w:val="0"/>
        <w:adjustRightInd w:val="0"/>
        <w:snapToGrid w:val="0"/>
        <w:spacing w:line="560" w:lineRule="exact"/>
        <w:ind w:firstLine="640" w:firstLineChars="200"/>
        <w:contextualSpacing/>
        <w:jc w:val="both"/>
        <w:textAlignment w:val="auto"/>
        <w:outlineLvl w:val="9"/>
        <w:rPr>
          <w:rFonts w:hint="eastAsia" w:ascii="仿宋_GB2312" w:hAnsi="仿宋_GB2312" w:eastAsia="仿宋_GB2312" w:cs="仿宋_GB2312"/>
          <w:sz w:val="32"/>
          <w:lang w:eastAsia="zh-CN"/>
        </w:rPr>
      </w:pPr>
      <w:r>
        <w:rPr>
          <w:rFonts w:hint="eastAsia" w:ascii="仿宋_GB2312" w:hAnsi="仿宋_GB2312" w:eastAsia="仿宋_GB2312" w:cs="仿宋_GB2312"/>
          <w:sz w:val="32"/>
          <w:lang w:eastAsia="zh-CN"/>
        </w:rPr>
        <w:t>（3）指导农村经济发展，推动产业结构调整。保护各种经济组织的合法权益，营造良好的营商环境。</w:t>
      </w:r>
    </w:p>
    <w:p w14:paraId="3ADA07E8">
      <w:pPr>
        <w:keepNext w:val="0"/>
        <w:keepLines w:val="0"/>
        <w:pageBreakBefore w:val="0"/>
        <w:widowControl/>
        <w:numPr>
          <w:ilvl w:val="0"/>
          <w:numId w:val="0"/>
        </w:numPr>
        <w:kinsoku/>
        <w:wordWrap/>
        <w:overflowPunct/>
        <w:topLinePunct w:val="0"/>
        <w:autoSpaceDE/>
        <w:autoSpaceDN/>
        <w:bidi w:val="0"/>
        <w:adjustRightInd w:val="0"/>
        <w:snapToGrid w:val="0"/>
        <w:spacing w:line="560" w:lineRule="exact"/>
        <w:ind w:firstLine="640" w:firstLineChars="200"/>
        <w:contextualSpacing/>
        <w:jc w:val="both"/>
        <w:textAlignment w:val="auto"/>
        <w:outlineLvl w:val="9"/>
        <w:rPr>
          <w:rFonts w:hint="eastAsia" w:ascii="仿宋_GB2312" w:cs="仿宋_GB2312"/>
          <w:color w:val="000000"/>
          <w:kern w:val="0"/>
          <w:shd w:val="clear" w:color="auto" w:fill="FFFFFF"/>
        </w:rPr>
      </w:pPr>
      <w:r>
        <w:rPr>
          <w:rFonts w:hint="eastAsia" w:ascii="仿宋_GB2312" w:hAnsi="仿宋_GB2312" w:eastAsia="仿宋_GB2312" w:cs="仿宋_GB2312"/>
          <w:sz w:val="32"/>
          <w:lang w:eastAsia="zh-CN"/>
        </w:rPr>
        <w:t>（4）落实财政保障和财政管理有关政策，统筹管理本级财务及集体资产，协助做好税收征管工作，指导、监管村级财务和资产管理工作等。</w:t>
      </w:r>
    </w:p>
    <w:p w14:paraId="760AA7C4">
      <w:pPr>
        <w:keepNext w:val="0"/>
        <w:keepLines w:val="0"/>
        <w:pageBreakBefore w:val="0"/>
        <w:widowControl/>
        <w:kinsoku/>
        <w:wordWrap/>
        <w:overflowPunct/>
        <w:topLinePunct w:val="0"/>
        <w:autoSpaceDE/>
        <w:autoSpaceDN/>
        <w:bidi w:val="0"/>
        <w:adjustRightInd w:val="0"/>
        <w:snapToGrid w:val="0"/>
        <w:spacing w:line="560" w:lineRule="exact"/>
        <w:ind w:firstLine="643" w:firstLineChars="200"/>
        <w:jc w:val="both"/>
        <w:textAlignment w:val="auto"/>
        <w:rPr>
          <w:rFonts w:hint="eastAsia" w:ascii="仿宋_GB2312" w:cs="仿宋_GB2312"/>
          <w:b/>
          <w:bCs/>
          <w:color w:val="000000"/>
          <w:kern w:val="0"/>
          <w:shd w:val="clear" w:color="auto" w:fill="FFFFFF"/>
        </w:rPr>
      </w:pPr>
      <w:r>
        <w:rPr>
          <w:rFonts w:hint="eastAsia" w:ascii="仿宋_GB2312" w:cs="仿宋_GB2312"/>
          <w:b/>
          <w:bCs/>
          <w:color w:val="000000"/>
          <w:kern w:val="0"/>
          <w:shd w:val="clear" w:color="auto" w:fill="FFFFFF"/>
          <w:lang w:val="en-US" w:eastAsia="zh-CN"/>
        </w:rPr>
        <w:t>3.</w:t>
      </w:r>
      <w:r>
        <w:rPr>
          <w:rFonts w:hint="eastAsia" w:ascii="仿宋_GB2312" w:cs="仿宋_GB2312"/>
          <w:b/>
          <w:bCs/>
          <w:color w:val="000000"/>
          <w:kern w:val="0"/>
          <w:shd w:val="clear" w:color="auto" w:fill="FFFFFF"/>
        </w:rPr>
        <w:t>组织公共服务，着力改善民生</w:t>
      </w:r>
    </w:p>
    <w:p w14:paraId="23195BBD">
      <w:pPr>
        <w:keepNext w:val="0"/>
        <w:keepLines w:val="0"/>
        <w:pageBreakBefore w:val="0"/>
        <w:widowControl/>
        <w:numPr>
          <w:ilvl w:val="0"/>
          <w:numId w:val="0"/>
        </w:numPr>
        <w:kinsoku/>
        <w:wordWrap/>
        <w:overflowPunct/>
        <w:topLinePunct w:val="0"/>
        <w:autoSpaceDE/>
        <w:autoSpaceDN/>
        <w:bidi w:val="0"/>
        <w:adjustRightInd w:val="0"/>
        <w:snapToGrid w:val="0"/>
        <w:spacing w:line="560" w:lineRule="exact"/>
        <w:ind w:firstLine="640" w:firstLineChars="200"/>
        <w:contextualSpacing/>
        <w:jc w:val="both"/>
        <w:textAlignment w:val="auto"/>
        <w:outlineLvl w:val="9"/>
        <w:rPr>
          <w:rFonts w:hint="eastAsia" w:ascii="仿宋_GB2312" w:hAnsi="仿宋_GB2312" w:eastAsia="仿宋_GB2312" w:cs="仿宋_GB2312"/>
          <w:sz w:val="32"/>
          <w:lang w:eastAsia="zh-CN"/>
        </w:rPr>
      </w:pPr>
      <w:r>
        <w:rPr>
          <w:rFonts w:hint="eastAsia" w:ascii="仿宋_GB2312" w:hAnsi="仿宋_GB2312" w:eastAsia="仿宋_GB2312" w:cs="仿宋_GB2312"/>
          <w:sz w:val="32"/>
          <w:lang w:eastAsia="zh-CN"/>
        </w:rPr>
        <w:t>（1）加强</w:t>
      </w:r>
      <w:r>
        <w:rPr>
          <w:rFonts w:hint="eastAsia" w:ascii="仿宋_GB2312" w:hAnsi="仿宋_GB2312" w:eastAsia="仿宋_GB2312" w:cs="仿宋_GB2312"/>
          <w:sz w:val="32"/>
          <w:lang w:val="en-US" w:eastAsia="zh-CN"/>
        </w:rPr>
        <w:t>镇</w:t>
      </w:r>
      <w:r>
        <w:rPr>
          <w:rFonts w:hint="eastAsia" w:ascii="仿宋_GB2312" w:hAnsi="仿宋_GB2312" w:eastAsia="仿宋_GB2312" w:cs="仿宋_GB2312"/>
          <w:sz w:val="32"/>
          <w:lang w:eastAsia="zh-CN"/>
        </w:rPr>
        <w:t>综合便民服务平台标准化建设，做好村（社区）服务配套设施和综合服务平台建设，提升便民服务质量。</w:t>
      </w:r>
    </w:p>
    <w:p w14:paraId="6F97DC84">
      <w:pPr>
        <w:keepNext w:val="0"/>
        <w:keepLines w:val="0"/>
        <w:pageBreakBefore w:val="0"/>
        <w:widowControl/>
        <w:numPr>
          <w:ilvl w:val="0"/>
          <w:numId w:val="0"/>
        </w:numPr>
        <w:kinsoku/>
        <w:wordWrap/>
        <w:overflowPunct/>
        <w:topLinePunct w:val="0"/>
        <w:autoSpaceDE/>
        <w:autoSpaceDN/>
        <w:bidi w:val="0"/>
        <w:adjustRightInd w:val="0"/>
        <w:snapToGrid w:val="0"/>
        <w:spacing w:line="560" w:lineRule="exact"/>
        <w:ind w:firstLine="640" w:firstLineChars="200"/>
        <w:contextualSpacing/>
        <w:jc w:val="both"/>
        <w:textAlignment w:val="auto"/>
        <w:outlineLvl w:val="9"/>
        <w:rPr>
          <w:rFonts w:hint="eastAsia" w:ascii="仿宋_GB2312" w:cs="仿宋_GB2312"/>
          <w:color w:val="000000"/>
          <w:kern w:val="0"/>
          <w:shd w:val="clear" w:color="auto" w:fill="FFFFFF"/>
        </w:rPr>
      </w:pPr>
      <w:r>
        <w:rPr>
          <w:rFonts w:hint="eastAsia" w:ascii="仿宋_GB2312" w:hAnsi="仿宋_GB2312" w:eastAsia="仿宋_GB2312" w:cs="仿宋_GB2312"/>
          <w:sz w:val="32"/>
          <w:lang w:eastAsia="zh-CN"/>
        </w:rPr>
        <w:t>（2）负责教育体育、劳动就业、社会保障、卫生健康、计划生育、医疗保障、低保救助、助老助残、殡葬管理、文化旅游、民族宗教、移民搬迁、农技推广、农民工、妇女和未成年人保护等公共服务工作，承担组织领导、推进实施、综合协调等职责。</w:t>
      </w:r>
    </w:p>
    <w:p w14:paraId="126F12A5">
      <w:pPr>
        <w:keepNext w:val="0"/>
        <w:keepLines w:val="0"/>
        <w:pageBreakBefore w:val="0"/>
        <w:widowControl/>
        <w:kinsoku/>
        <w:wordWrap/>
        <w:overflowPunct/>
        <w:topLinePunct w:val="0"/>
        <w:autoSpaceDE/>
        <w:autoSpaceDN/>
        <w:bidi w:val="0"/>
        <w:adjustRightInd w:val="0"/>
        <w:snapToGrid w:val="0"/>
        <w:spacing w:line="560" w:lineRule="exact"/>
        <w:ind w:firstLine="643" w:firstLineChars="200"/>
        <w:jc w:val="both"/>
        <w:textAlignment w:val="auto"/>
        <w:rPr>
          <w:rFonts w:hint="eastAsia" w:ascii="仿宋_GB2312" w:cs="仿宋_GB2312"/>
          <w:b/>
          <w:bCs/>
          <w:color w:val="000000"/>
          <w:kern w:val="0"/>
          <w:shd w:val="clear" w:color="auto" w:fill="FFFFFF"/>
        </w:rPr>
      </w:pPr>
      <w:r>
        <w:rPr>
          <w:rFonts w:hint="eastAsia" w:ascii="仿宋_GB2312" w:cs="仿宋_GB2312"/>
          <w:b/>
          <w:bCs/>
          <w:color w:val="000000"/>
          <w:kern w:val="0"/>
          <w:shd w:val="clear" w:color="auto" w:fill="FFFFFF"/>
          <w:lang w:val="en-US" w:eastAsia="zh-CN"/>
        </w:rPr>
        <w:t>4.</w:t>
      </w:r>
      <w:r>
        <w:rPr>
          <w:rFonts w:hint="eastAsia" w:ascii="仿宋_GB2312" w:cs="仿宋_GB2312"/>
          <w:b/>
          <w:bCs/>
          <w:color w:val="000000"/>
          <w:kern w:val="0"/>
          <w:shd w:val="clear" w:color="auto" w:fill="FFFFFF"/>
        </w:rPr>
        <w:t>领导基层治理，维护社会治安</w:t>
      </w:r>
    </w:p>
    <w:p w14:paraId="54576810">
      <w:pPr>
        <w:keepNext w:val="0"/>
        <w:keepLines w:val="0"/>
        <w:pageBreakBefore w:val="0"/>
        <w:widowControl/>
        <w:numPr>
          <w:ilvl w:val="0"/>
          <w:numId w:val="0"/>
        </w:numPr>
        <w:kinsoku/>
        <w:wordWrap/>
        <w:overflowPunct/>
        <w:topLinePunct w:val="0"/>
        <w:autoSpaceDE/>
        <w:autoSpaceDN/>
        <w:bidi w:val="0"/>
        <w:adjustRightInd w:val="0"/>
        <w:snapToGrid w:val="0"/>
        <w:spacing w:line="560" w:lineRule="exact"/>
        <w:ind w:firstLine="640" w:firstLineChars="200"/>
        <w:contextualSpacing/>
        <w:jc w:val="both"/>
        <w:textAlignment w:val="auto"/>
        <w:outlineLvl w:val="9"/>
        <w:rPr>
          <w:rFonts w:hint="eastAsia" w:ascii="仿宋_GB2312" w:hAnsi="仿宋_GB2312" w:eastAsia="仿宋_GB2312" w:cs="仿宋_GB2312"/>
          <w:sz w:val="32"/>
          <w:lang w:eastAsia="zh-CN"/>
        </w:rPr>
      </w:pPr>
      <w:r>
        <w:rPr>
          <w:rFonts w:hint="eastAsia" w:ascii="仿宋_GB2312" w:hAnsi="仿宋_GB2312" w:eastAsia="仿宋_GB2312" w:cs="仿宋_GB2312"/>
          <w:sz w:val="32"/>
          <w:lang w:eastAsia="zh-CN"/>
        </w:rPr>
        <w:t>（1）负责辖区公共安全及安全生产监管、应急管理工作。构建公共安全防控体系，建立应对突发紧急事件的处理预案，做好安全生产、防汛、消防、森林（草原）防灭火、减灾救灾、防疫、气象灾害防御、食品药品安全、地质灾害防治等应急管理工作，加强监督检查、隐患排查，落实安全生产责任制。负责辖区内生态环境保护和自然资源管理等工作。</w:t>
      </w:r>
    </w:p>
    <w:p w14:paraId="22F4EA99">
      <w:pPr>
        <w:keepNext w:val="0"/>
        <w:keepLines w:val="0"/>
        <w:pageBreakBefore w:val="0"/>
        <w:widowControl/>
        <w:numPr>
          <w:ilvl w:val="0"/>
          <w:numId w:val="0"/>
        </w:numPr>
        <w:kinsoku/>
        <w:wordWrap/>
        <w:overflowPunct/>
        <w:topLinePunct w:val="0"/>
        <w:autoSpaceDE/>
        <w:autoSpaceDN/>
        <w:bidi w:val="0"/>
        <w:adjustRightInd w:val="0"/>
        <w:snapToGrid w:val="0"/>
        <w:spacing w:line="560" w:lineRule="exact"/>
        <w:ind w:firstLine="640" w:firstLineChars="200"/>
        <w:contextualSpacing/>
        <w:jc w:val="both"/>
        <w:textAlignment w:val="auto"/>
        <w:outlineLvl w:val="9"/>
        <w:rPr>
          <w:rFonts w:hint="eastAsia" w:ascii="仿宋_GB2312" w:hAnsi="仿宋_GB2312" w:eastAsia="仿宋_GB2312" w:cs="仿宋_GB2312"/>
          <w:sz w:val="32"/>
          <w:lang w:eastAsia="zh-CN"/>
        </w:rPr>
      </w:pPr>
      <w:r>
        <w:rPr>
          <w:rFonts w:hint="eastAsia" w:ascii="仿宋_GB2312" w:hAnsi="仿宋_GB2312" w:eastAsia="仿宋_GB2312" w:cs="仿宋_GB2312"/>
          <w:sz w:val="32"/>
          <w:lang w:eastAsia="zh-CN"/>
        </w:rPr>
        <w:t>（2）承担辖区社会治安综合治理工作，加强法制建设和社会治安综合治理。贯彻落实社会矛盾纠纷排查调处机制，及时化解辖区社会矛盾纠纷，确保社会稳定。协助司法机关开展打击各类刑事犯罪和禁毒、扫黑除恶等活动，稳妥处理突发性、群体性事件，确保人民群众生命财产安全。</w:t>
      </w:r>
    </w:p>
    <w:p w14:paraId="4D07BD9B">
      <w:pPr>
        <w:keepNext w:val="0"/>
        <w:keepLines w:val="0"/>
        <w:pageBreakBefore w:val="0"/>
        <w:widowControl/>
        <w:numPr>
          <w:ilvl w:val="0"/>
          <w:numId w:val="0"/>
        </w:numPr>
        <w:kinsoku/>
        <w:wordWrap/>
        <w:overflowPunct/>
        <w:topLinePunct w:val="0"/>
        <w:autoSpaceDE/>
        <w:autoSpaceDN/>
        <w:bidi w:val="0"/>
        <w:adjustRightInd w:val="0"/>
        <w:snapToGrid w:val="0"/>
        <w:spacing w:line="560" w:lineRule="exact"/>
        <w:ind w:firstLine="640" w:firstLineChars="200"/>
        <w:contextualSpacing/>
        <w:jc w:val="both"/>
        <w:textAlignment w:val="auto"/>
        <w:outlineLvl w:val="9"/>
        <w:rPr>
          <w:rFonts w:hint="eastAsia" w:ascii="仿宋_GB2312" w:hAnsi="仿宋_GB2312" w:eastAsia="仿宋_GB2312" w:cs="仿宋_GB2312"/>
          <w:sz w:val="32"/>
          <w:lang w:eastAsia="zh-CN"/>
        </w:rPr>
      </w:pPr>
      <w:r>
        <w:rPr>
          <w:rFonts w:hint="eastAsia" w:ascii="仿宋_GB2312" w:hAnsi="仿宋_GB2312" w:eastAsia="仿宋_GB2312" w:cs="仿宋_GB2312"/>
          <w:sz w:val="32"/>
          <w:lang w:eastAsia="zh-CN"/>
        </w:rPr>
        <w:t>（3）指导村民（居民）自治，促进社会组织健康发展，完善村规民约，增强社会自治功能。</w:t>
      </w:r>
    </w:p>
    <w:p w14:paraId="662EC78F">
      <w:pPr>
        <w:keepNext w:val="0"/>
        <w:keepLines w:val="0"/>
        <w:pageBreakBefore w:val="0"/>
        <w:widowControl/>
        <w:numPr>
          <w:ilvl w:val="0"/>
          <w:numId w:val="0"/>
        </w:numPr>
        <w:kinsoku/>
        <w:wordWrap/>
        <w:overflowPunct/>
        <w:topLinePunct w:val="0"/>
        <w:autoSpaceDE/>
        <w:autoSpaceDN/>
        <w:bidi w:val="0"/>
        <w:adjustRightInd w:val="0"/>
        <w:snapToGrid w:val="0"/>
        <w:spacing w:line="560" w:lineRule="exact"/>
        <w:ind w:firstLine="640" w:firstLineChars="200"/>
        <w:contextualSpacing/>
        <w:jc w:val="both"/>
        <w:textAlignment w:val="auto"/>
        <w:outlineLvl w:val="9"/>
        <w:rPr>
          <w:rFonts w:hint="eastAsia" w:ascii="仿宋_GB2312" w:hAnsi="仿宋_GB2312" w:eastAsia="仿宋_GB2312" w:cs="仿宋_GB2312"/>
          <w:sz w:val="32"/>
          <w:lang w:eastAsia="zh-CN"/>
        </w:rPr>
      </w:pPr>
      <w:r>
        <w:rPr>
          <w:rFonts w:hint="eastAsia" w:ascii="仿宋_GB2312" w:hAnsi="仿宋_GB2312" w:eastAsia="仿宋_GB2312" w:cs="仿宋_GB2312"/>
          <w:sz w:val="32"/>
          <w:lang w:eastAsia="zh-CN"/>
        </w:rPr>
        <w:t>（4）负责国防教育，承担国防动员、征兵、民兵预备役、双拥等工作。</w:t>
      </w:r>
    </w:p>
    <w:p w14:paraId="423EE189">
      <w:pPr>
        <w:keepNext w:val="0"/>
        <w:keepLines w:val="0"/>
        <w:pageBreakBefore w:val="0"/>
        <w:widowControl/>
        <w:numPr>
          <w:ilvl w:val="0"/>
          <w:numId w:val="0"/>
        </w:numPr>
        <w:kinsoku/>
        <w:wordWrap/>
        <w:overflowPunct/>
        <w:topLinePunct w:val="0"/>
        <w:autoSpaceDE/>
        <w:autoSpaceDN/>
        <w:bidi w:val="0"/>
        <w:adjustRightInd w:val="0"/>
        <w:snapToGrid w:val="0"/>
        <w:spacing w:line="560" w:lineRule="exact"/>
        <w:ind w:firstLine="640" w:firstLineChars="200"/>
        <w:contextualSpacing/>
        <w:jc w:val="both"/>
        <w:textAlignment w:val="auto"/>
        <w:outlineLvl w:val="9"/>
        <w:rPr>
          <w:rFonts w:hint="eastAsia" w:ascii="仿宋_GB2312" w:hAnsi="仿宋_GB2312" w:eastAsia="仿宋_GB2312" w:cs="仿宋_GB2312"/>
          <w:sz w:val="32"/>
          <w:lang w:eastAsia="zh-CN"/>
        </w:rPr>
      </w:pPr>
      <w:r>
        <w:rPr>
          <w:rFonts w:hint="eastAsia" w:ascii="仿宋_GB2312" w:hAnsi="仿宋_GB2312" w:eastAsia="仿宋_GB2312" w:cs="仿宋_GB2312"/>
          <w:sz w:val="32"/>
          <w:lang w:eastAsia="zh-CN"/>
        </w:rPr>
        <w:t>（5）保障各少数民族的合法</w:t>
      </w:r>
      <w:r>
        <w:rPr>
          <w:rFonts w:hint="eastAsia" w:ascii="仿宋_GB2312" w:hAnsi="仿宋_GB2312" w:cs="仿宋_GB2312"/>
          <w:sz w:val="32"/>
          <w:lang w:val="en-US" w:eastAsia="zh-CN"/>
        </w:rPr>
        <w:t>权利</w:t>
      </w:r>
      <w:r>
        <w:rPr>
          <w:rFonts w:hint="eastAsia" w:ascii="仿宋_GB2312" w:hAnsi="仿宋_GB2312" w:eastAsia="仿宋_GB2312" w:cs="仿宋_GB2312"/>
          <w:sz w:val="32"/>
          <w:lang w:eastAsia="zh-CN"/>
        </w:rPr>
        <w:t>和利益，尊重少数民族的风俗习惯，坚决与邪教组织斗争。</w:t>
      </w:r>
    </w:p>
    <w:p w14:paraId="1AB71722">
      <w:pPr>
        <w:keepNext w:val="0"/>
        <w:keepLines w:val="0"/>
        <w:pageBreakBefore w:val="0"/>
        <w:widowControl/>
        <w:numPr>
          <w:ilvl w:val="0"/>
          <w:numId w:val="0"/>
        </w:numPr>
        <w:kinsoku/>
        <w:wordWrap/>
        <w:overflowPunct/>
        <w:topLinePunct w:val="0"/>
        <w:autoSpaceDE/>
        <w:autoSpaceDN/>
        <w:bidi w:val="0"/>
        <w:adjustRightInd w:val="0"/>
        <w:snapToGrid w:val="0"/>
        <w:spacing w:line="560" w:lineRule="exact"/>
        <w:ind w:firstLine="640" w:firstLineChars="200"/>
        <w:contextualSpacing/>
        <w:jc w:val="both"/>
        <w:textAlignment w:val="auto"/>
        <w:outlineLvl w:val="9"/>
        <w:rPr>
          <w:rFonts w:hint="eastAsia" w:ascii="仿宋_GB2312" w:cs="仿宋_GB2312"/>
          <w:color w:val="000000"/>
          <w:kern w:val="0"/>
          <w:shd w:val="clear" w:color="auto" w:fill="FFFFFF"/>
        </w:rPr>
      </w:pPr>
      <w:r>
        <w:rPr>
          <w:rFonts w:hint="eastAsia" w:ascii="仿宋_GB2312" w:hAnsi="仿宋_GB2312" w:eastAsia="仿宋_GB2312" w:cs="仿宋_GB2312"/>
          <w:sz w:val="32"/>
          <w:lang w:eastAsia="zh-CN"/>
        </w:rPr>
        <w:t>（6）保障宪法和法律赋予妇女的男女平等、同工同酬和婚姻自由等各项权利。</w:t>
      </w:r>
    </w:p>
    <w:p w14:paraId="29281DBB">
      <w:pPr>
        <w:keepNext w:val="0"/>
        <w:keepLines w:val="0"/>
        <w:pageBreakBefore w:val="0"/>
        <w:widowControl/>
        <w:numPr>
          <w:ilvl w:val="0"/>
          <w:numId w:val="0"/>
        </w:numPr>
        <w:kinsoku/>
        <w:wordWrap/>
        <w:overflowPunct/>
        <w:topLinePunct w:val="0"/>
        <w:autoSpaceDE/>
        <w:autoSpaceDN/>
        <w:bidi w:val="0"/>
        <w:adjustRightInd w:val="0"/>
        <w:snapToGrid w:val="0"/>
        <w:spacing w:line="560" w:lineRule="exact"/>
        <w:ind w:firstLine="643" w:firstLineChars="200"/>
        <w:contextualSpacing/>
        <w:jc w:val="both"/>
        <w:textAlignment w:val="auto"/>
        <w:outlineLvl w:val="9"/>
        <w:rPr>
          <w:rFonts w:hint="default" w:ascii="Times New Roman" w:hAnsi="Times New Roman" w:eastAsia="楷体_GB2312" w:cs="Times New Roman"/>
          <w:b/>
          <w:bCs/>
          <w:color w:val="000000"/>
          <w:kern w:val="0"/>
          <w:szCs w:val="32"/>
          <w:highlight w:val="none"/>
          <w:shd w:val="clear" w:color="auto" w:fill="FFFFFF"/>
          <w:lang w:val="zh-CN"/>
        </w:rPr>
      </w:pPr>
      <w:r>
        <w:rPr>
          <w:rFonts w:hint="eastAsia" w:ascii="仿宋_GB2312" w:cs="仿宋_GB2312"/>
          <w:b/>
          <w:bCs/>
          <w:color w:val="000000"/>
          <w:kern w:val="0"/>
          <w:shd w:val="clear" w:color="auto" w:fill="FFFFFF"/>
          <w:lang w:val="en-US" w:eastAsia="zh-CN"/>
        </w:rPr>
        <w:t>5.</w:t>
      </w:r>
      <w:r>
        <w:rPr>
          <w:rFonts w:hint="eastAsia" w:ascii="仿宋_GB2312" w:cs="仿宋_GB2312"/>
          <w:b/>
          <w:bCs/>
          <w:color w:val="000000"/>
          <w:kern w:val="0"/>
          <w:shd w:val="clear" w:color="auto" w:fill="FFFFFF"/>
        </w:rPr>
        <w:t>完成法律、法规、规章规定和上级交办的其他事项。</w:t>
      </w:r>
    </w:p>
    <w:p w14:paraId="7AC2C8EB">
      <w:pPr>
        <w:keepNext w:val="0"/>
        <w:keepLines w:val="0"/>
        <w:pageBreakBefore w:val="0"/>
        <w:widowControl/>
        <w:numPr>
          <w:ilvl w:val="0"/>
          <w:numId w:val="1"/>
        </w:numPr>
        <w:kinsoku/>
        <w:wordWrap/>
        <w:overflowPunct/>
        <w:topLinePunct w:val="0"/>
        <w:autoSpaceDE/>
        <w:autoSpaceDN/>
        <w:bidi w:val="0"/>
        <w:adjustRightInd w:val="0"/>
        <w:snapToGrid w:val="0"/>
        <w:spacing w:line="560" w:lineRule="exact"/>
        <w:ind w:left="0" w:leftChars="0" w:firstLine="643" w:firstLineChars="200"/>
        <w:contextualSpacing/>
        <w:jc w:val="both"/>
        <w:textAlignment w:val="auto"/>
        <w:outlineLvl w:val="9"/>
        <w:rPr>
          <w:rFonts w:hint="eastAsia" w:eastAsia="楷体_GB2312" w:cs="Times New Roman"/>
          <w:b/>
          <w:bCs/>
          <w:color w:val="000000"/>
          <w:kern w:val="0"/>
          <w:szCs w:val="32"/>
          <w:highlight w:val="none"/>
          <w:shd w:val="clear" w:color="auto" w:fill="FFFFFF"/>
          <w:lang w:val="zh-CN"/>
        </w:rPr>
      </w:pPr>
      <w:r>
        <w:rPr>
          <w:rFonts w:hint="default" w:ascii="Times New Roman" w:hAnsi="Times New Roman" w:eastAsia="楷体_GB2312" w:cs="Times New Roman"/>
          <w:b/>
          <w:bCs/>
          <w:color w:val="000000"/>
          <w:kern w:val="0"/>
          <w:szCs w:val="32"/>
          <w:highlight w:val="none"/>
          <w:shd w:val="clear" w:color="auto" w:fill="FFFFFF"/>
          <w:lang w:val="zh-CN"/>
        </w:rPr>
        <w:t>人员概况</w:t>
      </w:r>
    </w:p>
    <w:p w14:paraId="7895C14A">
      <w:pPr>
        <w:keepNext w:val="0"/>
        <w:keepLines w:val="0"/>
        <w:pageBreakBefore w:val="0"/>
        <w:widowControl/>
        <w:numPr>
          <w:ilvl w:val="0"/>
          <w:numId w:val="0"/>
        </w:numPr>
        <w:kinsoku/>
        <w:wordWrap/>
        <w:overflowPunct/>
        <w:topLinePunct w:val="0"/>
        <w:autoSpaceDE/>
        <w:autoSpaceDN/>
        <w:bidi w:val="0"/>
        <w:adjustRightInd w:val="0"/>
        <w:snapToGrid w:val="0"/>
        <w:spacing w:line="560" w:lineRule="exact"/>
        <w:ind w:firstLine="640" w:firstLineChars="200"/>
        <w:contextualSpacing/>
        <w:jc w:val="both"/>
        <w:textAlignment w:val="auto"/>
        <w:outlineLvl w:val="9"/>
        <w:rPr>
          <w:rFonts w:hint="default" w:ascii="仿宋_GB2312" w:hAnsi="仿宋_GB2312" w:eastAsia="仿宋_GB2312" w:cs="仿宋_GB2312"/>
          <w:sz w:val="32"/>
          <w:lang w:val="en-US" w:eastAsia="zh-CN"/>
        </w:rPr>
      </w:pPr>
      <w:r>
        <w:rPr>
          <w:rFonts w:hint="default" w:ascii="仿宋_GB2312" w:hAnsi="仿宋_GB2312" w:eastAsia="仿宋_GB2312" w:cs="仿宋_GB2312"/>
          <w:sz w:val="32"/>
          <w:lang w:eastAsia="zh-CN"/>
        </w:rPr>
        <w:t>截至202</w:t>
      </w:r>
      <w:r>
        <w:rPr>
          <w:rFonts w:hint="eastAsia" w:ascii="仿宋_GB2312" w:hAnsi="仿宋_GB2312" w:eastAsia="仿宋_GB2312" w:cs="仿宋_GB2312"/>
          <w:sz w:val="32"/>
          <w:lang w:val="en-US" w:eastAsia="zh-CN"/>
        </w:rPr>
        <w:t>4</w:t>
      </w:r>
      <w:r>
        <w:rPr>
          <w:rFonts w:hint="default" w:ascii="仿宋_GB2312" w:hAnsi="仿宋_GB2312" w:eastAsia="仿宋_GB2312" w:cs="仿宋_GB2312"/>
          <w:sz w:val="32"/>
          <w:lang w:eastAsia="zh-CN"/>
        </w:rPr>
        <w:t>年末</w:t>
      </w:r>
      <w:r>
        <w:rPr>
          <w:rFonts w:hint="eastAsia" w:ascii="仿宋_GB2312" w:hAnsi="仿宋_GB2312" w:cs="仿宋_GB2312"/>
          <w:sz w:val="32"/>
          <w:lang w:eastAsia="zh-CN"/>
        </w:rPr>
        <w:t>芦花</w:t>
      </w:r>
      <w:r>
        <w:rPr>
          <w:rFonts w:hint="default" w:ascii="仿宋_GB2312" w:hAnsi="仿宋_GB2312" w:eastAsia="仿宋_GB2312" w:cs="仿宋_GB2312"/>
          <w:sz w:val="32"/>
          <w:lang w:eastAsia="zh-CN"/>
        </w:rPr>
        <w:t>镇</w:t>
      </w:r>
      <w:r>
        <w:rPr>
          <w:rFonts w:hint="eastAsia" w:ascii="仿宋_GB2312" w:hAnsi="仿宋_GB2312" w:cs="仿宋_GB2312"/>
          <w:sz w:val="32"/>
          <w:lang w:val="en-US" w:eastAsia="zh-CN"/>
        </w:rPr>
        <w:t>事业</w:t>
      </w:r>
      <w:r>
        <w:rPr>
          <w:rFonts w:hint="default" w:ascii="仿宋_GB2312" w:hAnsi="仿宋_GB2312" w:eastAsia="仿宋_GB2312" w:cs="仿宋_GB2312"/>
          <w:sz w:val="32"/>
          <w:lang w:eastAsia="zh-CN"/>
        </w:rPr>
        <w:t>编制</w:t>
      </w:r>
      <w:r>
        <w:rPr>
          <w:rFonts w:hint="eastAsia" w:ascii="仿宋_GB2312" w:hAnsi="仿宋_GB2312" w:cs="仿宋_GB2312"/>
          <w:sz w:val="32"/>
          <w:lang w:val="en-US" w:eastAsia="zh-CN"/>
        </w:rPr>
        <w:t>11</w:t>
      </w:r>
      <w:r>
        <w:rPr>
          <w:rFonts w:hint="default" w:ascii="仿宋_GB2312" w:hAnsi="仿宋_GB2312" w:eastAsia="仿宋_GB2312" w:cs="仿宋_GB2312"/>
          <w:sz w:val="32"/>
          <w:lang w:eastAsia="zh-CN"/>
        </w:rPr>
        <w:t>名</w:t>
      </w:r>
      <w:r>
        <w:rPr>
          <w:rFonts w:hint="eastAsia" w:ascii="仿宋_GB2312" w:hAnsi="仿宋_GB2312" w:cs="仿宋_GB2312"/>
          <w:sz w:val="32"/>
          <w:lang w:eastAsia="zh-CN"/>
        </w:rPr>
        <w:t>。</w:t>
      </w:r>
      <w:r>
        <w:rPr>
          <w:rFonts w:hint="default" w:ascii="仿宋_GB2312" w:hAnsi="仿宋_GB2312" w:eastAsia="仿宋_GB2312" w:cs="仿宋_GB2312"/>
          <w:sz w:val="32"/>
          <w:lang w:eastAsia="zh-CN"/>
        </w:rPr>
        <w:t>在职</w:t>
      </w:r>
      <w:r>
        <w:rPr>
          <w:rFonts w:hint="eastAsia" w:ascii="仿宋_GB2312" w:hAnsi="仿宋_GB2312" w:cs="仿宋_GB2312"/>
          <w:sz w:val="32"/>
          <w:lang w:val="en-US" w:eastAsia="zh-CN"/>
        </w:rPr>
        <w:t>事业</w:t>
      </w:r>
      <w:r>
        <w:rPr>
          <w:rFonts w:hint="default" w:ascii="仿宋_GB2312" w:hAnsi="仿宋_GB2312" w:eastAsia="仿宋_GB2312" w:cs="仿宋_GB2312"/>
          <w:sz w:val="32"/>
          <w:lang w:eastAsia="zh-CN"/>
        </w:rPr>
        <w:t>人员总数</w:t>
      </w:r>
      <w:r>
        <w:rPr>
          <w:rFonts w:hint="eastAsia" w:ascii="仿宋_GB2312" w:hAnsi="仿宋_GB2312" w:cs="仿宋_GB2312"/>
          <w:sz w:val="32"/>
          <w:lang w:val="en-US" w:eastAsia="zh-CN"/>
        </w:rPr>
        <w:t>15</w:t>
      </w:r>
      <w:r>
        <w:rPr>
          <w:rFonts w:hint="default" w:ascii="仿宋_GB2312" w:hAnsi="仿宋_GB2312" w:eastAsia="仿宋_GB2312" w:cs="仿宋_GB2312"/>
          <w:sz w:val="32"/>
          <w:lang w:eastAsia="zh-CN"/>
        </w:rPr>
        <w:t>人，</w:t>
      </w:r>
      <w:r>
        <w:rPr>
          <w:rFonts w:hint="eastAsia" w:ascii="仿宋_GB2312" w:hAnsi="仿宋_GB2312" w:eastAsia="仿宋_GB2312" w:cs="仿宋_GB2312"/>
          <w:sz w:val="32"/>
          <w:lang w:eastAsia="zh-CN"/>
        </w:rPr>
        <w:t>其中</w:t>
      </w:r>
      <w:r>
        <w:rPr>
          <w:rFonts w:hint="eastAsia" w:ascii="仿宋_GB2312" w:hAnsi="仿宋_GB2312" w:cs="仿宋_GB2312"/>
          <w:sz w:val="32"/>
          <w:lang w:val="en-US" w:eastAsia="zh-CN"/>
        </w:rPr>
        <w:t>事业单位</w:t>
      </w:r>
      <w:r>
        <w:rPr>
          <w:rFonts w:hint="eastAsia" w:ascii="仿宋_GB2312" w:hAnsi="仿宋_GB2312" w:eastAsia="仿宋_GB2312" w:cs="仿宋_GB2312"/>
          <w:sz w:val="32"/>
          <w:lang w:val="en-US" w:eastAsia="zh-CN"/>
        </w:rPr>
        <w:t>4人编制为文</w:t>
      </w:r>
      <w:r>
        <w:rPr>
          <w:rFonts w:hint="eastAsia" w:ascii="仿宋_GB2312" w:hAnsi="仿宋_GB2312" w:cs="仿宋_GB2312"/>
          <w:sz w:val="32"/>
          <w:lang w:val="en-US" w:eastAsia="zh-CN"/>
        </w:rPr>
        <w:t>广旅</w:t>
      </w:r>
      <w:r>
        <w:rPr>
          <w:rFonts w:hint="eastAsia" w:ascii="仿宋_GB2312" w:hAnsi="仿宋_GB2312" w:eastAsia="仿宋_GB2312" w:cs="仿宋_GB2312"/>
          <w:sz w:val="32"/>
          <w:lang w:val="en-US" w:eastAsia="zh-CN"/>
        </w:rPr>
        <w:t>局编制，人员经费及管理为我镇统一管理</w:t>
      </w:r>
      <w:r>
        <w:rPr>
          <w:rFonts w:hint="eastAsia" w:ascii="仿宋_GB2312" w:hAnsi="仿宋_GB2312" w:cs="仿宋_GB2312"/>
          <w:sz w:val="32"/>
          <w:lang w:val="en-US" w:eastAsia="zh-CN"/>
        </w:rPr>
        <w:t>。</w:t>
      </w:r>
    </w:p>
    <w:p w14:paraId="1F6A7E71">
      <w:pPr>
        <w:keepNext w:val="0"/>
        <w:keepLines w:val="0"/>
        <w:pageBreakBefore w:val="0"/>
        <w:widowControl/>
        <w:kinsoku/>
        <w:wordWrap/>
        <w:overflowPunct/>
        <w:topLinePunct w:val="0"/>
        <w:autoSpaceDE/>
        <w:autoSpaceDN/>
        <w:bidi w:val="0"/>
        <w:adjustRightInd w:val="0"/>
        <w:snapToGrid w:val="0"/>
        <w:spacing w:line="560" w:lineRule="exact"/>
        <w:ind w:firstLine="640" w:firstLineChars="200"/>
        <w:contextualSpacing/>
        <w:jc w:val="both"/>
        <w:textAlignment w:val="auto"/>
        <w:outlineLvl w:val="9"/>
        <w:rPr>
          <w:rFonts w:hint="default" w:ascii="Times New Roman" w:hAnsi="Times New Roman" w:eastAsia="黑体" w:cs="Times New Roman"/>
          <w:color w:val="000000"/>
          <w:kern w:val="0"/>
          <w:szCs w:val="32"/>
          <w:highlight w:val="none"/>
          <w:shd w:val="clear" w:color="auto" w:fill="FFFFFF"/>
        </w:rPr>
      </w:pPr>
      <w:r>
        <w:rPr>
          <w:rFonts w:hint="default" w:ascii="Times New Roman" w:hAnsi="Times New Roman" w:eastAsia="黑体" w:cs="Times New Roman"/>
          <w:color w:val="000000"/>
          <w:kern w:val="0"/>
          <w:szCs w:val="32"/>
          <w:highlight w:val="none"/>
          <w:shd w:val="clear" w:color="auto" w:fill="FFFFFF"/>
        </w:rPr>
        <w:t>二、</w:t>
      </w:r>
      <w:r>
        <w:rPr>
          <w:rFonts w:hint="default" w:ascii="Times New Roman" w:hAnsi="Times New Roman" w:eastAsia="黑体" w:cs="Times New Roman"/>
          <w:color w:val="000000"/>
          <w:kern w:val="0"/>
          <w:szCs w:val="32"/>
          <w:highlight w:val="none"/>
          <w:shd w:val="clear" w:color="auto" w:fill="FFFFFF"/>
          <w:lang w:eastAsia="zh-CN"/>
        </w:rPr>
        <w:t>部门</w:t>
      </w:r>
      <w:r>
        <w:rPr>
          <w:rFonts w:hint="default" w:ascii="Times New Roman" w:hAnsi="Times New Roman" w:eastAsia="黑体" w:cs="Times New Roman"/>
          <w:color w:val="000000"/>
          <w:kern w:val="0"/>
          <w:szCs w:val="32"/>
          <w:highlight w:val="none"/>
          <w:shd w:val="clear" w:color="auto" w:fill="FFFFFF"/>
        </w:rPr>
        <w:t>资金收支情况</w:t>
      </w:r>
    </w:p>
    <w:p w14:paraId="2E6D1983">
      <w:pPr>
        <w:keepNext w:val="0"/>
        <w:keepLines w:val="0"/>
        <w:pageBreakBefore w:val="0"/>
        <w:widowControl/>
        <w:kinsoku/>
        <w:wordWrap/>
        <w:overflowPunct/>
        <w:topLinePunct w:val="0"/>
        <w:autoSpaceDE/>
        <w:autoSpaceDN/>
        <w:bidi w:val="0"/>
        <w:adjustRightInd w:val="0"/>
        <w:snapToGrid w:val="0"/>
        <w:spacing w:line="560" w:lineRule="exact"/>
        <w:ind w:firstLine="643" w:firstLineChars="200"/>
        <w:contextualSpacing/>
        <w:jc w:val="both"/>
        <w:textAlignment w:val="auto"/>
        <w:outlineLvl w:val="9"/>
        <w:rPr>
          <w:rFonts w:hint="default" w:ascii="Times New Roman" w:hAnsi="Times New Roman" w:eastAsia="楷体_GB2312" w:cs="Times New Roman"/>
          <w:b/>
          <w:bCs/>
          <w:color w:val="000000"/>
          <w:kern w:val="0"/>
          <w:szCs w:val="32"/>
          <w:highlight w:val="none"/>
          <w:shd w:val="clear" w:color="auto" w:fill="FFFFFF"/>
          <w:lang w:val="zh-CN"/>
        </w:rPr>
      </w:pPr>
      <w:r>
        <w:rPr>
          <w:rFonts w:hint="default" w:ascii="Times New Roman" w:hAnsi="Times New Roman" w:eastAsia="楷体_GB2312" w:cs="Times New Roman"/>
          <w:b/>
          <w:bCs/>
          <w:color w:val="000000"/>
          <w:kern w:val="0"/>
          <w:szCs w:val="32"/>
          <w:highlight w:val="none"/>
          <w:shd w:val="clear" w:color="auto" w:fill="FFFFFF"/>
          <w:lang w:val="zh-CN"/>
        </w:rPr>
        <w:t>（一）</w:t>
      </w:r>
      <w:r>
        <w:rPr>
          <w:rFonts w:hint="eastAsia" w:eastAsia="楷体_GB2312" w:cs="Times New Roman"/>
          <w:b/>
          <w:bCs/>
          <w:color w:val="000000"/>
          <w:kern w:val="0"/>
          <w:szCs w:val="32"/>
          <w:highlight w:val="none"/>
          <w:shd w:val="clear" w:color="auto" w:fill="FFFFFF"/>
          <w:lang w:val="zh-CN"/>
        </w:rPr>
        <w:t>收入情况</w:t>
      </w:r>
    </w:p>
    <w:p w14:paraId="2D91A37E">
      <w:pPr>
        <w:keepNext w:val="0"/>
        <w:keepLines w:val="0"/>
        <w:pageBreakBefore w:val="0"/>
        <w:widowControl/>
        <w:numPr>
          <w:ilvl w:val="0"/>
          <w:numId w:val="0"/>
        </w:numPr>
        <w:kinsoku/>
        <w:wordWrap/>
        <w:overflowPunct/>
        <w:topLinePunct w:val="0"/>
        <w:autoSpaceDE/>
        <w:autoSpaceDN/>
        <w:bidi w:val="0"/>
        <w:adjustRightInd w:val="0"/>
        <w:snapToGrid w:val="0"/>
        <w:spacing w:line="560" w:lineRule="exact"/>
        <w:ind w:firstLine="640" w:firstLineChars="200"/>
        <w:contextualSpacing/>
        <w:jc w:val="both"/>
        <w:textAlignment w:val="auto"/>
        <w:outlineLvl w:val="9"/>
        <w:rPr>
          <w:rFonts w:hint="default" w:ascii="Times New Roman" w:hAnsi="Times New Roman" w:eastAsia="楷体_GB2312" w:cs="Times New Roman"/>
          <w:b/>
          <w:bCs/>
          <w:color w:val="000000"/>
          <w:kern w:val="0"/>
          <w:szCs w:val="32"/>
          <w:highlight w:val="none"/>
          <w:shd w:val="clear" w:color="auto" w:fill="FFFFFF"/>
          <w:lang w:val="en-US"/>
        </w:rPr>
      </w:pPr>
      <w:r>
        <w:rPr>
          <w:rFonts w:hint="eastAsia" w:ascii="仿宋_GB2312" w:hAnsi="仿宋_GB2312" w:eastAsia="仿宋_GB2312" w:cs="仿宋_GB2312"/>
          <w:sz w:val="32"/>
          <w:lang w:eastAsia="zh-CN"/>
        </w:rPr>
        <w:t>本单位本年度收入调整预算数</w:t>
      </w:r>
      <w:r>
        <w:rPr>
          <w:rFonts w:hint="eastAsia" w:ascii="仿宋_GB2312" w:hAnsi="仿宋_GB2312" w:cs="仿宋_GB2312"/>
          <w:sz w:val="32"/>
          <w:lang w:val="en-US" w:eastAsia="zh-CN"/>
        </w:rPr>
        <w:t>396.55</w:t>
      </w:r>
      <w:r>
        <w:rPr>
          <w:rFonts w:hint="eastAsia" w:ascii="仿宋_GB2312" w:hAnsi="仿宋_GB2312" w:eastAsia="仿宋_GB2312" w:cs="仿宋_GB2312"/>
          <w:sz w:val="32"/>
          <w:lang w:eastAsia="zh-CN"/>
        </w:rPr>
        <w:t>万</w:t>
      </w:r>
      <w:r>
        <w:rPr>
          <w:rFonts w:hint="eastAsia" w:ascii="仿宋_GB2312" w:hAnsi="仿宋_GB2312" w:cs="仿宋_GB2312"/>
          <w:sz w:val="32"/>
          <w:lang w:eastAsia="zh-CN"/>
        </w:rPr>
        <w:t>，</w:t>
      </w:r>
      <w:r>
        <w:rPr>
          <w:rFonts w:hint="eastAsia" w:ascii="仿宋_GB2312" w:hAnsi="仿宋_GB2312" w:eastAsia="仿宋_GB2312" w:cs="仿宋_GB2312"/>
          <w:sz w:val="32"/>
          <w:lang w:eastAsia="zh-CN"/>
        </w:rPr>
        <w:t>收入决算数为</w:t>
      </w:r>
      <w:r>
        <w:rPr>
          <w:rFonts w:hint="eastAsia" w:ascii="仿宋_GB2312" w:hAnsi="仿宋_GB2312" w:cs="仿宋_GB2312"/>
          <w:sz w:val="32"/>
          <w:lang w:val="en-US" w:eastAsia="zh-CN"/>
        </w:rPr>
        <w:t>396.55</w:t>
      </w:r>
      <w:r>
        <w:rPr>
          <w:rFonts w:hint="eastAsia" w:ascii="仿宋_GB2312" w:hAnsi="仿宋_GB2312" w:eastAsia="仿宋_GB2312" w:cs="仿宋_GB2312"/>
          <w:sz w:val="32"/>
          <w:lang w:eastAsia="zh-CN"/>
        </w:rPr>
        <w:t>万元，预算完成度为100.00%。本年度支出调整预算数为</w:t>
      </w:r>
      <w:r>
        <w:rPr>
          <w:rFonts w:hint="eastAsia" w:ascii="仿宋_GB2312" w:hAnsi="仿宋_GB2312" w:cs="仿宋_GB2312"/>
          <w:sz w:val="32"/>
          <w:lang w:val="en-US" w:eastAsia="zh-CN"/>
        </w:rPr>
        <w:t>396.55</w:t>
      </w:r>
      <w:r>
        <w:rPr>
          <w:rFonts w:hint="eastAsia" w:ascii="仿宋_GB2312" w:hAnsi="仿宋_GB2312" w:eastAsia="仿宋_GB2312" w:cs="仿宋_GB2312"/>
          <w:sz w:val="32"/>
          <w:lang w:eastAsia="zh-CN"/>
        </w:rPr>
        <w:t>万元，支出决算数为</w:t>
      </w:r>
      <w:r>
        <w:rPr>
          <w:rFonts w:hint="eastAsia" w:ascii="仿宋_GB2312" w:hAnsi="仿宋_GB2312" w:cs="仿宋_GB2312"/>
          <w:sz w:val="32"/>
          <w:lang w:val="en-US" w:eastAsia="zh-CN"/>
        </w:rPr>
        <w:t>396.55</w:t>
      </w:r>
      <w:r>
        <w:rPr>
          <w:rFonts w:hint="eastAsia" w:ascii="仿宋_GB2312" w:hAnsi="仿宋_GB2312" w:eastAsia="仿宋_GB2312" w:cs="仿宋_GB2312"/>
          <w:sz w:val="32"/>
          <w:lang w:eastAsia="zh-CN"/>
        </w:rPr>
        <w:t>万元，预算支出完成度为100.00%。</w:t>
      </w:r>
    </w:p>
    <w:p w14:paraId="05AADF86">
      <w:pPr>
        <w:keepNext w:val="0"/>
        <w:keepLines w:val="0"/>
        <w:pageBreakBefore w:val="0"/>
        <w:widowControl/>
        <w:numPr>
          <w:ilvl w:val="0"/>
          <w:numId w:val="0"/>
        </w:numPr>
        <w:kinsoku/>
        <w:wordWrap/>
        <w:overflowPunct/>
        <w:topLinePunct w:val="0"/>
        <w:autoSpaceDE/>
        <w:autoSpaceDN/>
        <w:bidi w:val="0"/>
        <w:adjustRightInd w:val="0"/>
        <w:snapToGrid w:val="0"/>
        <w:spacing w:line="560" w:lineRule="exact"/>
        <w:ind w:firstLine="643" w:firstLineChars="200"/>
        <w:contextualSpacing/>
        <w:jc w:val="both"/>
        <w:textAlignment w:val="auto"/>
        <w:outlineLvl w:val="9"/>
        <w:rPr>
          <w:rFonts w:hint="default"/>
          <w:lang w:val="en-US" w:eastAsia="zh-CN"/>
        </w:rPr>
      </w:pPr>
      <w:r>
        <w:rPr>
          <w:rFonts w:hint="eastAsia" w:eastAsia="楷体_GB2312" w:cs="Times New Roman"/>
          <w:b/>
          <w:bCs/>
          <w:color w:val="000000"/>
          <w:kern w:val="0"/>
          <w:szCs w:val="32"/>
          <w:highlight w:val="none"/>
          <w:shd w:val="clear" w:color="auto" w:fill="FFFFFF"/>
          <w:lang w:val="zh-CN"/>
        </w:rPr>
        <w:t>（二）支出情况</w:t>
      </w:r>
    </w:p>
    <w:p w14:paraId="76BBFB11">
      <w:pPr>
        <w:keepNext w:val="0"/>
        <w:keepLines w:val="0"/>
        <w:pageBreakBefore w:val="0"/>
        <w:widowControl/>
        <w:numPr>
          <w:ilvl w:val="0"/>
          <w:numId w:val="0"/>
        </w:numPr>
        <w:kinsoku/>
        <w:wordWrap/>
        <w:overflowPunct/>
        <w:topLinePunct w:val="0"/>
        <w:autoSpaceDE/>
        <w:autoSpaceDN/>
        <w:bidi w:val="0"/>
        <w:adjustRightInd w:val="0"/>
        <w:snapToGrid w:val="0"/>
        <w:spacing w:line="560" w:lineRule="exact"/>
        <w:ind w:firstLine="640" w:firstLineChars="200"/>
        <w:contextualSpacing/>
        <w:jc w:val="both"/>
        <w:textAlignment w:val="auto"/>
        <w:outlineLvl w:val="9"/>
        <w:rPr>
          <w:rFonts w:hint="eastAsia" w:ascii="仿宋_GB2312" w:hAnsi="仿宋_GB2312" w:eastAsia="仿宋_GB2312" w:cs="仿宋_GB2312"/>
          <w:sz w:val="32"/>
          <w:lang w:eastAsia="zh-CN"/>
        </w:rPr>
      </w:pPr>
      <w:r>
        <w:rPr>
          <w:rFonts w:hint="eastAsia" w:ascii="仿宋_GB2312" w:hAnsi="仿宋_GB2312" w:eastAsia="仿宋_GB2312" w:cs="仿宋_GB2312"/>
          <w:sz w:val="32"/>
          <w:lang w:eastAsia="zh-CN"/>
        </w:rPr>
        <w:t>本单位本年度总收入为</w:t>
      </w:r>
      <w:r>
        <w:rPr>
          <w:rFonts w:hint="eastAsia" w:ascii="仿宋_GB2312" w:hAnsi="仿宋_GB2312" w:cs="仿宋_GB2312"/>
          <w:sz w:val="32"/>
          <w:lang w:val="en-US" w:eastAsia="zh-CN"/>
        </w:rPr>
        <w:t>396.55</w:t>
      </w:r>
      <w:r>
        <w:rPr>
          <w:rFonts w:hint="eastAsia" w:ascii="仿宋_GB2312" w:hAnsi="仿宋_GB2312" w:eastAsia="仿宋_GB2312" w:cs="仿宋_GB2312"/>
          <w:sz w:val="32"/>
          <w:lang w:eastAsia="zh-CN"/>
        </w:rPr>
        <w:t>万元。其中：一般公共预算财政拨款收入为</w:t>
      </w:r>
      <w:r>
        <w:rPr>
          <w:rFonts w:hint="eastAsia" w:ascii="仿宋_GB2312" w:hAnsi="仿宋_GB2312" w:cs="仿宋_GB2312"/>
          <w:sz w:val="32"/>
          <w:lang w:val="en-US" w:eastAsia="zh-CN"/>
        </w:rPr>
        <w:t>396.55</w:t>
      </w:r>
      <w:r>
        <w:rPr>
          <w:rFonts w:hint="eastAsia" w:ascii="仿宋_GB2312" w:hAnsi="仿宋_GB2312" w:eastAsia="仿宋_GB2312" w:cs="仿宋_GB2312"/>
          <w:sz w:val="32"/>
          <w:lang w:eastAsia="zh-CN"/>
        </w:rPr>
        <w:t>万元，</w:t>
      </w:r>
      <w:r>
        <w:rPr>
          <w:rFonts w:hint="eastAsia" w:ascii="仿宋_GB2312" w:hAnsi="仿宋_GB2312" w:eastAsia="仿宋_GB2312" w:cs="仿宋_GB2312"/>
          <w:sz w:val="32"/>
          <w:highlight w:val="none"/>
          <w:lang w:eastAsia="zh-CN"/>
        </w:rPr>
        <w:t>占比</w:t>
      </w:r>
      <w:r>
        <w:rPr>
          <w:rFonts w:hint="eastAsia" w:ascii="仿宋_GB2312" w:hAnsi="仿宋_GB2312" w:cs="仿宋_GB2312"/>
          <w:sz w:val="32"/>
          <w:highlight w:val="none"/>
          <w:lang w:val="en-US" w:eastAsia="zh-CN"/>
        </w:rPr>
        <w:t>100</w:t>
      </w:r>
      <w:r>
        <w:rPr>
          <w:rFonts w:hint="eastAsia" w:ascii="仿宋_GB2312" w:hAnsi="仿宋_GB2312" w:eastAsia="仿宋_GB2312" w:cs="仿宋_GB2312"/>
          <w:sz w:val="32"/>
          <w:highlight w:val="none"/>
          <w:lang w:eastAsia="zh-CN"/>
        </w:rPr>
        <w:t>%；政府性基金预算财政拨款收入为0.00万元，占比0.00%；国有资本经营预算财政拨款收入为</w:t>
      </w:r>
      <w:r>
        <w:rPr>
          <w:rFonts w:hint="eastAsia" w:ascii="仿宋_GB2312" w:hAnsi="仿宋_GB2312" w:cs="仿宋_GB2312"/>
          <w:sz w:val="32"/>
          <w:highlight w:val="none"/>
          <w:lang w:val="en-US" w:eastAsia="zh-CN"/>
        </w:rPr>
        <w:t>0</w:t>
      </w:r>
      <w:r>
        <w:rPr>
          <w:rFonts w:hint="eastAsia" w:ascii="仿宋_GB2312" w:hAnsi="仿宋_GB2312" w:eastAsia="仿宋_GB2312" w:cs="仿宋_GB2312"/>
          <w:sz w:val="32"/>
          <w:highlight w:val="none"/>
          <w:lang w:eastAsia="zh-CN"/>
        </w:rPr>
        <w:t>万元，占比0.0</w:t>
      </w:r>
      <w:r>
        <w:rPr>
          <w:rFonts w:hint="eastAsia" w:ascii="仿宋_GB2312" w:hAnsi="仿宋_GB2312" w:cs="仿宋_GB2312"/>
          <w:sz w:val="32"/>
          <w:highlight w:val="none"/>
          <w:lang w:val="en-US" w:eastAsia="zh-CN"/>
        </w:rPr>
        <w:t>0</w:t>
      </w:r>
      <w:r>
        <w:rPr>
          <w:rFonts w:hint="eastAsia" w:ascii="仿宋_GB2312" w:hAnsi="仿宋_GB2312" w:eastAsia="仿宋_GB2312" w:cs="仿宋_GB2312"/>
          <w:sz w:val="32"/>
          <w:highlight w:val="none"/>
          <w:lang w:eastAsia="zh-CN"/>
        </w:rPr>
        <w:t>%；上级补助收入为0.00万元，占比0.00%；事业收入为0.00万元，占比</w:t>
      </w:r>
      <w:r>
        <w:rPr>
          <w:rFonts w:hint="eastAsia" w:ascii="仿宋_GB2312" w:hAnsi="仿宋_GB2312" w:eastAsia="仿宋_GB2312" w:cs="仿宋_GB2312"/>
          <w:sz w:val="32"/>
          <w:lang w:eastAsia="zh-CN"/>
        </w:rPr>
        <w:t>0.00%；经营收入为0.00万元，占比0.00%；附属单位上缴收入为0.00万元，占比0.00%；其他收入为0.00万元，占比0.00%。</w:t>
      </w:r>
    </w:p>
    <w:p w14:paraId="585FCD06">
      <w:pPr>
        <w:keepNext w:val="0"/>
        <w:keepLines w:val="0"/>
        <w:pageBreakBefore w:val="0"/>
        <w:widowControl/>
        <w:numPr>
          <w:ilvl w:val="0"/>
          <w:numId w:val="0"/>
        </w:numPr>
        <w:kinsoku/>
        <w:wordWrap/>
        <w:overflowPunct/>
        <w:topLinePunct w:val="0"/>
        <w:autoSpaceDE/>
        <w:autoSpaceDN/>
        <w:bidi w:val="0"/>
        <w:adjustRightInd w:val="0"/>
        <w:snapToGrid w:val="0"/>
        <w:spacing w:line="560" w:lineRule="exact"/>
        <w:ind w:firstLine="640" w:firstLineChars="200"/>
        <w:contextualSpacing/>
        <w:jc w:val="both"/>
        <w:textAlignment w:val="auto"/>
        <w:outlineLvl w:val="9"/>
        <w:rPr>
          <w:rFonts w:hint="eastAsia" w:ascii="仿宋_GB2312" w:eastAsia="仿宋_GB2312"/>
          <w:sz w:val="32"/>
          <w:szCs w:val="32"/>
          <w:highlight w:val="none"/>
        </w:rPr>
      </w:pPr>
      <w:r>
        <w:rPr>
          <w:rFonts w:hint="eastAsia" w:ascii="仿宋_GB2312" w:hAnsi="仿宋_GB2312" w:eastAsia="仿宋_GB2312" w:cs="仿宋_GB2312"/>
          <w:sz w:val="32"/>
          <w:lang w:eastAsia="zh-CN"/>
        </w:rPr>
        <w:t>本年度总支出为</w:t>
      </w:r>
      <w:r>
        <w:rPr>
          <w:rFonts w:hint="eastAsia" w:ascii="仿宋_GB2312" w:hAnsi="仿宋_GB2312" w:cs="仿宋_GB2312"/>
          <w:sz w:val="32"/>
          <w:lang w:val="en-US" w:eastAsia="zh-CN"/>
        </w:rPr>
        <w:t>396.55</w:t>
      </w:r>
      <w:r>
        <w:rPr>
          <w:rFonts w:hint="eastAsia" w:ascii="仿宋_GB2312" w:hAnsi="仿宋_GB2312" w:eastAsia="仿宋_GB2312" w:cs="仿宋_GB2312"/>
          <w:sz w:val="32"/>
          <w:lang w:eastAsia="zh-CN"/>
        </w:rPr>
        <w:t>万元。其中：一般公共服务支出</w:t>
      </w:r>
      <w:r>
        <w:rPr>
          <w:rFonts w:hint="eastAsia" w:ascii="仿宋_GB2312" w:hAnsi="仿宋_GB2312" w:cs="仿宋_GB2312"/>
          <w:sz w:val="32"/>
          <w:lang w:val="en-US" w:eastAsia="zh-CN"/>
        </w:rPr>
        <w:t>0</w:t>
      </w:r>
      <w:r>
        <w:rPr>
          <w:rFonts w:hint="eastAsia" w:ascii="仿宋_GB2312" w:hAnsi="仿宋_GB2312" w:eastAsia="仿宋_GB2312" w:cs="仿宋_GB2312"/>
          <w:sz w:val="32"/>
          <w:lang w:val="en-US" w:eastAsia="zh-CN"/>
        </w:rPr>
        <w:t>万</w:t>
      </w:r>
      <w:r>
        <w:rPr>
          <w:rFonts w:hint="eastAsia" w:ascii="仿宋_GB2312" w:hAnsi="仿宋_GB2312" w:eastAsia="仿宋_GB2312" w:cs="仿宋_GB2312"/>
          <w:sz w:val="32"/>
          <w:highlight w:val="none"/>
          <w:lang w:val="en-US" w:eastAsia="zh-CN"/>
        </w:rPr>
        <w:t>元，占比</w:t>
      </w:r>
      <w:r>
        <w:rPr>
          <w:rFonts w:hint="eastAsia" w:ascii="仿宋_GB2312" w:hAnsi="仿宋_GB2312" w:cs="仿宋_GB2312"/>
          <w:sz w:val="32"/>
          <w:highlight w:val="none"/>
          <w:lang w:val="en-US" w:eastAsia="zh-CN"/>
        </w:rPr>
        <w:t>0</w:t>
      </w:r>
      <w:r>
        <w:rPr>
          <w:rFonts w:hint="eastAsia" w:ascii="仿宋_GB2312" w:hAnsi="仿宋_GB2312" w:eastAsia="仿宋_GB2312" w:cs="仿宋_GB2312"/>
          <w:sz w:val="32"/>
          <w:highlight w:val="none"/>
          <w:lang w:val="en-US" w:eastAsia="zh-CN"/>
        </w:rPr>
        <w:t>%；</w:t>
      </w:r>
      <w:r>
        <w:rPr>
          <w:rFonts w:hint="eastAsia" w:ascii="仿宋_GB2312" w:hAnsi="仿宋_GB2312" w:eastAsia="仿宋_GB2312" w:cs="仿宋_GB2312"/>
          <w:sz w:val="32"/>
          <w:highlight w:val="none"/>
          <w:lang w:eastAsia="zh-CN"/>
        </w:rPr>
        <w:t>外交支出为0.00万元，占比0.00%；国防支出为0.00万元，占比0.00%；公共安全支出为0.00万元，占比0.00%；教育支出为</w:t>
      </w:r>
      <w:r>
        <w:rPr>
          <w:rFonts w:hint="eastAsia" w:ascii="仿宋_GB2312" w:hAnsi="仿宋_GB2312" w:eastAsia="仿宋_GB2312" w:cs="仿宋_GB2312"/>
          <w:sz w:val="32"/>
          <w:highlight w:val="none"/>
          <w:lang w:val="en-US" w:eastAsia="zh-CN"/>
        </w:rPr>
        <w:t>0</w:t>
      </w:r>
      <w:r>
        <w:rPr>
          <w:rFonts w:hint="eastAsia" w:ascii="仿宋_GB2312" w:hAnsi="仿宋_GB2312" w:eastAsia="仿宋_GB2312" w:cs="仿宋_GB2312"/>
          <w:sz w:val="32"/>
          <w:highlight w:val="none"/>
          <w:lang w:eastAsia="zh-CN"/>
        </w:rPr>
        <w:t>.00万元，占比</w:t>
      </w:r>
      <w:r>
        <w:rPr>
          <w:rFonts w:hint="eastAsia" w:ascii="仿宋_GB2312" w:hAnsi="仿宋_GB2312" w:eastAsia="仿宋_GB2312" w:cs="仿宋_GB2312"/>
          <w:sz w:val="32"/>
          <w:highlight w:val="none"/>
          <w:lang w:val="en-US" w:eastAsia="zh-CN"/>
        </w:rPr>
        <w:t>0.00</w:t>
      </w:r>
      <w:r>
        <w:rPr>
          <w:rFonts w:hint="eastAsia" w:ascii="仿宋_GB2312" w:hAnsi="仿宋_GB2312" w:eastAsia="仿宋_GB2312" w:cs="仿宋_GB2312"/>
          <w:sz w:val="32"/>
          <w:highlight w:val="none"/>
          <w:lang w:eastAsia="zh-CN"/>
        </w:rPr>
        <w:t>%；科学技术支出为0.00万元，占比0.00%；</w:t>
      </w:r>
      <w:r>
        <w:rPr>
          <w:rFonts w:hint="eastAsia" w:ascii="仿宋_GB2312" w:hAnsi="仿宋_GB2312" w:eastAsia="仿宋_GB2312" w:cs="仿宋_GB2312"/>
          <w:sz w:val="32"/>
          <w:highlight w:val="none"/>
          <w:lang w:val="en-US" w:eastAsia="zh-CN"/>
        </w:rPr>
        <w:t>文化旅游体育与传媒支出0万元，</w:t>
      </w:r>
      <w:r>
        <w:rPr>
          <w:rFonts w:hint="eastAsia" w:ascii="仿宋_GB2312" w:hAnsi="仿宋_GB2312" w:eastAsia="仿宋_GB2312" w:cs="仿宋_GB2312"/>
          <w:sz w:val="32"/>
          <w:highlight w:val="none"/>
          <w:lang w:eastAsia="zh-CN"/>
        </w:rPr>
        <w:t>占比</w:t>
      </w:r>
      <w:r>
        <w:rPr>
          <w:rFonts w:hint="eastAsia" w:ascii="仿宋_GB2312" w:hAnsi="仿宋_GB2312" w:eastAsia="仿宋_GB2312" w:cs="仿宋_GB2312"/>
          <w:sz w:val="32"/>
          <w:highlight w:val="none"/>
          <w:lang w:val="en-US" w:eastAsia="zh-CN"/>
        </w:rPr>
        <w:t>0%</w:t>
      </w:r>
      <w:r>
        <w:rPr>
          <w:rFonts w:hint="eastAsia" w:ascii="仿宋_GB2312" w:hAnsi="仿宋_GB2312" w:eastAsia="仿宋_GB2312" w:cs="仿宋_GB2312"/>
          <w:sz w:val="32"/>
          <w:highlight w:val="none"/>
          <w:lang w:eastAsia="zh-CN"/>
        </w:rPr>
        <w:t>；</w:t>
      </w:r>
      <w:r>
        <w:rPr>
          <w:rFonts w:hint="eastAsia" w:ascii="仿宋_GB2312" w:hAnsi="仿宋_GB2312" w:eastAsia="仿宋_GB2312" w:cs="仿宋_GB2312"/>
          <w:sz w:val="32"/>
          <w:highlight w:val="none"/>
          <w:lang w:val="en-US" w:eastAsia="zh-CN"/>
        </w:rPr>
        <w:t>社会保障和就业支出</w:t>
      </w:r>
      <w:r>
        <w:rPr>
          <w:rFonts w:hint="eastAsia" w:ascii="仿宋_GB2312" w:hAnsi="仿宋_GB2312" w:cs="仿宋_GB2312"/>
          <w:sz w:val="32"/>
          <w:highlight w:val="none"/>
          <w:lang w:val="en-US" w:eastAsia="zh-CN"/>
        </w:rPr>
        <w:t>45.57</w:t>
      </w:r>
      <w:r>
        <w:rPr>
          <w:rFonts w:hint="eastAsia" w:ascii="仿宋_GB2312" w:hAnsi="仿宋_GB2312" w:eastAsia="仿宋_GB2312" w:cs="仿宋_GB2312"/>
          <w:sz w:val="32"/>
          <w:highlight w:val="none"/>
          <w:lang w:val="en-US" w:eastAsia="zh-CN"/>
        </w:rPr>
        <w:t>万元，占比</w:t>
      </w:r>
      <w:r>
        <w:rPr>
          <w:rFonts w:hint="eastAsia" w:ascii="仿宋_GB2312" w:hAnsi="仿宋_GB2312" w:cs="仿宋_GB2312"/>
          <w:sz w:val="32"/>
          <w:highlight w:val="none"/>
          <w:lang w:val="en-US" w:eastAsia="zh-CN"/>
        </w:rPr>
        <w:t>11.49</w:t>
      </w:r>
      <w:r>
        <w:rPr>
          <w:rFonts w:hint="eastAsia" w:ascii="仿宋_GB2312" w:hAnsi="仿宋_GB2312" w:eastAsia="仿宋_GB2312" w:cs="仿宋_GB2312"/>
          <w:sz w:val="32"/>
          <w:highlight w:val="none"/>
          <w:lang w:val="en-US" w:eastAsia="zh-CN"/>
        </w:rPr>
        <w:t>%</w:t>
      </w:r>
      <w:r>
        <w:rPr>
          <w:rFonts w:hint="eastAsia" w:ascii="仿宋_GB2312" w:hAnsi="仿宋_GB2312" w:eastAsia="仿宋_GB2312" w:cs="仿宋_GB2312"/>
          <w:sz w:val="32"/>
          <w:highlight w:val="none"/>
          <w:lang w:eastAsia="zh-CN"/>
        </w:rPr>
        <w:t>；</w:t>
      </w:r>
      <w:r>
        <w:rPr>
          <w:rFonts w:hint="eastAsia" w:ascii="仿宋_GB2312" w:hAnsi="仿宋_GB2312" w:eastAsia="仿宋_GB2312" w:cs="仿宋_GB2312"/>
          <w:sz w:val="32"/>
          <w:highlight w:val="none"/>
          <w:lang w:val="en-US" w:eastAsia="zh-CN"/>
        </w:rPr>
        <w:t>卫生健康支出</w:t>
      </w:r>
      <w:r>
        <w:rPr>
          <w:rFonts w:hint="eastAsia" w:ascii="仿宋_GB2312" w:hAnsi="仿宋_GB2312" w:cs="仿宋_GB2312"/>
          <w:sz w:val="32"/>
          <w:highlight w:val="none"/>
          <w:lang w:val="en-US" w:eastAsia="zh-CN"/>
        </w:rPr>
        <w:t>19.25</w:t>
      </w:r>
      <w:r>
        <w:rPr>
          <w:rFonts w:hint="eastAsia" w:ascii="仿宋_GB2312" w:hAnsi="仿宋_GB2312" w:eastAsia="仿宋_GB2312" w:cs="仿宋_GB2312"/>
          <w:sz w:val="32"/>
          <w:highlight w:val="none"/>
          <w:lang w:val="en-US" w:eastAsia="zh-CN"/>
        </w:rPr>
        <w:t>万元，占比</w:t>
      </w:r>
      <w:r>
        <w:rPr>
          <w:rFonts w:hint="eastAsia" w:ascii="仿宋_GB2312" w:hAnsi="仿宋_GB2312" w:cs="仿宋_GB2312"/>
          <w:sz w:val="32"/>
          <w:highlight w:val="none"/>
          <w:lang w:val="en-US" w:eastAsia="zh-CN"/>
        </w:rPr>
        <w:t>4.85</w:t>
      </w:r>
      <w:r>
        <w:rPr>
          <w:rFonts w:hint="eastAsia" w:ascii="仿宋_GB2312" w:hAnsi="仿宋_GB2312" w:eastAsia="仿宋_GB2312" w:cs="仿宋_GB2312"/>
          <w:sz w:val="32"/>
          <w:highlight w:val="none"/>
          <w:lang w:val="en-US" w:eastAsia="zh-CN"/>
        </w:rPr>
        <w:t>%</w:t>
      </w:r>
      <w:r>
        <w:rPr>
          <w:rFonts w:hint="eastAsia" w:ascii="仿宋_GB2312" w:hAnsi="仿宋_GB2312" w:eastAsia="仿宋_GB2312" w:cs="仿宋_GB2312"/>
          <w:sz w:val="32"/>
          <w:highlight w:val="none"/>
          <w:lang w:eastAsia="zh-CN"/>
        </w:rPr>
        <w:t>；节能环保支出为0.00万元，占比0.00%；城乡社区支出为</w:t>
      </w:r>
      <w:r>
        <w:rPr>
          <w:rFonts w:hint="eastAsia" w:ascii="仿宋_GB2312" w:hAnsi="仿宋_GB2312" w:eastAsia="仿宋_GB2312" w:cs="仿宋_GB2312"/>
          <w:sz w:val="32"/>
          <w:highlight w:val="none"/>
          <w:lang w:val="en-US" w:eastAsia="zh-CN"/>
        </w:rPr>
        <w:t>0</w:t>
      </w:r>
      <w:r>
        <w:rPr>
          <w:rFonts w:hint="eastAsia" w:ascii="仿宋_GB2312" w:hAnsi="仿宋_GB2312" w:eastAsia="仿宋_GB2312" w:cs="仿宋_GB2312"/>
          <w:sz w:val="32"/>
          <w:highlight w:val="none"/>
          <w:lang w:eastAsia="zh-CN"/>
        </w:rPr>
        <w:t>.00万元，占比0.</w:t>
      </w:r>
      <w:r>
        <w:rPr>
          <w:rFonts w:hint="eastAsia" w:ascii="仿宋_GB2312" w:hAnsi="仿宋_GB2312" w:eastAsia="仿宋_GB2312" w:cs="仿宋_GB2312"/>
          <w:sz w:val="32"/>
          <w:highlight w:val="none"/>
          <w:lang w:val="en-US" w:eastAsia="zh-CN"/>
        </w:rPr>
        <w:t>00</w:t>
      </w:r>
      <w:r>
        <w:rPr>
          <w:rFonts w:hint="eastAsia" w:ascii="仿宋_GB2312" w:hAnsi="仿宋_GB2312" w:eastAsia="仿宋_GB2312" w:cs="仿宋_GB2312"/>
          <w:sz w:val="32"/>
          <w:highlight w:val="none"/>
          <w:lang w:eastAsia="zh-CN"/>
        </w:rPr>
        <w:t>%；</w:t>
      </w:r>
      <w:r>
        <w:rPr>
          <w:rFonts w:hint="eastAsia" w:ascii="仿宋_GB2312" w:hAnsi="仿宋_GB2312" w:eastAsia="仿宋_GB2312" w:cs="仿宋_GB2312"/>
          <w:sz w:val="32"/>
          <w:highlight w:val="none"/>
          <w:lang w:val="en-US" w:eastAsia="zh-CN"/>
        </w:rPr>
        <w:t>农林水支出</w:t>
      </w:r>
      <w:r>
        <w:rPr>
          <w:rFonts w:hint="eastAsia" w:ascii="仿宋_GB2312" w:hAnsi="仿宋_GB2312" w:cs="仿宋_GB2312"/>
          <w:sz w:val="32"/>
          <w:highlight w:val="none"/>
          <w:lang w:val="en-US" w:eastAsia="zh-CN"/>
        </w:rPr>
        <w:t>304.68</w:t>
      </w:r>
      <w:r>
        <w:rPr>
          <w:rFonts w:hint="eastAsia" w:ascii="仿宋_GB2312" w:hAnsi="仿宋_GB2312" w:eastAsia="仿宋_GB2312" w:cs="仿宋_GB2312"/>
          <w:sz w:val="32"/>
          <w:highlight w:val="none"/>
          <w:lang w:val="en-US" w:eastAsia="zh-CN"/>
        </w:rPr>
        <w:t>万元，占比</w:t>
      </w:r>
      <w:r>
        <w:rPr>
          <w:rFonts w:hint="eastAsia" w:ascii="仿宋_GB2312" w:hAnsi="仿宋_GB2312" w:cs="仿宋_GB2312"/>
          <w:sz w:val="32"/>
          <w:highlight w:val="none"/>
          <w:lang w:val="en-US" w:eastAsia="zh-CN"/>
        </w:rPr>
        <w:t>76.84%</w:t>
      </w:r>
      <w:r>
        <w:rPr>
          <w:rFonts w:hint="eastAsia" w:ascii="仿宋_GB2312" w:hAnsi="仿宋_GB2312" w:eastAsia="仿宋_GB2312" w:cs="仿宋_GB2312"/>
          <w:sz w:val="32"/>
          <w:highlight w:val="none"/>
          <w:lang w:eastAsia="zh-CN"/>
        </w:rPr>
        <w:t>；交通运输支出为0.00万元，占比0.00%；资源勘探工业信息等支出为0.00万元，占比0.00%；商业服务业等支出为0.00万元，占比0.00%；金融支出为0.00万元，占比0.00%；援助其他地区支出为0.00万元，占比0.00%；自然资源海洋气象等支出为0.00万元，占比0.00%；</w:t>
      </w:r>
      <w:r>
        <w:rPr>
          <w:rFonts w:hint="eastAsia" w:ascii="仿宋_GB2312" w:hAnsi="仿宋_GB2312" w:eastAsia="仿宋_GB2312" w:cs="仿宋_GB2312"/>
          <w:sz w:val="32"/>
          <w:highlight w:val="none"/>
          <w:lang w:val="en-US" w:eastAsia="zh-CN"/>
        </w:rPr>
        <w:t>住房保障支出</w:t>
      </w:r>
      <w:r>
        <w:rPr>
          <w:rFonts w:hint="eastAsia" w:ascii="仿宋_GB2312" w:hAnsi="仿宋_GB2312" w:cs="仿宋_GB2312"/>
          <w:sz w:val="32"/>
          <w:highlight w:val="none"/>
          <w:lang w:val="en-US" w:eastAsia="zh-CN"/>
        </w:rPr>
        <w:t>27.05</w:t>
      </w:r>
      <w:r>
        <w:rPr>
          <w:rFonts w:hint="eastAsia" w:ascii="仿宋_GB2312" w:hAnsi="仿宋_GB2312" w:eastAsia="仿宋_GB2312" w:cs="仿宋_GB2312"/>
          <w:sz w:val="32"/>
          <w:highlight w:val="none"/>
          <w:lang w:val="en-US" w:eastAsia="zh-CN"/>
        </w:rPr>
        <w:t>万元，占比</w:t>
      </w:r>
      <w:r>
        <w:rPr>
          <w:rFonts w:hint="eastAsia" w:ascii="仿宋_GB2312" w:hAnsi="仿宋_GB2312" w:cs="仿宋_GB2312"/>
          <w:sz w:val="32"/>
          <w:highlight w:val="none"/>
          <w:lang w:val="en-US" w:eastAsia="zh-CN"/>
        </w:rPr>
        <w:t>6.82</w:t>
      </w:r>
      <w:r>
        <w:rPr>
          <w:rFonts w:hint="eastAsia" w:ascii="仿宋_GB2312" w:hAnsi="仿宋_GB2312" w:eastAsia="仿宋_GB2312" w:cs="仿宋_GB2312"/>
          <w:sz w:val="32"/>
          <w:highlight w:val="none"/>
          <w:lang w:val="en-US" w:eastAsia="zh-CN"/>
        </w:rPr>
        <w:t>%</w:t>
      </w:r>
      <w:r>
        <w:rPr>
          <w:rFonts w:hint="eastAsia" w:ascii="仿宋_GB2312" w:hAnsi="仿宋_GB2312" w:eastAsia="仿宋_GB2312" w:cs="仿宋_GB2312"/>
          <w:sz w:val="32"/>
          <w:highlight w:val="none"/>
          <w:lang w:eastAsia="zh-CN"/>
        </w:rPr>
        <w:t>；粮油物资储备支出为0.00万元，占比0.00%；国有资本经营预算支出为</w:t>
      </w:r>
      <w:r>
        <w:rPr>
          <w:rFonts w:hint="eastAsia" w:ascii="仿宋_GB2312" w:hAnsi="仿宋_GB2312" w:cs="仿宋_GB2312"/>
          <w:sz w:val="32"/>
          <w:highlight w:val="none"/>
          <w:lang w:val="en-US" w:eastAsia="zh-CN"/>
        </w:rPr>
        <w:t>0</w:t>
      </w:r>
      <w:r>
        <w:rPr>
          <w:rFonts w:hint="eastAsia" w:ascii="仿宋_GB2312" w:hAnsi="仿宋_GB2312" w:eastAsia="仿宋_GB2312" w:cs="仿宋_GB2312"/>
          <w:sz w:val="32"/>
          <w:highlight w:val="none"/>
          <w:lang w:eastAsia="zh-CN"/>
        </w:rPr>
        <w:t>万元，占比0.0</w:t>
      </w:r>
      <w:r>
        <w:rPr>
          <w:rFonts w:hint="eastAsia" w:ascii="仿宋_GB2312" w:hAnsi="仿宋_GB2312" w:cs="仿宋_GB2312"/>
          <w:sz w:val="32"/>
          <w:highlight w:val="none"/>
          <w:lang w:val="en-US" w:eastAsia="zh-CN"/>
        </w:rPr>
        <w:t>0</w:t>
      </w:r>
      <w:r>
        <w:rPr>
          <w:rFonts w:hint="eastAsia" w:ascii="仿宋_GB2312" w:hAnsi="仿宋_GB2312" w:eastAsia="仿宋_GB2312" w:cs="仿宋_GB2312"/>
          <w:sz w:val="32"/>
          <w:highlight w:val="none"/>
          <w:lang w:eastAsia="zh-CN"/>
        </w:rPr>
        <w:t>%；灾害防治及应急管理支出为</w:t>
      </w:r>
      <w:r>
        <w:rPr>
          <w:rFonts w:hint="eastAsia" w:ascii="仿宋_GB2312" w:hAnsi="仿宋_GB2312" w:cs="仿宋_GB2312"/>
          <w:sz w:val="32"/>
          <w:highlight w:val="none"/>
          <w:lang w:val="en-US" w:eastAsia="zh-CN"/>
        </w:rPr>
        <w:t>0</w:t>
      </w:r>
      <w:r>
        <w:rPr>
          <w:rFonts w:hint="eastAsia" w:ascii="仿宋_GB2312" w:hAnsi="仿宋_GB2312" w:eastAsia="仿宋_GB2312" w:cs="仿宋_GB2312"/>
          <w:sz w:val="32"/>
          <w:highlight w:val="none"/>
          <w:lang w:eastAsia="zh-CN"/>
        </w:rPr>
        <w:t>万元，占比</w:t>
      </w:r>
      <w:r>
        <w:rPr>
          <w:rFonts w:hint="eastAsia" w:ascii="仿宋_GB2312" w:hAnsi="仿宋_GB2312" w:cs="仿宋_GB2312"/>
          <w:sz w:val="32"/>
          <w:highlight w:val="none"/>
          <w:lang w:val="en-US" w:eastAsia="zh-CN"/>
        </w:rPr>
        <w:t>0.00</w:t>
      </w:r>
      <w:r>
        <w:rPr>
          <w:rFonts w:hint="eastAsia" w:ascii="仿宋_GB2312" w:hAnsi="仿宋_GB2312" w:eastAsia="仿宋_GB2312" w:cs="仿宋_GB2312"/>
          <w:sz w:val="32"/>
          <w:highlight w:val="none"/>
          <w:lang w:eastAsia="zh-CN"/>
        </w:rPr>
        <w:t>%；其他支出为0.00万元，占比0.00%；债务还本支出为0.00万元，占比</w:t>
      </w:r>
      <w:r>
        <w:rPr>
          <w:rFonts w:hint="eastAsia" w:ascii="仿宋_GB2312" w:hAnsi="仿宋_GB2312" w:eastAsia="仿宋_GB2312" w:cs="仿宋_GB2312"/>
          <w:sz w:val="32"/>
          <w:lang w:eastAsia="zh-CN"/>
        </w:rPr>
        <w:t>0.00%；债务付息支出为0.00万元，占比0.00%；抗疫特别国债安排的支出为0.00万元，占比0.00%。</w:t>
      </w:r>
    </w:p>
    <w:p w14:paraId="58B4E578">
      <w:pPr>
        <w:keepNext w:val="0"/>
        <w:keepLines w:val="0"/>
        <w:pageBreakBefore w:val="0"/>
        <w:widowControl/>
        <w:numPr>
          <w:ilvl w:val="0"/>
          <w:numId w:val="0"/>
        </w:numPr>
        <w:kinsoku/>
        <w:wordWrap/>
        <w:overflowPunct/>
        <w:topLinePunct w:val="0"/>
        <w:autoSpaceDE/>
        <w:autoSpaceDN/>
        <w:bidi w:val="0"/>
        <w:adjustRightInd w:val="0"/>
        <w:snapToGrid w:val="0"/>
        <w:spacing w:line="560" w:lineRule="exact"/>
        <w:ind w:firstLine="643" w:firstLineChars="200"/>
        <w:contextualSpacing/>
        <w:jc w:val="both"/>
        <w:textAlignment w:val="auto"/>
        <w:outlineLvl w:val="9"/>
        <w:rPr>
          <w:rFonts w:hint="eastAsia" w:eastAsia="楷体_GB2312" w:cs="Times New Roman"/>
          <w:b/>
          <w:bCs/>
          <w:color w:val="000000"/>
          <w:kern w:val="0"/>
          <w:szCs w:val="32"/>
          <w:highlight w:val="none"/>
          <w:shd w:val="clear" w:color="auto" w:fill="FFFFFF"/>
          <w:lang w:val="zh-CN" w:eastAsia="zh-CN"/>
        </w:rPr>
      </w:pPr>
      <w:r>
        <w:rPr>
          <w:rFonts w:hint="eastAsia" w:eastAsia="楷体_GB2312" w:cs="Times New Roman"/>
          <w:b/>
          <w:bCs/>
          <w:color w:val="000000"/>
          <w:kern w:val="0"/>
          <w:szCs w:val="32"/>
          <w:highlight w:val="none"/>
          <w:shd w:val="clear" w:color="auto" w:fill="FFFFFF"/>
          <w:lang w:val="zh-CN" w:eastAsia="zh-CN"/>
        </w:rPr>
        <w:t>（三）</w:t>
      </w:r>
      <w:r>
        <w:rPr>
          <w:rFonts w:hint="eastAsia" w:eastAsia="楷体_GB2312" w:cs="Times New Roman"/>
          <w:b/>
          <w:bCs/>
          <w:color w:val="000000"/>
          <w:kern w:val="0"/>
          <w:szCs w:val="32"/>
          <w:highlight w:val="none"/>
          <w:shd w:val="clear" w:color="auto" w:fill="FFFFFF"/>
          <w:lang w:val="zh-CN"/>
        </w:rPr>
        <w:t>结余分配和结转结余情况</w:t>
      </w:r>
    </w:p>
    <w:p w14:paraId="03BBE0DF">
      <w:pPr>
        <w:keepNext w:val="0"/>
        <w:keepLines w:val="0"/>
        <w:pageBreakBefore w:val="0"/>
        <w:widowControl/>
        <w:numPr>
          <w:ilvl w:val="0"/>
          <w:numId w:val="0"/>
        </w:numPr>
        <w:kinsoku/>
        <w:wordWrap/>
        <w:overflowPunct/>
        <w:topLinePunct w:val="0"/>
        <w:autoSpaceDE/>
        <w:autoSpaceDN/>
        <w:bidi w:val="0"/>
        <w:adjustRightInd w:val="0"/>
        <w:snapToGrid w:val="0"/>
        <w:spacing w:line="560" w:lineRule="exact"/>
        <w:ind w:firstLine="640" w:firstLineChars="200"/>
        <w:contextualSpacing/>
        <w:jc w:val="both"/>
        <w:textAlignment w:val="auto"/>
        <w:outlineLvl w:val="9"/>
        <w:rPr>
          <w:rFonts w:hint="default" w:ascii="仿宋_GB2312" w:hAnsi="仿宋_GB2312" w:eastAsia="仿宋_GB2312" w:cs="仿宋_GB2312"/>
          <w:sz w:val="32"/>
          <w:lang w:val="zh-CN" w:eastAsia="zh-CN"/>
        </w:rPr>
      </w:pPr>
      <w:r>
        <w:rPr>
          <w:rFonts w:hint="eastAsia" w:ascii="仿宋_GB2312" w:hAnsi="仿宋_GB2312" w:eastAsia="仿宋_GB2312" w:cs="仿宋_GB2312"/>
          <w:sz w:val="32"/>
          <w:lang w:val="en-US" w:eastAsia="zh-CN"/>
        </w:rPr>
        <w:t>我镇2024年决算报表</w:t>
      </w:r>
      <w:r>
        <w:rPr>
          <w:rFonts w:hint="default" w:ascii="仿宋_GB2312" w:hAnsi="仿宋_GB2312" w:eastAsia="仿宋_GB2312" w:cs="仿宋_GB2312"/>
          <w:sz w:val="32"/>
          <w:lang w:val="en-US" w:eastAsia="zh-CN"/>
        </w:rPr>
        <w:t>结转结余</w:t>
      </w:r>
      <w:r>
        <w:rPr>
          <w:rFonts w:hint="eastAsia" w:ascii="仿宋_GB2312" w:hAnsi="仿宋_GB2312" w:eastAsia="仿宋_GB2312" w:cs="仿宋_GB2312"/>
          <w:sz w:val="32"/>
          <w:lang w:val="en-US" w:eastAsia="zh-CN"/>
        </w:rPr>
        <w:t>为0元，无结转结余</w:t>
      </w:r>
      <w:r>
        <w:rPr>
          <w:rFonts w:hint="default" w:ascii="仿宋_GB2312" w:hAnsi="仿宋_GB2312" w:eastAsia="仿宋_GB2312" w:cs="仿宋_GB2312"/>
          <w:sz w:val="32"/>
          <w:lang w:val="en-US" w:eastAsia="zh-CN"/>
        </w:rPr>
        <w:t>。</w:t>
      </w:r>
    </w:p>
    <w:p w14:paraId="68E0F20E">
      <w:pPr>
        <w:keepNext w:val="0"/>
        <w:keepLines w:val="0"/>
        <w:pageBreakBefore w:val="0"/>
        <w:numPr>
          <w:ilvl w:val="0"/>
          <w:numId w:val="2"/>
        </w:numPr>
        <w:kinsoku/>
        <w:wordWrap/>
        <w:overflowPunct/>
        <w:topLinePunct w:val="0"/>
        <w:autoSpaceDE/>
        <w:autoSpaceDN/>
        <w:bidi w:val="0"/>
        <w:spacing w:line="560" w:lineRule="exact"/>
        <w:ind w:firstLine="640" w:firstLineChars="200"/>
        <w:jc w:val="both"/>
        <w:textAlignment w:val="auto"/>
        <w:rPr>
          <w:rFonts w:hint="eastAsia" w:ascii="黑体" w:hAnsi="黑体" w:eastAsia="黑体" w:cs="黑体"/>
          <w:b w:val="0"/>
          <w:bCs w:val="0"/>
          <w:sz w:val="32"/>
          <w:szCs w:val="32"/>
        </w:rPr>
      </w:pPr>
      <w:r>
        <w:rPr>
          <w:rFonts w:hint="eastAsia" w:ascii="黑体" w:hAnsi="黑体" w:eastAsia="黑体" w:cs="黑体"/>
          <w:b w:val="0"/>
          <w:bCs w:val="0"/>
          <w:sz w:val="32"/>
          <w:szCs w:val="32"/>
          <w:lang w:val="en-US" w:eastAsia="zh-CN"/>
        </w:rPr>
        <w:t>单位</w:t>
      </w:r>
      <w:r>
        <w:rPr>
          <w:rFonts w:hint="eastAsia" w:ascii="黑体" w:hAnsi="黑体" w:eastAsia="黑体" w:cs="黑体"/>
          <w:b w:val="0"/>
          <w:bCs w:val="0"/>
          <w:sz w:val="32"/>
          <w:szCs w:val="32"/>
        </w:rPr>
        <w:t>整体预算绩效管理情况</w:t>
      </w:r>
    </w:p>
    <w:p w14:paraId="1E69AFDF">
      <w:pPr>
        <w:keepNext w:val="0"/>
        <w:keepLines w:val="0"/>
        <w:pageBreakBefore w:val="0"/>
        <w:widowControl/>
        <w:kinsoku/>
        <w:wordWrap/>
        <w:overflowPunct/>
        <w:topLinePunct w:val="0"/>
        <w:autoSpaceDE/>
        <w:autoSpaceDN/>
        <w:bidi w:val="0"/>
        <w:spacing w:line="560" w:lineRule="exact"/>
        <w:ind w:firstLine="602" w:firstLineChars="200"/>
        <w:jc w:val="both"/>
        <w:textAlignment w:val="auto"/>
        <w:outlineLvl w:val="0"/>
        <w:rPr>
          <w:rFonts w:hint="eastAsia" w:ascii="方正楷体_GB2312" w:hAnsi="方正楷体_GB2312" w:eastAsia="方正楷体_GB2312" w:cs="方正楷体_GB2312"/>
          <w:b/>
          <w:kern w:val="0"/>
          <w:sz w:val="30"/>
          <w:szCs w:val="30"/>
          <w:lang w:val="zh-CN"/>
        </w:rPr>
      </w:pPr>
      <w:r>
        <w:rPr>
          <w:rFonts w:hint="eastAsia" w:ascii="方正楷体_GB2312" w:hAnsi="方正楷体_GB2312" w:eastAsia="方正楷体_GB2312" w:cs="方正楷体_GB2312"/>
          <w:b/>
          <w:kern w:val="0"/>
          <w:sz w:val="30"/>
          <w:szCs w:val="30"/>
          <w:lang w:val="zh-CN"/>
        </w:rPr>
        <w:t>（一）</w:t>
      </w:r>
      <w:r>
        <w:rPr>
          <w:rFonts w:hint="eastAsia" w:ascii="方正楷体_GB2312" w:hAnsi="方正楷体_GB2312" w:eastAsia="方正楷体_GB2312" w:cs="方正楷体_GB2312"/>
          <w:b/>
          <w:kern w:val="0"/>
          <w:sz w:val="30"/>
          <w:szCs w:val="30"/>
          <w:lang w:val="en-US" w:eastAsia="zh-CN"/>
        </w:rPr>
        <w:t>单位</w:t>
      </w:r>
      <w:r>
        <w:rPr>
          <w:rFonts w:hint="eastAsia" w:ascii="方正楷体_GB2312" w:hAnsi="方正楷体_GB2312" w:eastAsia="方正楷体_GB2312" w:cs="方正楷体_GB2312"/>
          <w:b/>
          <w:kern w:val="0"/>
          <w:sz w:val="30"/>
          <w:szCs w:val="30"/>
          <w:lang w:val="zh-CN"/>
        </w:rPr>
        <w:t>预算管理</w:t>
      </w:r>
    </w:p>
    <w:p w14:paraId="582EE09C">
      <w:pPr>
        <w:spacing w:line="600" w:lineRule="exact"/>
        <w:ind w:firstLine="640" w:firstLineChars="200"/>
        <w:rPr>
          <w:rFonts w:hint="eastAsia" w:ascii="仿宋_GB2312" w:hAnsi="仿宋_GB2312" w:eastAsia="仿宋_GB2312" w:cs="仿宋_GB2312"/>
          <w:color w:val="000000"/>
          <w:kern w:val="0"/>
          <w:sz w:val="32"/>
          <w:szCs w:val="32"/>
          <w:lang w:eastAsia="zh-CN"/>
        </w:rPr>
      </w:pPr>
      <w:r>
        <w:rPr>
          <w:rFonts w:hint="eastAsia" w:ascii="仿宋_GB2312" w:hAnsi="仿宋_GB2312" w:eastAsia="仿宋_GB2312" w:cs="仿宋_GB2312"/>
          <w:color w:val="000000"/>
          <w:kern w:val="0"/>
          <w:sz w:val="32"/>
          <w:szCs w:val="32"/>
          <w:lang w:eastAsia="zh-CN"/>
        </w:rPr>
        <w:t>2024年度收入总计</w:t>
      </w:r>
      <w:r>
        <w:rPr>
          <w:rFonts w:hint="eastAsia" w:ascii="仿宋_GB2312" w:hAnsi="仿宋_GB2312" w:cs="仿宋_GB2312"/>
          <w:sz w:val="32"/>
          <w:lang w:val="en-US" w:eastAsia="zh-CN"/>
        </w:rPr>
        <w:t>396.55</w:t>
      </w:r>
      <w:r>
        <w:rPr>
          <w:rFonts w:hint="eastAsia" w:ascii="仿宋_GB2312" w:hAnsi="仿宋_GB2312" w:eastAsia="仿宋_GB2312" w:cs="仿宋_GB2312"/>
          <w:color w:val="000000"/>
          <w:kern w:val="0"/>
          <w:sz w:val="32"/>
          <w:szCs w:val="32"/>
          <w:lang w:eastAsia="zh-CN"/>
        </w:rPr>
        <w:t>万元，与2023年相比，</w:t>
      </w:r>
      <w:r>
        <w:rPr>
          <w:rFonts w:hint="eastAsia" w:ascii="仿宋_GB2312" w:hAnsi="仿宋_GB2312" w:eastAsia="仿宋_GB2312" w:cs="仿宋_GB2312"/>
          <w:color w:val="000000"/>
          <w:kern w:val="0"/>
          <w:sz w:val="32"/>
          <w:szCs w:val="32"/>
          <w:lang w:val="en-US" w:eastAsia="zh-CN"/>
        </w:rPr>
        <w:t>减少</w:t>
      </w:r>
      <w:r>
        <w:rPr>
          <w:rFonts w:hint="eastAsia" w:ascii="仿宋_GB2312" w:hAnsi="仿宋_GB2312" w:cs="仿宋_GB2312"/>
          <w:color w:val="000000"/>
          <w:kern w:val="0"/>
          <w:sz w:val="32"/>
          <w:szCs w:val="32"/>
          <w:lang w:val="en-US" w:eastAsia="zh-CN"/>
        </w:rPr>
        <w:t>10.41</w:t>
      </w:r>
      <w:r>
        <w:rPr>
          <w:rFonts w:hint="eastAsia" w:ascii="仿宋_GB2312" w:hAnsi="仿宋_GB2312" w:eastAsia="仿宋_GB2312" w:cs="仿宋_GB2312"/>
          <w:color w:val="000000"/>
          <w:kern w:val="0"/>
          <w:sz w:val="32"/>
          <w:szCs w:val="32"/>
          <w:lang w:eastAsia="zh-CN"/>
        </w:rPr>
        <w:t>万元，</w:t>
      </w:r>
      <w:r>
        <w:rPr>
          <w:rFonts w:hint="eastAsia" w:ascii="仿宋_GB2312" w:hAnsi="仿宋_GB2312" w:eastAsia="仿宋_GB2312" w:cs="仿宋_GB2312"/>
          <w:color w:val="000000"/>
          <w:kern w:val="0"/>
          <w:sz w:val="32"/>
          <w:szCs w:val="32"/>
          <w:lang w:val="en-US" w:eastAsia="zh-CN"/>
        </w:rPr>
        <w:t>减少</w:t>
      </w:r>
      <w:r>
        <w:rPr>
          <w:rFonts w:hint="eastAsia" w:ascii="仿宋_GB2312" w:hAnsi="仿宋_GB2312" w:cs="仿宋_GB2312"/>
          <w:color w:val="000000"/>
          <w:kern w:val="0"/>
          <w:sz w:val="32"/>
          <w:szCs w:val="32"/>
          <w:lang w:val="en-US" w:eastAsia="zh-CN"/>
        </w:rPr>
        <w:t>2.56</w:t>
      </w:r>
      <w:r>
        <w:rPr>
          <w:rFonts w:hint="eastAsia" w:ascii="仿宋_GB2312" w:hAnsi="仿宋_GB2312" w:eastAsia="仿宋_GB2312" w:cs="仿宋_GB2312"/>
          <w:color w:val="000000"/>
          <w:kern w:val="0"/>
          <w:sz w:val="32"/>
          <w:szCs w:val="32"/>
          <w:lang w:eastAsia="zh-CN"/>
        </w:rPr>
        <w:t>%。主要变动原因是</w:t>
      </w:r>
      <w:r>
        <w:rPr>
          <w:rFonts w:hint="eastAsia" w:ascii="仿宋_GB2312" w:hAnsi="仿宋_GB2312" w:eastAsia="仿宋_GB2312" w:cs="仿宋_GB2312"/>
          <w:color w:val="000000"/>
          <w:kern w:val="0"/>
          <w:sz w:val="32"/>
          <w:szCs w:val="32"/>
          <w:lang w:val="en-US" w:eastAsia="zh-CN"/>
        </w:rPr>
        <w:t>2024年度</w:t>
      </w:r>
      <w:r>
        <w:rPr>
          <w:rFonts w:hint="eastAsia" w:ascii="仿宋_GB2312" w:hAnsi="仿宋" w:eastAsia="仿宋_GB2312"/>
          <w:color w:val="000000" w:themeColor="text1"/>
          <w:sz w:val="32"/>
          <w:szCs w:val="32"/>
          <w:shd w:val="clear" w:color="auto" w:fill="auto"/>
          <w:lang w:val="en-US" w:eastAsia="zh-CN"/>
          <w14:textFill>
            <w14:solidFill>
              <w14:schemeClr w14:val="tx1"/>
            </w14:solidFill>
          </w14:textFill>
        </w:rPr>
        <w:t>单位业务活动减少</w:t>
      </w:r>
      <w:r>
        <w:rPr>
          <w:rFonts w:hint="eastAsia" w:ascii="仿宋_GB2312" w:hAnsi="仿宋_GB2312" w:eastAsia="仿宋_GB2312" w:cs="仿宋_GB2312"/>
          <w:color w:val="000000"/>
          <w:kern w:val="0"/>
          <w:sz w:val="32"/>
          <w:szCs w:val="32"/>
          <w:lang w:val="en-US" w:eastAsia="zh-CN"/>
        </w:rPr>
        <w:t>。</w:t>
      </w:r>
      <w:r>
        <w:rPr>
          <w:rFonts w:hint="eastAsia" w:ascii="仿宋_GB2312" w:hAnsi="仿宋_GB2312" w:eastAsia="仿宋_GB2312" w:cs="仿宋_GB2312"/>
          <w:color w:val="000000"/>
          <w:kern w:val="0"/>
          <w:sz w:val="32"/>
          <w:szCs w:val="32"/>
          <w:lang w:eastAsia="zh-CN"/>
        </w:rPr>
        <w:t>支出总计</w:t>
      </w:r>
      <w:r>
        <w:rPr>
          <w:rFonts w:hint="eastAsia" w:ascii="仿宋_GB2312" w:hAnsi="仿宋_GB2312" w:cs="仿宋_GB2312"/>
          <w:sz w:val="32"/>
          <w:lang w:val="en-US" w:eastAsia="zh-CN"/>
        </w:rPr>
        <w:t>396.55</w:t>
      </w:r>
      <w:r>
        <w:rPr>
          <w:rFonts w:hint="eastAsia" w:ascii="仿宋_GB2312" w:hAnsi="仿宋_GB2312" w:eastAsia="仿宋_GB2312" w:cs="仿宋_GB2312"/>
          <w:color w:val="000000"/>
          <w:kern w:val="0"/>
          <w:sz w:val="32"/>
          <w:szCs w:val="32"/>
          <w:lang w:eastAsia="zh-CN"/>
        </w:rPr>
        <w:t>万元。与2023年相比，</w:t>
      </w:r>
      <w:r>
        <w:rPr>
          <w:rFonts w:hint="eastAsia" w:ascii="仿宋_GB2312" w:hAnsi="仿宋_GB2312" w:eastAsia="仿宋_GB2312" w:cs="仿宋_GB2312"/>
          <w:color w:val="000000"/>
          <w:kern w:val="0"/>
          <w:sz w:val="32"/>
          <w:szCs w:val="32"/>
          <w:lang w:val="en-US" w:eastAsia="zh-CN"/>
        </w:rPr>
        <w:t>少</w:t>
      </w:r>
      <w:r>
        <w:rPr>
          <w:rFonts w:hint="eastAsia" w:ascii="仿宋_GB2312" w:hAnsi="仿宋_GB2312" w:cs="仿宋_GB2312"/>
          <w:color w:val="000000"/>
          <w:kern w:val="0"/>
          <w:sz w:val="32"/>
          <w:szCs w:val="32"/>
          <w:lang w:val="en-US" w:eastAsia="zh-CN"/>
        </w:rPr>
        <w:t>10.41</w:t>
      </w:r>
      <w:r>
        <w:rPr>
          <w:rFonts w:hint="eastAsia" w:ascii="仿宋_GB2312" w:hAnsi="仿宋_GB2312" w:eastAsia="仿宋_GB2312" w:cs="仿宋_GB2312"/>
          <w:color w:val="000000"/>
          <w:kern w:val="0"/>
          <w:sz w:val="32"/>
          <w:szCs w:val="32"/>
          <w:lang w:eastAsia="zh-CN"/>
        </w:rPr>
        <w:t>万元，</w:t>
      </w:r>
      <w:r>
        <w:rPr>
          <w:rFonts w:hint="eastAsia" w:ascii="仿宋_GB2312" w:hAnsi="仿宋_GB2312" w:eastAsia="仿宋_GB2312" w:cs="仿宋_GB2312"/>
          <w:color w:val="000000"/>
          <w:kern w:val="0"/>
          <w:sz w:val="32"/>
          <w:szCs w:val="32"/>
          <w:lang w:val="en-US" w:eastAsia="zh-CN"/>
        </w:rPr>
        <w:t>减少</w:t>
      </w:r>
      <w:r>
        <w:rPr>
          <w:rFonts w:hint="eastAsia" w:ascii="仿宋_GB2312" w:hAnsi="仿宋_GB2312" w:cs="仿宋_GB2312"/>
          <w:color w:val="000000"/>
          <w:kern w:val="0"/>
          <w:sz w:val="32"/>
          <w:szCs w:val="32"/>
          <w:lang w:val="en-US" w:eastAsia="zh-CN"/>
        </w:rPr>
        <w:t>2.56</w:t>
      </w:r>
      <w:r>
        <w:rPr>
          <w:rFonts w:hint="eastAsia" w:ascii="仿宋_GB2312" w:hAnsi="仿宋_GB2312" w:eastAsia="仿宋_GB2312" w:cs="仿宋_GB2312"/>
          <w:color w:val="000000"/>
          <w:kern w:val="0"/>
          <w:sz w:val="32"/>
          <w:szCs w:val="32"/>
          <w:lang w:eastAsia="zh-CN"/>
        </w:rPr>
        <w:t>%。</w:t>
      </w:r>
      <w:r>
        <w:rPr>
          <w:rFonts w:hint="eastAsia" w:ascii="仿宋_GB2312" w:hAnsi="仿宋_GB2312" w:cs="仿宋_GB2312"/>
          <w:color w:val="000000"/>
          <w:kern w:val="0"/>
          <w:sz w:val="32"/>
          <w:szCs w:val="32"/>
          <w:lang w:val="en-US" w:eastAsia="zh-CN"/>
        </w:rPr>
        <w:t>主</w:t>
      </w:r>
      <w:r>
        <w:rPr>
          <w:rFonts w:hint="eastAsia" w:ascii="仿宋_GB2312" w:hAnsi="仿宋_GB2312" w:eastAsia="仿宋_GB2312" w:cs="仿宋_GB2312"/>
          <w:color w:val="000000"/>
          <w:kern w:val="0"/>
          <w:sz w:val="32"/>
          <w:szCs w:val="32"/>
          <w:lang w:eastAsia="zh-CN"/>
        </w:rPr>
        <w:t>要变动原因是</w:t>
      </w:r>
      <w:r>
        <w:rPr>
          <w:rFonts w:hint="eastAsia" w:ascii="仿宋_GB2312" w:hAnsi="仿宋_GB2312" w:eastAsia="仿宋_GB2312" w:cs="仿宋_GB2312"/>
          <w:color w:val="000000"/>
          <w:kern w:val="0"/>
          <w:sz w:val="32"/>
          <w:szCs w:val="32"/>
          <w:lang w:val="en-US" w:eastAsia="zh-CN"/>
        </w:rPr>
        <w:t>2024年度</w:t>
      </w:r>
      <w:r>
        <w:rPr>
          <w:rFonts w:hint="eastAsia" w:ascii="仿宋_GB2312" w:hAnsi="仿宋" w:eastAsia="仿宋_GB2312"/>
          <w:color w:val="000000" w:themeColor="text1"/>
          <w:sz w:val="32"/>
          <w:szCs w:val="32"/>
          <w:shd w:val="clear" w:color="auto" w:fill="auto"/>
          <w:lang w:val="en-US" w:eastAsia="zh-CN"/>
          <w14:textFill>
            <w14:solidFill>
              <w14:schemeClr w14:val="tx1"/>
            </w14:solidFill>
          </w14:textFill>
        </w:rPr>
        <w:t>单位业务活动减少</w:t>
      </w:r>
      <w:r>
        <w:rPr>
          <w:rFonts w:hint="eastAsia" w:ascii="仿宋_GB2312" w:hAnsi="仿宋_GB2312" w:eastAsia="仿宋_GB2312" w:cs="仿宋_GB2312"/>
          <w:color w:val="000000"/>
          <w:kern w:val="0"/>
          <w:sz w:val="32"/>
          <w:szCs w:val="32"/>
          <w:lang w:val="en-US" w:eastAsia="zh-CN"/>
        </w:rPr>
        <w:t>。</w:t>
      </w:r>
    </w:p>
    <w:p w14:paraId="11C911AA">
      <w:pPr>
        <w:keepNext w:val="0"/>
        <w:keepLines w:val="0"/>
        <w:pageBreakBefore w:val="0"/>
        <w:numPr>
          <w:ilvl w:val="0"/>
          <w:numId w:val="3"/>
        </w:numPr>
        <w:kinsoku/>
        <w:wordWrap/>
        <w:overflowPunct/>
        <w:topLinePunct w:val="0"/>
        <w:autoSpaceDE/>
        <w:autoSpaceDN/>
        <w:bidi w:val="0"/>
        <w:snapToGrid w:val="0"/>
        <w:spacing w:line="560" w:lineRule="exact"/>
        <w:ind w:firstLine="602" w:firstLineChars="200"/>
        <w:jc w:val="both"/>
        <w:textAlignment w:val="auto"/>
        <w:rPr>
          <w:rFonts w:hint="eastAsia" w:ascii="方正楷体_GB2312" w:hAnsi="方正楷体_GB2312" w:eastAsia="方正楷体_GB2312" w:cs="方正楷体_GB2312"/>
          <w:b/>
          <w:kern w:val="0"/>
          <w:sz w:val="30"/>
          <w:szCs w:val="30"/>
          <w:lang w:val="zh-CN"/>
        </w:rPr>
      </w:pPr>
      <w:r>
        <w:rPr>
          <w:rFonts w:hint="eastAsia" w:ascii="方正楷体_GB2312" w:hAnsi="方正楷体_GB2312" w:eastAsia="方正楷体_GB2312" w:cs="方正楷体_GB2312"/>
          <w:b/>
          <w:kern w:val="0"/>
          <w:sz w:val="30"/>
          <w:szCs w:val="30"/>
          <w:lang w:val="zh-CN"/>
        </w:rPr>
        <w:t>专项预算管理</w:t>
      </w:r>
    </w:p>
    <w:p w14:paraId="792D61AF">
      <w:pPr>
        <w:keepNext w:val="0"/>
        <w:keepLines w:val="0"/>
        <w:pageBreakBefore w:val="0"/>
        <w:numPr>
          <w:ilvl w:val="0"/>
          <w:numId w:val="0"/>
        </w:numPr>
        <w:kinsoku/>
        <w:wordWrap/>
        <w:overflowPunct/>
        <w:topLinePunct w:val="0"/>
        <w:autoSpaceDE/>
        <w:autoSpaceDN/>
        <w:bidi w:val="0"/>
        <w:snapToGrid w:val="0"/>
        <w:spacing w:line="560" w:lineRule="exact"/>
        <w:ind w:firstLine="640" w:firstLineChars="200"/>
        <w:jc w:val="both"/>
        <w:textAlignment w:val="auto"/>
        <w:rPr>
          <w:rFonts w:hint="eastAsia" w:ascii="楷体_GB2312" w:hAnsi="楷体_GB2312" w:eastAsia="楷体_GB2312" w:cs="楷体_GB2312"/>
          <w:b/>
          <w:bCs/>
          <w:color w:val="000000"/>
          <w:kern w:val="0"/>
          <w:szCs w:val="32"/>
          <w:highlight w:val="none"/>
          <w:shd w:val="clear" w:color="auto" w:fill="FFFFFF"/>
          <w:lang w:val="zh-CN" w:eastAsia="zh-CN"/>
        </w:rPr>
      </w:pPr>
      <w:r>
        <w:rPr>
          <w:rFonts w:hint="eastAsia" w:ascii="仿宋_GB2312" w:hAnsi="仿宋_GB2312" w:eastAsia="仿宋_GB2312" w:cs="仿宋_GB2312"/>
          <w:sz w:val="32"/>
          <w:szCs w:val="32"/>
          <w:lang w:eastAsia="zh-CN"/>
        </w:rPr>
        <w:t>2024</w:t>
      </w:r>
      <w:r>
        <w:rPr>
          <w:rFonts w:hint="eastAsia" w:ascii="仿宋_GB2312" w:hAnsi="仿宋_GB2312" w:eastAsia="仿宋_GB2312" w:cs="仿宋_GB2312"/>
          <w:sz w:val="32"/>
          <w:szCs w:val="32"/>
        </w:rPr>
        <w:t>年总支出</w:t>
      </w:r>
      <w:r>
        <w:rPr>
          <w:rFonts w:hint="eastAsia" w:ascii="仿宋_GB2312" w:hAnsi="仿宋_GB2312" w:cs="仿宋_GB2312"/>
          <w:sz w:val="32"/>
          <w:lang w:val="en-US" w:eastAsia="zh-CN"/>
        </w:rPr>
        <w:t>396.55</w:t>
      </w:r>
      <w:r>
        <w:rPr>
          <w:rFonts w:hint="eastAsia" w:ascii="仿宋_GB2312" w:hAnsi="仿宋_GB2312" w:eastAsia="仿宋_GB2312" w:cs="仿宋_GB2312"/>
          <w:sz w:val="32"/>
          <w:szCs w:val="32"/>
        </w:rPr>
        <w:t>万元（基本支出</w:t>
      </w:r>
      <w:r>
        <w:rPr>
          <w:rFonts w:hint="eastAsia" w:ascii="仿宋_GB2312" w:hAnsi="仿宋_GB2312" w:cs="仿宋_GB2312"/>
          <w:sz w:val="32"/>
          <w:lang w:val="en-US" w:eastAsia="zh-CN"/>
        </w:rPr>
        <w:t>396.55</w:t>
      </w:r>
      <w:r>
        <w:rPr>
          <w:rFonts w:hint="eastAsia" w:ascii="仿宋_GB2312" w:hAnsi="仿宋_GB2312" w:eastAsia="仿宋_GB2312" w:cs="仿宋_GB2312"/>
          <w:sz w:val="32"/>
          <w:szCs w:val="32"/>
        </w:rPr>
        <w:t>万元，项目支出</w:t>
      </w:r>
      <w:r>
        <w:rPr>
          <w:rFonts w:hint="eastAsia" w:ascii="仿宋_GB2312" w:hAnsi="仿宋_GB2312" w:cs="仿宋_GB2312"/>
          <w:sz w:val="32"/>
          <w:szCs w:val="32"/>
          <w:lang w:val="en-US" w:eastAsia="zh-CN"/>
        </w:rPr>
        <w:t>0</w:t>
      </w:r>
      <w:r>
        <w:rPr>
          <w:rFonts w:hint="eastAsia" w:ascii="仿宋_GB2312" w:hAnsi="仿宋_GB2312" w:eastAsia="仿宋_GB2312" w:cs="仿宋_GB2312"/>
          <w:sz w:val="32"/>
          <w:szCs w:val="32"/>
        </w:rPr>
        <w:t>万元）。其中：工资福利支出</w:t>
      </w:r>
      <w:r>
        <w:rPr>
          <w:rFonts w:hint="eastAsia" w:ascii="仿宋_GB2312" w:hAnsi="仿宋_GB2312" w:cs="仿宋_GB2312"/>
          <w:sz w:val="32"/>
          <w:szCs w:val="32"/>
          <w:lang w:val="en-US" w:eastAsia="zh-CN"/>
        </w:rPr>
        <w:t>339.98</w:t>
      </w:r>
      <w:r>
        <w:rPr>
          <w:rFonts w:hint="eastAsia" w:ascii="仿宋_GB2312" w:hAnsi="仿宋_GB2312" w:eastAsia="仿宋_GB2312" w:cs="仿宋_GB2312"/>
          <w:sz w:val="32"/>
          <w:szCs w:val="32"/>
        </w:rPr>
        <w:t>万元，占总支出</w:t>
      </w:r>
      <w:r>
        <w:rPr>
          <w:rFonts w:hint="eastAsia" w:ascii="仿宋_GB2312" w:hAnsi="仿宋_GB2312" w:cs="仿宋_GB2312"/>
          <w:sz w:val="32"/>
          <w:szCs w:val="32"/>
          <w:lang w:val="en-US" w:eastAsia="zh-CN"/>
        </w:rPr>
        <w:t>85.73</w:t>
      </w:r>
      <w:r>
        <w:rPr>
          <w:rFonts w:hint="eastAsia" w:ascii="仿宋_GB2312" w:hAnsi="仿宋_GB2312" w:eastAsia="仿宋_GB2312" w:cs="仿宋_GB2312"/>
          <w:sz w:val="32"/>
          <w:szCs w:val="32"/>
        </w:rPr>
        <w:t>%，商品服务支出</w:t>
      </w:r>
      <w:r>
        <w:rPr>
          <w:rFonts w:hint="eastAsia" w:ascii="仿宋_GB2312" w:hAnsi="仿宋_GB2312" w:cs="仿宋_GB2312"/>
          <w:sz w:val="32"/>
          <w:szCs w:val="32"/>
          <w:lang w:val="en-US" w:eastAsia="zh-CN"/>
        </w:rPr>
        <w:t>34.12</w:t>
      </w:r>
      <w:r>
        <w:rPr>
          <w:rFonts w:hint="eastAsia" w:ascii="仿宋_GB2312" w:hAnsi="仿宋_GB2312" w:eastAsia="仿宋_GB2312" w:cs="仿宋_GB2312"/>
          <w:sz w:val="32"/>
          <w:szCs w:val="32"/>
        </w:rPr>
        <w:t>万元，占总支出</w:t>
      </w:r>
      <w:r>
        <w:rPr>
          <w:rFonts w:hint="eastAsia" w:ascii="仿宋_GB2312" w:hAnsi="仿宋_GB2312" w:cs="仿宋_GB2312"/>
          <w:sz w:val="32"/>
          <w:szCs w:val="32"/>
          <w:lang w:val="en-US" w:eastAsia="zh-CN"/>
        </w:rPr>
        <w:t>8.6</w:t>
      </w:r>
      <w:r>
        <w:rPr>
          <w:rFonts w:hint="eastAsia" w:ascii="仿宋_GB2312" w:hAnsi="仿宋_GB2312" w:eastAsia="仿宋_GB2312" w:cs="仿宋_GB2312"/>
          <w:sz w:val="32"/>
          <w:szCs w:val="32"/>
        </w:rPr>
        <w:t>%，对个人家庭补助支出</w:t>
      </w:r>
      <w:r>
        <w:rPr>
          <w:rFonts w:hint="eastAsia" w:ascii="仿宋_GB2312" w:hAnsi="仿宋_GB2312" w:cs="仿宋_GB2312"/>
          <w:sz w:val="32"/>
          <w:szCs w:val="32"/>
          <w:lang w:val="en-US" w:eastAsia="zh-CN"/>
        </w:rPr>
        <w:t>22.45</w:t>
      </w:r>
      <w:r>
        <w:rPr>
          <w:rFonts w:hint="eastAsia" w:ascii="仿宋_GB2312" w:hAnsi="仿宋_GB2312" w:eastAsia="仿宋_GB2312" w:cs="仿宋_GB2312"/>
          <w:sz w:val="32"/>
          <w:szCs w:val="32"/>
        </w:rPr>
        <w:t>万元，占总支出</w:t>
      </w:r>
      <w:r>
        <w:rPr>
          <w:rFonts w:hint="eastAsia" w:ascii="仿宋_GB2312" w:hAnsi="仿宋_GB2312" w:cs="仿宋_GB2312"/>
          <w:sz w:val="32"/>
          <w:szCs w:val="32"/>
          <w:lang w:val="en-US" w:eastAsia="zh-CN"/>
        </w:rPr>
        <w:t>5.67</w:t>
      </w:r>
      <w:r>
        <w:rPr>
          <w:rFonts w:hint="eastAsia" w:ascii="仿宋_GB2312" w:hAnsi="仿宋_GB2312" w:eastAsia="仿宋_GB2312" w:cs="仿宋_GB2312"/>
          <w:sz w:val="32"/>
          <w:szCs w:val="32"/>
        </w:rPr>
        <w:t>%,资本性支出</w:t>
      </w:r>
      <w:r>
        <w:rPr>
          <w:rFonts w:hint="eastAsia" w:ascii="仿宋_GB2312" w:hAnsi="仿宋_GB2312" w:cs="仿宋_GB2312"/>
          <w:sz w:val="32"/>
          <w:szCs w:val="32"/>
          <w:lang w:val="en-US" w:eastAsia="zh-CN"/>
        </w:rPr>
        <w:t>0</w:t>
      </w:r>
      <w:r>
        <w:rPr>
          <w:rFonts w:hint="eastAsia" w:ascii="仿宋_GB2312" w:hAnsi="仿宋_GB2312" w:eastAsia="仿宋_GB2312" w:cs="仿宋_GB2312"/>
          <w:sz w:val="32"/>
          <w:szCs w:val="32"/>
        </w:rPr>
        <w:t>万元，占总支出</w:t>
      </w:r>
      <w:r>
        <w:rPr>
          <w:rFonts w:hint="eastAsia" w:ascii="仿宋_GB2312" w:hAnsi="仿宋_GB2312" w:cs="仿宋_GB2312"/>
          <w:sz w:val="32"/>
          <w:szCs w:val="32"/>
          <w:lang w:val="en-US" w:eastAsia="zh-CN"/>
        </w:rPr>
        <w:t>0</w:t>
      </w:r>
      <w:r>
        <w:rPr>
          <w:rFonts w:hint="eastAsia" w:ascii="仿宋_GB2312" w:hAnsi="仿宋_GB2312" w:eastAsia="仿宋_GB2312" w:cs="仿宋_GB2312"/>
          <w:sz w:val="32"/>
          <w:szCs w:val="32"/>
        </w:rPr>
        <w:t>%。</w:t>
      </w:r>
    </w:p>
    <w:p w14:paraId="12CA6941">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leftChars="200"/>
        <w:jc w:val="both"/>
        <w:textAlignment w:val="auto"/>
        <w:rPr>
          <w:rFonts w:hint="eastAsia" w:ascii="楷体_GB2312" w:hAnsi="楷体_GB2312" w:eastAsia="楷体_GB2312" w:cs="楷体_GB2312"/>
          <w:b/>
          <w:bCs/>
          <w:color w:val="000000"/>
          <w:kern w:val="0"/>
          <w:szCs w:val="32"/>
          <w:highlight w:val="none"/>
          <w:shd w:val="clear" w:color="auto" w:fill="FFFFFF"/>
          <w:lang w:val="zh-CN" w:eastAsia="zh-CN"/>
        </w:rPr>
      </w:pPr>
      <w:r>
        <w:rPr>
          <w:rFonts w:hint="eastAsia" w:ascii="楷体_GB2312" w:hAnsi="楷体_GB2312" w:eastAsia="楷体_GB2312" w:cs="楷体_GB2312"/>
          <w:b/>
          <w:bCs/>
          <w:color w:val="000000"/>
          <w:kern w:val="0"/>
          <w:szCs w:val="32"/>
          <w:highlight w:val="none"/>
          <w:shd w:val="clear" w:color="auto" w:fill="FFFFFF"/>
          <w:lang w:val="zh-CN" w:eastAsia="zh-CN"/>
        </w:rPr>
        <w:t>（</w:t>
      </w:r>
      <w:r>
        <w:rPr>
          <w:rFonts w:hint="eastAsia" w:ascii="楷体_GB2312" w:hAnsi="楷体_GB2312" w:eastAsia="楷体_GB2312" w:cs="楷体_GB2312"/>
          <w:b/>
          <w:bCs/>
          <w:color w:val="000000"/>
          <w:kern w:val="0"/>
          <w:szCs w:val="32"/>
          <w:highlight w:val="none"/>
          <w:shd w:val="clear" w:color="auto" w:fill="FFFFFF"/>
          <w:lang w:val="en-US" w:eastAsia="zh-CN"/>
        </w:rPr>
        <w:t>三</w:t>
      </w:r>
      <w:r>
        <w:rPr>
          <w:rFonts w:hint="eastAsia" w:ascii="楷体_GB2312" w:hAnsi="楷体_GB2312" w:eastAsia="楷体_GB2312" w:cs="楷体_GB2312"/>
          <w:b/>
          <w:bCs/>
          <w:color w:val="000000"/>
          <w:kern w:val="0"/>
          <w:szCs w:val="32"/>
          <w:highlight w:val="none"/>
          <w:shd w:val="clear" w:color="auto" w:fill="FFFFFF"/>
          <w:lang w:val="zh-CN" w:eastAsia="zh-CN"/>
        </w:rPr>
        <w:t>）绩效结果应用情况</w:t>
      </w:r>
    </w:p>
    <w:p w14:paraId="37BDCCAC">
      <w:pPr>
        <w:keepNext w:val="0"/>
        <w:keepLines w:val="0"/>
        <w:pageBreakBefore w:val="0"/>
        <w:widowControl/>
        <w:numPr>
          <w:ilvl w:val="0"/>
          <w:numId w:val="0"/>
        </w:numPr>
        <w:kinsoku/>
        <w:wordWrap/>
        <w:overflowPunct/>
        <w:topLinePunct w:val="0"/>
        <w:autoSpaceDE/>
        <w:autoSpaceDN/>
        <w:bidi w:val="0"/>
        <w:adjustRightInd w:val="0"/>
        <w:snapToGrid w:val="0"/>
        <w:spacing w:line="560" w:lineRule="exact"/>
        <w:ind w:firstLine="640" w:firstLineChars="200"/>
        <w:contextualSpacing/>
        <w:jc w:val="both"/>
        <w:textAlignment w:val="auto"/>
        <w:outlineLvl w:val="9"/>
        <w:rPr>
          <w:rFonts w:hint="eastAsia" w:ascii="仿宋_GB2312" w:hAnsi="仿宋_GB2312" w:eastAsia="仿宋_GB2312" w:cs="仿宋_GB2312"/>
          <w:sz w:val="32"/>
          <w:highlight w:val="none"/>
          <w:lang w:val="zh-CN" w:eastAsia="zh-CN"/>
        </w:rPr>
      </w:pPr>
      <w:r>
        <w:rPr>
          <w:rFonts w:hint="eastAsia" w:ascii="仿宋_GB2312" w:hAnsi="仿宋_GB2312" w:eastAsia="仿宋_GB2312" w:cs="仿宋_GB2312"/>
          <w:sz w:val="32"/>
          <w:lang w:eastAsia="zh-CN"/>
        </w:rPr>
        <w:t>本次我镇整体支出绩效评价情况由相关部门予以公开，接受社会</w:t>
      </w:r>
      <w:r>
        <w:rPr>
          <w:rFonts w:hint="eastAsia" w:ascii="仿宋_GB2312" w:hAnsi="仿宋_GB2312" w:cs="仿宋_GB2312"/>
          <w:sz w:val="32"/>
          <w:lang w:val="en-US" w:eastAsia="zh-CN"/>
        </w:rPr>
        <w:t>公众</w:t>
      </w:r>
      <w:r>
        <w:rPr>
          <w:rFonts w:hint="eastAsia" w:ascii="仿宋_GB2312" w:hAnsi="仿宋_GB2312" w:eastAsia="仿宋_GB2312" w:cs="仿宋_GB2312"/>
          <w:sz w:val="32"/>
          <w:lang w:eastAsia="zh-CN"/>
        </w:rPr>
        <w:t>监督</w:t>
      </w:r>
      <w:r>
        <w:rPr>
          <w:rFonts w:hint="eastAsia" w:ascii="仿宋_GB2312" w:hAnsi="仿宋_GB2312" w:eastAsia="仿宋_GB2312" w:cs="仿宋_GB2312"/>
          <w:sz w:val="32"/>
          <w:highlight w:val="none"/>
          <w:lang w:eastAsia="zh-CN"/>
        </w:rPr>
        <w:t>。</w:t>
      </w:r>
      <w:r>
        <w:rPr>
          <w:rFonts w:hint="eastAsia" w:ascii="仿宋_GB2312" w:hAnsi="仿宋_GB2312" w:eastAsia="仿宋_GB2312" w:cs="仿宋_GB2312"/>
          <w:sz w:val="32"/>
          <w:highlight w:val="none"/>
          <w:lang w:val="zh-CN" w:eastAsia="zh-CN"/>
        </w:rPr>
        <w:t>我镇于2024年3月</w:t>
      </w:r>
      <w:r>
        <w:rPr>
          <w:rFonts w:hint="eastAsia" w:ascii="仿宋_GB2312" w:hAnsi="仿宋_GB2312" w:eastAsia="仿宋_GB2312" w:cs="仿宋_GB2312"/>
          <w:sz w:val="32"/>
          <w:highlight w:val="none"/>
          <w:lang w:val="en-US" w:eastAsia="zh-CN"/>
        </w:rPr>
        <w:t>26</w:t>
      </w:r>
      <w:r>
        <w:rPr>
          <w:rFonts w:hint="eastAsia" w:ascii="仿宋_GB2312" w:hAnsi="仿宋_GB2312" w:eastAsia="仿宋_GB2312" w:cs="仿宋_GB2312"/>
          <w:sz w:val="32"/>
          <w:highlight w:val="none"/>
          <w:lang w:val="zh-CN" w:eastAsia="zh-CN"/>
        </w:rPr>
        <w:t>日在黑水县人民政府信息公开网站上公开了《</w:t>
      </w:r>
      <w:r>
        <w:rPr>
          <w:rFonts w:hint="eastAsia" w:ascii="仿宋_GB2312" w:hAnsi="仿宋_GB2312" w:cs="仿宋_GB2312"/>
          <w:sz w:val="32"/>
          <w:highlight w:val="none"/>
          <w:lang w:val="zh-CN" w:eastAsia="zh-CN"/>
        </w:rPr>
        <w:t>芦花</w:t>
      </w:r>
      <w:r>
        <w:rPr>
          <w:rFonts w:hint="eastAsia" w:ascii="仿宋_GB2312" w:hAnsi="仿宋_GB2312" w:eastAsia="仿宋_GB2312" w:cs="仿宋_GB2312"/>
          <w:sz w:val="32"/>
          <w:highlight w:val="none"/>
          <w:lang w:val="zh-CN" w:eastAsia="zh-CN"/>
        </w:rPr>
        <w:t>镇人民</w:t>
      </w:r>
      <w:r>
        <w:rPr>
          <w:rFonts w:hint="eastAsia" w:ascii="仿宋_GB2312" w:hAnsi="仿宋_GB2312" w:cs="仿宋_GB2312"/>
          <w:sz w:val="32"/>
          <w:highlight w:val="none"/>
          <w:lang w:val="en-US" w:eastAsia="zh-CN"/>
        </w:rPr>
        <w:t>政府</w:t>
      </w:r>
      <w:r>
        <w:rPr>
          <w:rFonts w:hint="eastAsia" w:ascii="仿宋_GB2312" w:hAnsi="仿宋_GB2312" w:eastAsia="仿宋_GB2312" w:cs="仿宋_GB2312"/>
          <w:sz w:val="32"/>
          <w:highlight w:val="none"/>
          <w:lang w:val="zh-CN" w:eastAsia="zh-CN"/>
        </w:rPr>
        <w:t>2024年预算编制说明》并同步公开了</w:t>
      </w:r>
      <w:r>
        <w:rPr>
          <w:rFonts w:hint="eastAsia" w:ascii="仿宋_GB2312" w:hAnsi="仿宋_GB2312" w:eastAsia="仿宋_GB2312" w:cs="仿宋_GB2312"/>
          <w:sz w:val="32"/>
          <w:highlight w:val="none"/>
          <w:lang w:val="en-US" w:eastAsia="zh-CN"/>
        </w:rPr>
        <w:t>2024年部门整体支出绩效目标表</w:t>
      </w:r>
      <w:r>
        <w:rPr>
          <w:rFonts w:hint="eastAsia" w:ascii="仿宋_GB2312" w:hAnsi="仿宋_GB2312" w:eastAsia="仿宋_GB2312" w:cs="仿宋_GB2312"/>
          <w:sz w:val="32"/>
          <w:highlight w:val="none"/>
          <w:lang w:val="zh-CN" w:eastAsia="zh-CN"/>
        </w:rPr>
        <w:t>。</w:t>
      </w:r>
    </w:p>
    <w:p w14:paraId="24877D47">
      <w:pPr>
        <w:keepNext w:val="0"/>
        <w:keepLines w:val="0"/>
        <w:pageBreakBefore w:val="0"/>
        <w:widowControl/>
        <w:numPr>
          <w:ilvl w:val="0"/>
          <w:numId w:val="0"/>
        </w:numPr>
        <w:kinsoku/>
        <w:wordWrap/>
        <w:overflowPunct/>
        <w:topLinePunct w:val="0"/>
        <w:autoSpaceDE/>
        <w:autoSpaceDN/>
        <w:bidi w:val="0"/>
        <w:adjustRightInd w:val="0"/>
        <w:snapToGrid w:val="0"/>
        <w:spacing w:line="560" w:lineRule="exact"/>
        <w:ind w:firstLine="640" w:firstLineChars="200"/>
        <w:contextualSpacing/>
        <w:jc w:val="both"/>
        <w:textAlignment w:val="auto"/>
        <w:outlineLvl w:val="9"/>
        <w:rPr>
          <w:rFonts w:hint="eastAsia" w:ascii="Times New Roman" w:hAnsi="Times New Roman" w:cs="Times New Roman"/>
          <w:color w:val="000000"/>
          <w:kern w:val="0"/>
          <w:szCs w:val="32"/>
          <w:highlight w:val="none"/>
          <w:shd w:val="clear" w:color="auto" w:fill="FFFFFF"/>
          <w:lang w:val="zh-CN" w:eastAsia="zh-CN"/>
        </w:rPr>
      </w:pPr>
      <w:r>
        <w:rPr>
          <w:rFonts w:hint="eastAsia" w:ascii="仿宋_GB2312" w:hAnsi="仿宋_GB2312" w:eastAsia="仿宋_GB2312" w:cs="仿宋_GB2312"/>
          <w:sz w:val="32"/>
          <w:lang w:val="zh-CN" w:eastAsia="zh-CN"/>
        </w:rPr>
        <w:t>由于202</w:t>
      </w:r>
      <w:r>
        <w:rPr>
          <w:rFonts w:hint="eastAsia" w:ascii="仿宋_GB2312" w:hAnsi="仿宋_GB2312" w:eastAsia="仿宋_GB2312" w:cs="仿宋_GB2312"/>
          <w:sz w:val="32"/>
          <w:lang w:val="en-US" w:eastAsia="zh-CN"/>
        </w:rPr>
        <w:t>4</w:t>
      </w:r>
      <w:r>
        <w:rPr>
          <w:rFonts w:hint="eastAsia" w:ascii="仿宋_GB2312" w:hAnsi="仿宋_GB2312" w:eastAsia="仿宋_GB2312" w:cs="仿宋_GB2312"/>
          <w:sz w:val="32"/>
          <w:lang w:val="zh-CN" w:eastAsia="zh-CN"/>
        </w:rPr>
        <w:t>年尚未进行决算批复，暂无法公开</w:t>
      </w:r>
      <w:r>
        <w:rPr>
          <w:rFonts w:hint="eastAsia" w:ascii="仿宋_GB2312" w:hAnsi="仿宋_GB2312" w:eastAsia="仿宋_GB2312" w:cs="仿宋_GB2312"/>
          <w:sz w:val="32"/>
          <w:lang w:val="en-US" w:eastAsia="zh-CN"/>
        </w:rPr>
        <w:t>2024年</w:t>
      </w:r>
      <w:r>
        <w:rPr>
          <w:rFonts w:hint="eastAsia" w:ascii="仿宋_GB2312" w:hAnsi="仿宋_GB2312" w:eastAsia="仿宋_GB2312" w:cs="仿宋_GB2312"/>
          <w:sz w:val="32"/>
          <w:lang w:val="zh-CN" w:eastAsia="zh-CN"/>
        </w:rPr>
        <w:t>决算和整体绩效。</w:t>
      </w:r>
    </w:p>
    <w:p w14:paraId="7FA20332">
      <w:pPr>
        <w:keepNext w:val="0"/>
        <w:keepLines w:val="0"/>
        <w:pageBreakBefore w:val="0"/>
        <w:widowControl/>
        <w:kinsoku/>
        <w:wordWrap/>
        <w:overflowPunct/>
        <w:topLinePunct w:val="0"/>
        <w:autoSpaceDE/>
        <w:autoSpaceDN/>
        <w:bidi w:val="0"/>
        <w:adjustRightInd w:val="0"/>
        <w:snapToGrid w:val="0"/>
        <w:spacing w:line="560" w:lineRule="exact"/>
        <w:ind w:firstLine="640" w:firstLineChars="200"/>
        <w:contextualSpacing/>
        <w:jc w:val="both"/>
        <w:textAlignment w:val="auto"/>
        <w:outlineLvl w:val="9"/>
        <w:rPr>
          <w:rFonts w:hint="eastAsia" w:ascii="黑体" w:hAnsi="黑体" w:eastAsia="黑体" w:cs="黑体"/>
          <w:color w:val="000000"/>
          <w:kern w:val="0"/>
          <w:szCs w:val="32"/>
          <w:highlight w:val="none"/>
          <w:shd w:val="clear" w:color="auto" w:fill="FFFFFF"/>
        </w:rPr>
      </w:pPr>
      <w:r>
        <w:rPr>
          <w:rFonts w:hint="eastAsia" w:ascii="黑体" w:hAnsi="黑体" w:eastAsia="黑体" w:cs="黑体"/>
          <w:color w:val="000000"/>
          <w:kern w:val="0"/>
          <w:szCs w:val="32"/>
          <w:highlight w:val="none"/>
          <w:shd w:val="clear" w:color="auto" w:fill="FFFFFF"/>
          <w:lang w:eastAsia="zh-CN"/>
        </w:rPr>
        <w:t>四、</w:t>
      </w:r>
      <w:r>
        <w:rPr>
          <w:rFonts w:hint="eastAsia" w:ascii="黑体" w:hAnsi="黑体" w:eastAsia="黑体" w:cs="黑体"/>
          <w:color w:val="000000"/>
          <w:kern w:val="0"/>
          <w:szCs w:val="32"/>
          <w:highlight w:val="none"/>
          <w:shd w:val="clear" w:color="auto" w:fill="FFFFFF"/>
        </w:rPr>
        <w:t>评价结论及建议</w:t>
      </w:r>
    </w:p>
    <w:p w14:paraId="7E0AB41A">
      <w:pPr>
        <w:keepNext w:val="0"/>
        <w:keepLines w:val="0"/>
        <w:pageBreakBefore w:val="0"/>
        <w:kinsoku/>
        <w:wordWrap/>
        <w:overflowPunct/>
        <w:topLinePunct w:val="0"/>
        <w:autoSpaceDE/>
        <w:autoSpaceDN/>
        <w:bidi w:val="0"/>
        <w:spacing w:line="560" w:lineRule="exact"/>
        <w:ind w:firstLine="643" w:firstLineChars="200"/>
        <w:jc w:val="both"/>
        <w:textAlignment w:val="auto"/>
        <w:rPr>
          <w:rFonts w:hint="default" w:ascii="Times New Roman" w:hAnsi="Times New Roman" w:eastAsia="楷体_GB2312" w:cs="Times New Roman"/>
          <w:b/>
          <w:bCs/>
          <w:color w:val="000000"/>
          <w:kern w:val="0"/>
          <w:szCs w:val="32"/>
          <w:highlight w:val="none"/>
          <w:shd w:val="clear" w:color="auto" w:fill="FFFFFF"/>
          <w:lang w:val="zh-CN"/>
        </w:rPr>
      </w:pPr>
      <w:r>
        <w:rPr>
          <w:rFonts w:hint="default" w:ascii="Times New Roman" w:hAnsi="Times New Roman" w:eastAsia="楷体_GB2312" w:cs="Times New Roman"/>
          <w:b/>
          <w:bCs/>
          <w:color w:val="000000"/>
          <w:kern w:val="0"/>
          <w:szCs w:val="32"/>
          <w:highlight w:val="none"/>
          <w:shd w:val="clear" w:color="auto" w:fill="FFFFFF"/>
          <w:lang w:val="zh-CN"/>
        </w:rPr>
        <w:t>（一）评价结论</w:t>
      </w:r>
    </w:p>
    <w:p w14:paraId="7E977CE8">
      <w:pPr>
        <w:keepNext w:val="0"/>
        <w:keepLines w:val="0"/>
        <w:pageBreakBefore w:val="0"/>
        <w:numPr>
          <w:ilvl w:val="0"/>
          <w:numId w:val="0"/>
        </w:numPr>
        <w:kinsoku/>
        <w:wordWrap/>
        <w:overflowPunct/>
        <w:topLinePunct w:val="0"/>
        <w:autoSpaceDE/>
        <w:autoSpaceDN/>
        <w:bidi w:val="0"/>
        <w:snapToGrid w:val="0"/>
        <w:spacing w:line="560" w:lineRule="exact"/>
        <w:ind w:firstLine="640" w:firstLineChars="200"/>
        <w:jc w:val="both"/>
        <w:textAlignment w:val="auto"/>
        <w:rPr>
          <w:rFonts w:hint="eastAsia" w:ascii="仿宋_GB2312" w:hAnsi="仿宋_GB2312" w:eastAsia="仿宋_GB2312" w:cs="仿宋_GB2312"/>
          <w:sz w:val="32"/>
          <w:szCs w:val="32"/>
          <w:lang w:eastAsia="zh-CN"/>
        </w:rPr>
      </w:pPr>
      <w:r>
        <w:rPr>
          <w:rFonts w:hint="eastAsia" w:ascii="仿宋_GB2312" w:hAnsi="仿宋_GB2312" w:eastAsia="仿宋_GB2312" w:cs="仿宋_GB2312"/>
          <w:sz w:val="32"/>
          <w:szCs w:val="32"/>
          <w:lang w:eastAsia="zh-CN"/>
        </w:rPr>
        <w:t>2024</w:t>
      </w:r>
      <w:r>
        <w:rPr>
          <w:rFonts w:hint="eastAsia" w:ascii="仿宋_GB2312" w:hAnsi="仿宋_GB2312" w:eastAsia="仿宋_GB2312" w:cs="仿宋_GB2312"/>
          <w:sz w:val="32"/>
          <w:szCs w:val="32"/>
        </w:rPr>
        <w:t>年部门预算收入总额</w:t>
      </w:r>
      <w:r>
        <w:rPr>
          <w:rFonts w:hint="eastAsia" w:ascii="仿宋_GB2312" w:hAnsi="仿宋_GB2312" w:cs="仿宋_GB2312"/>
          <w:sz w:val="32"/>
          <w:lang w:val="en-US" w:eastAsia="zh-CN"/>
        </w:rPr>
        <w:t>396.55</w:t>
      </w:r>
      <w:r>
        <w:rPr>
          <w:rFonts w:hint="eastAsia" w:ascii="仿宋_GB2312" w:hAnsi="仿宋_GB2312" w:eastAsia="仿宋_GB2312" w:cs="仿宋_GB2312"/>
          <w:color w:val="000000"/>
          <w:kern w:val="0"/>
          <w:sz w:val="32"/>
          <w:szCs w:val="32"/>
        </w:rPr>
        <w:t>万元</w:t>
      </w:r>
      <w:r>
        <w:rPr>
          <w:rFonts w:hint="eastAsia" w:ascii="仿宋_GB2312" w:hAnsi="仿宋_GB2312" w:eastAsia="仿宋_GB2312" w:cs="仿宋_GB2312"/>
          <w:sz w:val="32"/>
          <w:szCs w:val="32"/>
        </w:rPr>
        <w:t>，</w:t>
      </w:r>
      <w:r>
        <w:rPr>
          <w:rFonts w:hint="eastAsia" w:ascii="仿宋_GB2312" w:hAnsi="仿宋_GB2312" w:eastAsia="仿宋_GB2312" w:cs="仿宋_GB2312"/>
          <w:sz w:val="32"/>
          <w:szCs w:val="32"/>
          <w:lang w:eastAsia="zh-CN"/>
        </w:rPr>
        <w:t>2024</w:t>
      </w:r>
      <w:r>
        <w:rPr>
          <w:rFonts w:hint="eastAsia" w:ascii="仿宋_GB2312" w:hAnsi="仿宋_GB2312" w:eastAsia="仿宋_GB2312" w:cs="仿宋_GB2312"/>
          <w:sz w:val="32"/>
          <w:szCs w:val="32"/>
        </w:rPr>
        <w:t>年总支出</w:t>
      </w:r>
      <w:r>
        <w:rPr>
          <w:rFonts w:hint="eastAsia" w:ascii="仿宋_GB2312" w:hAnsi="仿宋_GB2312" w:cs="仿宋_GB2312"/>
          <w:sz w:val="32"/>
          <w:lang w:val="en-US" w:eastAsia="zh-CN"/>
        </w:rPr>
        <w:t>396.55</w:t>
      </w:r>
      <w:r>
        <w:rPr>
          <w:rFonts w:hint="eastAsia" w:ascii="仿宋_GB2312" w:hAnsi="仿宋_GB2312" w:eastAsia="仿宋_GB2312" w:cs="仿宋_GB2312"/>
          <w:sz w:val="32"/>
          <w:szCs w:val="32"/>
        </w:rPr>
        <w:t>万元（工资福利支出</w:t>
      </w:r>
      <w:r>
        <w:rPr>
          <w:rFonts w:hint="eastAsia" w:ascii="仿宋_GB2312" w:hAnsi="仿宋_GB2312" w:cs="仿宋_GB2312"/>
          <w:sz w:val="32"/>
          <w:szCs w:val="32"/>
          <w:lang w:val="en-US" w:eastAsia="zh-CN"/>
        </w:rPr>
        <w:t>339.98</w:t>
      </w:r>
      <w:r>
        <w:rPr>
          <w:rFonts w:hint="eastAsia" w:ascii="仿宋_GB2312" w:hAnsi="仿宋_GB2312" w:eastAsia="仿宋_GB2312" w:cs="仿宋_GB2312"/>
          <w:sz w:val="32"/>
          <w:szCs w:val="32"/>
        </w:rPr>
        <w:t>万元，占总支出</w:t>
      </w:r>
      <w:r>
        <w:rPr>
          <w:rFonts w:hint="eastAsia" w:ascii="仿宋_GB2312" w:hAnsi="仿宋_GB2312" w:cs="仿宋_GB2312"/>
          <w:sz w:val="32"/>
          <w:szCs w:val="32"/>
          <w:lang w:val="en-US" w:eastAsia="zh-CN"/>
        </w:rPr>
        <w:t>85.73</w:t>
      </w:r>
      <w:r>
        <w:rPr>
          <w:rFonts w:hint="eastAsia" w:ascii="仿宋_GB2312" w:hAnsi="仿宋_GB2312" w:eastAsia="仿宋_GB2312" w:cs="仿宋_GB2312"/>
          <w:sz w:val="32"/>
          <w:szCs w:val="32"/>
        </w:rPr>
        <w:t>%，商品服务支出</w:t>
      </w:r>
      <w:r>
        <w:rPr>
          <w:rFonts w:hint="eastAsia" w:ascii="仿宋_GB2312" w:hAnsi="仿宋_GB2312" w:cs="仿宋_GB2312"/>
          <w:sz w:val="32"/>
          <w:szCs w:val="32"/>
          <w:lang w:val="en-US" w:eastAsia="zh-CN"/>
        </w:rPr>
        <w:t>34.12</w:t>
      </w:r>
      <w:r>
        <w:rPr>
          <w:rFonts w:hint="eastAsia" w:ascii="仿宋_GB2312" w:hAnsi="仿宋_GB2312" w:eastAsia="仿宋_GB2312" w:cs="仿宋_GB2312"/>
          <w:sz w:val="32"/>
          <w:szCs w:val="32"/>
        </w:rPr>
        <w:t>万元，占总支出</w:t>
      </w:r>
      <w:r>
        <w:rPr>
          <w:rFonts w:hint="eastAsia" w:ascii="仿宋_GB2312" w:hAnsi="仿宋_GB2312" w:cs="仿宋_GB2312"/>
          <w:sz w:val="32"/>
          <w:szCs w:val="32"/>
          <w:lang w:val="en-US" w:eastAsia="zh-CN"/>
        </w:rPr>
        <w:t>8.6</w:t>
      </w:r>
      <w:r>
        <w:rPr>
          <w:rFonts w:hint="eastAsia" w:ascii="仿宋_GB2312" w:hAnsi="仿宋_GB2312" w:eastAsia="仿宋_GB2312" w:cs="仿宋_GB2312"/>
          <w:sz w:val="32"/>
          <w:szCs w:val="32"/>
        </w:rPr>
        <w:t>%，对个人家庭补助支出</w:t>
      </w:r>
      <w:r>
        <w:rPr>
          <w:rFonts w:hint="eastAsia" w:ascii="仿宋_GB2312" w:hAnsi="仿宋_GB2312" w:cs="仿宋_GB2312"/>
          <w:sz w:val="32"/>
          <w:szCs w:val="32"/>
          <w:lang w:val="en-US" w:eastAsia="zh-CN"/>
        </w:rPr>
        <w:t>22.45</w:t>
      </w:r>
      <w:r>
        <w:rPr>
          <w:rFonts w:hint="eastAsia" w:ascii="仿宋_GB2312" w:hAnsi="仿宋_GB2312" w:eastAsia="仿宋_GB2312" w:cs="仿宋_GB2312"/>
          <w:sz w:val="32"/>
          <w:szCs w:val="32"/>
        </w:rPr>
        <w:t>万元，占总支出</w:t>
      </w:r>
      <w:r>
        <w:rPr>
          <w:rFonts w:hint="eastAsia" w:ascii="仿宋_GB2312" w:hAnsi="仿宋_GB2312" w:cs="仿宋_GB2312"/>
          <w:sz w:val="32"/>
          <w:szCs w:val="32"/>
          <w:lang w:val="en-US" w:eastAsia="zh-CN"/>
        </w:rPr>
        <w:t>5.67</w:t>
      </w:r>
      <w:r>
        <w:rPr>
          <w:rFonts w:hint="eastAsia" w:ascii="仿宋_GB2312" w:hAnsi="仿宋_GB2312" w:eastAsia="仿宋_GB2312" w:cs="仿宋_GB2312"/>
          <w:sz w:val="32"/>
          <w:szCs w:val="32"/>
        </w:rPr>
        <w:t>%,资本性支出</w:t>
      </w:r>
      <w:r>
        <w:rPr>
          <w:rFonts w:hint="eastAsia" w:ascii="仿宋_GB2312" w:hAnsi="仿宋_GB2312" w:cs="仿宋_GB2312"/>
          <w:sz w:val="32"/>
          <w:szCs w:val="32"/>
          <w:lang w:val="en-US" w:eastAsia="zh-CN"/>
        </w:rPr>
        <w:t>0</w:t>
      </w:r>
      <w:r>
        <w:rPr>
          <w:rFonts w:hint="eastAsia" w:ascii="仿宋_GB2312" w:hAnsi="仿宋_GB2312" w:eastAsia="仿宋_GB2312" w:cs="仿宋_GB2312"/>
          <w:sz w:val="32"/>
          <w:szCs w:val="32"/>
        </w:rPr>
        <w:t>万元，占总支出</w:t>
      </w:r>
      <w:r>
        <w:rPr>
          <w:rFonts w:hint="eastAsia" w:ascii="仿宋_GB2312" w:hAnsi="仿宋_GB2312" w:cs="仿宋_GB2312"/>
          <w:sz w:val="32"/>
          <w:szCs w:val="32"/>
          <w:lang w:val="en-US" w:eastAsia="zh-CN"/>
        </w:rPr>
        <w:t>0</w:t>
      </w:r>
      <w:r>
        <w:rPr>
          <w:rFonts w:hint="eastAsia" w:ascii="仿宋_GB2312" w:hAnsi="仿宋_GB2312" w:eastAsia="仿宋_GB2312" w:cs="仿宋_GB2312"/>
          <w:sz w:val="32"/>
          <w:szCs w:val="32"/>
        </w:rPr>
        <w:t>%。</w:t>
      </w:r>
      <w:r>
        <w:rPr>
          <w:rFonts w:hint="eastAsia" w:ascii="仿宋_GB2312" w:hAnsi="仿宋_GB2312" w:eastAsia="仿宋_GB2312" w:cs="仿宋_GB2312"/>
          <w:sz w:val="32"/>
          <w:szCs w:val="32"/>
          <w:lang w:eastAsia="zh-CN"/>
        </w:rPr>
        <w:t>）。</w:t>
      </w:r>
    </w:p>
    <w:p w14:paraId="59F014CA">
      <w:pPr>
        <w:keepNext w:val="0"/>
        <w:keepLines w:val="0"/>
        <w:pageBreakBefore w:val="0"/>
        <w:kinsoku/>
        <w:wordWrap/>
        <w:overflowPunct/>
        <w:topLinePunct w:val="0"/>
        <w:autoSpaceDE/>
        <w:autoSpaceDN/>
        <w:bidi w:val="0"/>
        <w:snapToGrid w:val="0"/>
        <w:spacing w:line="560" w:lineRule="exact"/>
        <w:ind w:firstLine="640" w:firstLineChars="200"/>
        <w:jc w:val="both"/>
        <w:textAlignment w:val="auto"/>
        <w:rPr>
          <w:rFonts w:hint="eastAsia" w:eastAsia="仿宋_GB2312"/>
          <w:lang w:val="zh-CN" w:eastAsia="zh-CN"/>
        </w:rPr>
      </w:pPr>
      <w:r>
        <w:rPr>
          <w:rFonts w:hint="eastAsia" w:ascii="仿宋_GB2312" w:hAnsi="仿宋_GB2312" w:eastAsia="仿宋_GB2312" w:cs="仿宋_GB2312"/>
          <w:sz w:val="32"/>
          <w:szCs w:val="32"/>
        </w:rPr>
        <w:t>本年度财政拨款为我</w:t>
      </w:r>
      <w:r>
        <w:rPr>
          <w:rFonts w:hint="eastAsia" w:ascii="仿宋_GB2312" w:hAnsi="仿宋_GB2312" w:eastAsia="仿宋_GB2312" w:cs="仿宋_GB2312"/>
          <w:sz w:val="32"/>
          <w:szCs w:val="32"/>
          <w:lang w:eastAsia="zh-CN"/>
        </w:rPr>
        <w:t>镇</w:t>
      </w:r>
      <w:r>
        <w:rPr>
          <w:rFonts w:hint="eastAsia" w:ascii="仿宋_GB2312" w:hAnsi="仿宋_GB2312" w:eastAsia="仿宋_GB2312" w:cs="仿宋_GB2312"/>
          <w:sz w:val="32"/>
          <w:szCs w:val="32"/>
        </w:rPr>
        <w:t>工作的开展提供了有力的保障，使我</w:t>
      </w:r>
      <w:r>
        <w:rPr>
          <w:rFonts w:hint="eastAsia" w:ascii="仿宋_GB2312" w:hAnsi="仿宋_GB2312" w:eastAsia="仿宋_GB2312" w:cs="仿宋_GB2312"/>
          <w:sz w:val="32"/>
          <w:szCs w:val="32"/>
          <w:lang w:eastAsia="zh-CN"/>
        </w:rPr>
        <w:t>镇</w:t>
      </w:r>
      <w:r>
        <w:rPr>
          <w:rFonts w:hint="eastAsia" w:ascii="仿宋_GB2312" w:hAnsi="仿宋_GB2312" w:eastAsia="仿宋_GB2312" w:cs="仿宋_GB2312"/>
          <w:sz w:val="32"/>
          <w:szCs w:val="32"/>
        </w:rPr>
        <w:t>顺利完成</w:t>
      </w:r>
      <w:r>
        <w:rPr>
          <w:rFonts w:hint="eastAsia" w:ascii="仿宋_GB2312" w:hAnsi="仿宋_GB2312" w:eastAsia="仿宋_GB2312" w:cs="仿宋_GB2312"/>
          <w:sz w:val="32"/>
          <w:szCs w:val="32"/>
          <w:lang w:eastAsia="zh-CN"/>
        </w:rPr>
        <w:t>2024</w:t>
      </w:r>
      <w:r>
        <w:rPr>
          <w:rFonts w:hint="eastAsia" w:ascii="仿宋_GB2312" w:hAnsi="仿宋_GB2312" w:eastAsia="仿宋_GB2312" w:cs="仿宋_GB2312"/>
          <w:sz w:val="32"/>
          <w:szCs w:val="32"/>
        </w:rPr>
        <w:t>年度基层运行工作</w:t>
      </w:r>
      <w:r>
        <w:rPr>
          <w:rFonts w:hint="eastAsia" w:ascii="仿宋_GB2312" w:hAnsi="仿宋_GB2312" w:cs="仿宋_GB2312"/>
          <w:sz w:val="32"/>
          <w:szCs w:val="32"/>
          <w:lang w:eastAsia="zh-CN"/>
        </w:rPr>
        <w:t>。</w:t>
      </w:r>
    </w:p>
    <w:p w14:paraId="69354644">
      <w:pPr>
        <w:keepNext w:val="0"/>
        <w:keepLines w:val="0"/>
        <w:pageBreakBefore w:val="0"/>
        <w:kinsoku/>
        <w:wordWrap/>
        <w:overflowPunct/>
        <w:topLinePunct w:val="0"/>
        <w:autoSpaceDE/>
        <w:autoSpaceDN/>
        <w:bidi w:val="0"/>
        <w:snapToGrid w:val="0"/>
        <w:spacing w:line="560" w:lineRule="exact"/>
        <w:ind w:firstLine="602" w:firstLineChars="200"/>
        <w:jc w:val="both"/>
        <w:textAlignment w:val="auto"/>
        <w:rPr>
          <w:rFonts w:hint="eastAsia" w:ascii="方正楷体_GB2312" w:hAnsi="方正楷体_GB2312" w:eastAsia="方正楷体_GB2312" w:cs="方正楷体_GB2312"/>
          <w:b/>
          <w:kern w:val="0"/>
          <w:sz w:val="30"/>
          <w:szCs w:val="30"/>
          <w:lang w:val="zh-CN" w:eastAsia="zh-CN"/>
        </w:rPr>
      </w:pPr>
      <w:r>
        <w:rPr>
          <w:rFonts w:hint="eastAsia" w:ascii="方正楷体_GB2312" w:hAnsi="方正楷体_GB2312" w:eastAsia="方正楷体_GB2312" w:cs="方正楷体_GB2312"/>
          <w:b/>
          <w:kern w:val="0"/>
          <w:sz w:val="30"/>
          <w:szCs w:val="30"/>
          <w:lang w:val="zh-CN"/>
        </w:rPr>
        <w:t>（二）存在问题</w:t>
      </w:r>
    </w:p>
    <w:p w14:paraId="55F040FE">
      <w:pPr>
        <w:keepNext w:val="0"/>
        <w:keepLines w:val="0"/>
        <w:pageBreakBefore w:val="0"/>
        <w:kinsoku/>
        <w:wordWrap/>
        <w:overflowPunct/>
        <w:topLinePunct w:val="0"/>
        <w:autoSpaceDE/>
        <w:autoSpaceDN/>
        <w:bidi w:val="0"/>
        <w:spacing w:line="560" w:lineRule="exact"/>
        <w:ind w:firstLine="640" w:firstLineChars="200"/>
        <w:jc w:val="both"/>
        <w:textAlignment w:val="auto"/>
        <w:rPr>
          <w:rFonts w:hint="eastAsia" w:ascii="仿宋_GB2312" w:hAnsi="仿宋_GB2312" w:eastAsia="仿宋_GB2312" w:cs="仿宋_GB2312"/>
          <w:sz w:val="32"/>
          <w:szCs w:val="32"/>
          <w:lang w:eastAsia="zh-CN"/>
        </w:rPr>
      </w:pPr>
      <w:r>
        <w:rPr>
          <w:rFonts w:hint="eastAsia" w:ascii="仿宋_GB2312" w:hAnsi="仿宋_GB2312" w:eastAsia="仿宋_GB2312" w:cs="仿宋_GB2312"/>
          <w:sz w:val="32"/>
          <w:szCs w:val="32"/>
        </w:rPr>
        <w:t>无</w:t>
      </w:r>
      <w:r>
        <w:rPr>
          <w:rFonts w:hint="eastAsia" w:ascii="仿宋_GB2312" w:hAnsi="仿宋_GB2312" w:eastAsia="仿宋_GB2312" w:cs="仿宋_GB2312"/>
          <w:sz w:val="32"/>
          <w:szCs w:val="32"/>
          <w:lang w:eastAsia="zh-CN"/>
        </w:rPr>
        <w:t>。</w:t>
      </w:r>
    </w:p>
    <w:p w14:paraId="314E093D">
      <w:pPr>
        <w:keepNext w:val="0"/>
        <w:keepLines w:val="0"/>
        <w:pageBreakBefore w:val="0"/>
        <w:kinsoku/>
        <w:wordWrap/>
        <w:overflowPunct/>
        <w:topLinePunct w:val="0"/>
        <w:autoSpaceDE/>
        <w:autoSpaceDN/>
        <w:bidi w:val="0"/>
        <w:snapToGrid w:val="0"/>
        <w:spacing w:line="560" w:lineRule="exact"/>
        <w:ind w:firstLine="602" w:firstLineChars="200"/>
        <w:jc w:val="both"/>
        <w:textAlignment w:val="auto"/>
        <w:rPr>
          <w:rFonts w:hint="eastAsia" w:ascii="方正楷体_GB2312" w:hAnsi="方正楷体_GB2312" w:eastAsia="方正楷体_GB2312" w:cs="方正楷体_GB2312"/>
          <w:b/>
          <w:kern w:val="0"/>
          <w:sz w:val="30"/>
          <w:szCs w:val="30"/>
          <w:lang w:val="zh-CN"/>
        </w:rPr>
      </w:pPr>
      <w:r>
        <w:rPr>
          <w:rFonts w:hint="eastAsia" w:ascii="方正楷体_GB2312" w:hAnsi="方正楷体_GB2312" w:eastAsia="方正楷体_GB2312" w:cs="方正楷体_GB2312"/>
          <w:b/>
          <w:kern w:val="0"/>
          <w:sz w:val="30"/>
          <w:szCs w:val="30"/>
          <w:lang w:val="zh-CN"/>
        </w:rPr>
        <w:t>（</w:t>
      </w:r>
      <w:r>
        <w:rPr>
          <w:rFonts w:hint="eastAsia" w:ascii="方正楷体_GB2312" w:hAnsi="方正楷体_GB2312" w:eastAsia="方正楷体_GB2312" w:cs="方正楷体_GB2312"/>
          <w:b/>
          <w:kern w:val="0"/>
          <w:sz w:val="30"/>
          <w:szCs w:val="30"/>
          <w:lang w:val="en-US" w:eastAsia="zh-CN"/>
        </w:rPr>
        <w:t>三</w:t>
      </w:r>
      <w:r>
        <w:rPr>
          <w:rFonts w:hint="eastAsia" w:ascii="方正楷体_GB2312" w:hAnsi="方正楷体_GB2312" w:eastAsia="方正楷体_GB2312" w:cs="方正楷体_GB2312"/>
          <w:b/>
          <w:kern w:val="0"/>
          <w:sz w:val="30"/>
          <w:szCs w:val="30"/>
          <w:lang w:val="zh-CN"/>
        </w:rPr>
        <w:t>）改进建议</w:t>
      </w:r>
    </w:p>
    <w:p w14:paraId="1A717B5B">
      <w:pPr>
        <w:keepNext w:val="0"/>
        <w:keepLines w:val="0"/>
        <w:pageBreakBefore w:val="0"/>
        <w:numPr>
          <w:ilvl w:val="0"/>
          <w:numId w:val="0"/>
        </w:numPr>
        <w:kinsoku/>
        <w:wordWrap/>
        <w:overflowPunct/>
        <w:topLinePunct w:val="0"/>
        <w:autoSpaceDE/>
        <w:autoSpaceDN/>
        <w:bidi w:val="0"/>
        <w:spacing w:line="560" w:lineRule="exact"/>
        <w:ind w:firstLine="640" w:firstLineChars="200"/>
        <w:jc w:val="both"/>
        <w:textAlignment w:val="auto"/>
      </w:pPr>
      <w:r>
        <w:rPr>
          <w:rFonts w:hint="eastAsia" w:ascii="仿宋_GB2312" w:hAnsi="仿宋_GB2312" w:eastAsia="仿宋_GB2312" w:cs="仿宋_GB2312"/>
          <w:sz w:val="32"/>
          <w:szCs w:val="32"/>
        </w:rPr>
        <w:t>无</w:t>
      </w:r>
      <w:r>
        <w:rPr>
          <w:rFonts w:hint="eastAsia" w:ascii="仿宋_GB2312" w:hAnsi="仿宋_GB2312" w:eastAsia="仿宋_GB2312" w:cs="仿宋_GB2312"/>
          <w:sz w:val="32"/>
          <w:szCs w:val="32"/>
          <w:lang w:eastAsia="zh-CN"/>
        </w:rPr>
        <w:t>。</w:t>
      </w:r>
    </w:p>
    <w:p w14:paraId="5B928A3A">
      <w:pPr>
        <w:rPr>
          <w:highlight w:val="none"/>
        </w:rPr>
      </w:pPr>
      <w:bookmarkStart w:id="0" w:name="_GoBack"/>
      <w:bookmarkEnd w:id="0"/>
    </w:p>
    <w:sectPr>
      <w:headerReference r:id="rId3" w:type="default"/>
      <w:footerReference r:id="rId4" w:type="default"/>
      <w:pgSz w:w="11906" w:h="16838"/>
      <w:pgMar w:top="2098" w:right="1474" w:bottom="1984" w:left="1587" w:header="851" w:footer="992" w:gutter="0"/>
      <w:pgNumType w:fmt="numberInDash"/>
      <w:cols w:space="425" w:num="1"/>
      <w:docGrid w:type="lines" w:linePitch="435"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EFF" w:usb1="C000785B" w:usb2="00000009" w:usb3="00000000" w:csb0="400001FF" w:csb1="FFFF0000"/>
  </w:font>
  <w:font w:name="宋体">
    <w:panose1 w:val="02010600030101010101"/>
    <w:charset w:val="50"/>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embedRegular r:id="rId1" w:fontKey="{B6832B82-621B-463D-A7DC-AF785651E912}"/>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仿宋_GB2312">
    <w:panose1 w:val="02010609030101010101"/>
    <w:charset w:val="86"/>
    <w:family w:val="modern"/>
    <w:pitch w:val="default"/>
    <w:sig w:usb0="00000001" w:usb1="080E0000" w:usb2="00000000" w:usb3="00000000" w:csb0="00040000" w:csb1="00000000"/>
    <w:embedRegular r:id="rId2" w:fontKey="{FC225462-7F89-4F3C-8368-4AEE4E6FCF23}"/>
  </w:font>
  <w:font w:name="方正小标宋_GBK">
    <w:panose1 w:val="03000509000000000000"/>
    <w:charset w:val="86"/>
    <w:family w:val="auto"/>
    <w:pitch w:val="default"/>
    <w:sig w:usb0="00000001" w:usb1="080E0000" w:usb2="00000000" w:usb3="00000000" w:csb0="00040000" w:csb1="00000000"/>
    <w:embedRegular r:id="rId3" w:fontKey="{79B3BB04-B0A3-4374-899D-23870261DC99}"/>
  </w:font>
  <w:font w:name="楷体_GB2312">
    <w:panose1 w:val="02010609030101010101"/>
    <w:charset w:val="86"/>
    <w:family w:val="auto"/>
    <w:pitch w:val="default"/>
    <w:sig w:usb0="00000001" w:usb1="080E0000" w:usb2="00000000" w:usb3="00000000" w:csb0="00040000" w:csb1="00000000"/>
    <w:embedRegular r:id="rId4" w:fontKey="{EB697AB7-3A79-47FC-B424-7277BF8AA1F3}"/>
  </w:font>
  <w:font w:name="方正楷体_GB2312">
    <w:altName w:val="楷体_GB2312"/>
    <w:panose1 w:val="02000000000000000000"/>
    <w:charset w:val="86"/>
    <w:family w:val="auto"/>
    <w:pitch w:val="default"/>
    <w:sig w:usb0="00000000" w:usb1="00000000" w:usb2="00000012" w:usb3="00000000" w:csb0="00040001" w:csb1="00000000"/>
    <w:embedRegular r:id="rId5" w:fontKey="{A9A70623-8C34-4A86-A9CD-84A26BEEE667}"/>
  </w:font>
  <w:font w:name="仿宋">
    <w:panose1 w:val="02010609060101010101"/>
    <w:charset w:val="86"/>
    <w:family w:val="auto"/>
    <w:pitch w:val="default"/>
    <w:sig w:usb0="800002BF" w:usb1="38CF7CFA" w:usb2="00000016" w:usb3="00000000" w:csb0="00040001" w:csb1="00000000"/>
    <w:embedRegular r:id="rId6" w:fontKey="{8DADA1A1-D1AC-47F2-9D7B-E03A8A80EA0B}"/>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BB70869">
    <w:pPr>
      <w:pStyle w:val="5"/>
    </w:pPr>
    <w:r>
      <w:rPr>
        <w:sz w:val="18"/>
      </w:rPr>
      <mc:AlternateContent>
        <mc:Choice Requires="wps">
          <w:drawing>
            <wp:anchor distT="0" distB="0" distL="114300" distR="114300" simplePos="0" relativeHeight="251659264" behindDoc="0" locked="0" layoutInCell="1" allowOverlap="1">
              <wp:simplePos x="0" y="0"/>
              <wp:positionH relativeFrom="margin">
                <wp:align>outside</wp:align>
              </wp:positionH>
              <wp:positionV relativeFrom="paragraph">
                <wp:posOffset>0</wp:posOffset>
              </wp:positionV>
              <wp:extent cx="1828800" cy="1828800"/>
              <wp:effectExtent l="0" t="0" r="0" b="0"/>
              <wp:wrapNone/>
              <wp:docPr id="2" name="文本框 2"/>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129D4962">
                          <w:pPr>
                            <w:pStyle w:val="5"/>
                            <w:ind w:right="451" w:rightChars="141"/>
                            <w:jc w:val="right"/>
                            <w:rPr>
                              <w:rFonts w:hint="eastAsia" w:ascii="宋体" w:hAnsi="宋体"/>
                              <w:sz w:val="28"/>
                              <w:szCs w:val="28"/>
                            </w:rPr>
                          </w:pPr>
                          <w:r>
                            <w:rPr>
                              <w:rFonts w:ascii="宋体" w:hAnsi="宋体"/>
                              <w:sz w:val="28"/>
                              <w:szCs w:val="28"/>
                            </w:rPr>
                            <w:fldChar w:fldCharType="begin"/>
                          </w:r>
                          <w:r>
                            <w:rPr>
                              <w:rFonts w:ascii="宋体" w:hAnsi="宋体"/>
                              <w:sz w:val="28"/>
                              <w:szCs w:val="28"/>
                            </w:rPr>
                            <w:instrText xml:space="preserve">PAGE   \* MERGEFORMAT</w:instrText>
                          </w:r>
                          <w:r>
                            <w:rPr>
                              <w:rFonts w:ascii="宋体" w:hAnsi="宋体"/>
                              <w:sz w:val="28"/>
                              <w:szCs w:val="28"/>
                            </w:rPr>
                            <w:fldChar w:fldCharType="separate"/>
                          </w:r>
                          <w:r>
                            <w:rPr>
                              <w:rFonts w:ascii="宋体" w:hAnsi="宋体"/>
                              <w:sz w:val="28"/>
                              <w:szCs w:val="28"/>
                              <w:lang w:val="zh-CN"/>
                            </w:rPr>
                            <w:t>-</w:t>
                          </w:r>
                          <w:r>
                            <w:rPr>
                              <w:rFonts w:ascii="宋体" w:hAnsi="宋体"/>
                              <w:sz w:val="28"/>
                              <w:szCs w:val="28"/>
                            </w:rPr>
                            <w:t xml:space="preserve"> 3 -</w:t>
                          </w:r>
                          <w:r>
                            <w:rPr>
                              <w:rFonts w:ascii="宋体" w:hAnsi="宋体"/>
                              <w:sz w:val="28"/>
                              <w:szCs w:val="28"/>
                            </w:rPr>
                            <w:fldChar w:fldCharType="end"/>
                          </w:r>
                        </w:p>
                        <w:p w14:paraId="31D79B5F"/>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outside;mso-position-horizontal-relative:margin;mso-wrap-style:none;z-index:25165926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">
              <v:fill on="f" focussize="0,0"/>
              <v:stroke on="f" weight="0.5pt"/>
              <v:imagedata o:title=""/>
              <o:lock v:ext="edit" aspectratio="f"/>
              <v:textbox inset="0mm,0mm,0mm,0mm" style="mso-fit-shape-to-text:t;">
                <w:txbxContent>
                  <w:p w14:paraId="129D4962">
                    <w:pPr>
                      <w:pStyle w:val="5"/>
                      <w:ind w:right="451" w:rightChars="141"/>
                      <w:jc w:val="right"/>
                      <w:rPr>
                        <w:rFonts w:hint="eastAsia" w:ascii="宋体" w:hAnsi="宋体"/>
                        <w:sz w:val="28"/>
                        <w:szCs w:val="28"/>
                      </w:rPr>
                    </w:pPr>
                    <w:r>
                      <w:rPr>
                        <w:rFonts w:ascii="宋体" w:hAnsi="宋体"/>
                        <w:sz w:val="28"/>
                        <w:szCs w:val="28"/>
                      </w:rPr>
                      <w:fldChar w:fldCharType="begin"/>
                    </w:r>
                    <w:r>
                      <w:rPr>
                        <w:rFonts w:ascii="宋体" w:hAnsi="宋体"/>
                        <w:sz w:val="28"/>
                        <w:szCs w:val="28"/>
                      </w:rPr>
                      <w:instrText xml:space="preserve">PAGE   \* MERGEFORMAT</w:instrText>
                    </w:r>
                    <w:r>
                      <w:rPr>
                        <w:rFonts w:ascii="宋体" w:hAnsi="宋体"/>
                        <w:sz w:val="28"/>
                        <w:szCs w:val="28"/>
                      </w:rPr>
                      <w:fldChar w:fldCharType="separate"/>
                    </w:r>
                    <w:r>
                      <w:rPr>
                        <w:rFonts w:ascii="宋体" w:hAnsi="宋体"/>
                        <w:sz w:val="28"/>
                        <w:szCs w:val="28"/>
                        <w:lang w:val="zh-CN"/>
                      </w:rPr>
                      <w:t>-</w:t>
                    </w:r>
                    <w:r>
                      <w:rPr>
                        <w:rFonts w:ascii="宋体" w:hAnsi="宋体"/>
                        <w:sz w:val="28"/>
                        <w:szCs w:val="28"/>
                      </w:rPr>
                      <w:t xml:space="preserve"> 3 -</w:t>
                    </w:r>
                    <w:r>
                      <w:rPr>
                        <w:rFonts w:ascii="宋体" w:hAnsi="宋体"/>
                        <w:sz w:val="28"/>
                        <w:szCs w:val="28"/>
                      </w:rPr>
                      <w:fldChar w:fldCharType="end"/>
                    </w:r>
                  </w:p>
                  <w:p w14:paraId="31D79B5F"/>
                </w:txbxContent>
              </v:textbox>
            </v:shape>
          </w:pict>
        </mc:Fallback>
      </mc:AlternateConten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ABBE406">
    <w:pPr>
      <w:pStyle w:val="6"/>
      <w:pBdr>
        <w:bottom w:val="none" w:color="auto" w:sz="0" w:space="0"/>
      </w:pBd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D5FADE6E"/>
    <w:multiLevelType w:val="singleLevel"/>
    <w:tmpl w:val="D5FADE6E"/>
    <w:lvl w:ilvl="0" w:tentative="0">
      <w:start w:val="3"/>
      <w:numFmt w:val="chineseCounting"/>
      <w:suff w:val="nothing"/>
      <w:lvlText w:val="%1、"/>
      <w:lvlJc w:val="left"/>
      <w:rPr>
        <w:rFonts w:hint="eastAsia"/>
      </w:rPr>
    </w:lvl>
  </w:abstractNum>
  <w:abstractNum w:abstractNumId="1">
    <w:nsid w:val="17E2FD48"/>
    <w:multiLevelType w:val="singleLevel"/>
    <w:tmpl w:val="17E2FD48"/>
    <w:lvl w:ilvl="0" w:tentative="0">
      <w:start w:val="2"/>
      <w:numFmt w:val="chineseCounting"/>
      <w:suff w:val="nothing"/>
      <w:lvlText w:val="（%1）"/>
      <w:lvlJc w:val="left"/>
      <w:rPr>
        <w:rFonts w:hint="eastAsia"/>
      </w:rPr>
    </w:lvl>
  </w:abstractNum>
  <w:abstractNum w:abstractNumId="2">
    <w:nsid w:val="447249CA"/>
    <w:multiLevelType w:val="singleLevel"/>
    <w:tmpl w:val="447249CA"/>
    <w:lvl w:ilvl="0" w:tentative="0">
      <w:start w:val="2"/>
      <w:numFmt w:val="chineseCounting"/>
      <w:suff w:val="nothing"/>
      <w:lvlText w:val="（%1）"/>
      <w:lvlJc w:val="left"/>
      <w:rPr>
        <w:rFonts w:hint="eastAsia"/>
      </w:rPr>
    </w:lvl>
  </w:abstractNum>
  <w:num w:numId="1">
    <w:abstractNumId w:val="1"/>
  </w:num>
  <w:num w:numId="2">
    <w:abstractNumId w:val="0"/>
  </w:num>
  <w:num w:numId="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12"/>
  <w:embedTrueTypeFonts/>
  <w:saveSubset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37024219"/>
    <w:rsid w:val="01714809"/>
    <w:rsid w:val="09E82160"/>
    <w:rsid w:val="0DD24882"/>
    <w:rsid w:val="17EB7683"/>
    <w:rsid w:val="1CD96F21"/>
    <w:rsid w:val="297C22D1"/>
    <w:rsid w:val="2BBB474F"/>
    <w:rsid w:val="36F62AE0"/>
    <w:rsid w:val="37024219"/>
    <w:rsid w:val="4AAE3A2E"/>
    <w:rsid w:val="4CB848EB"/>
    <w:rsid w:val="4CEC2DD0"/>
    <w:rsid w:val="650C5C18"/>
    <w:rsid w:val="66F25352"/>
    <w:rsid w:val="6F886747"/>
    <w:rsid w:val="734D525A"/>
    <w:rsid w:val="75ED7D0A"/>
    <w:rsid w:val="78D02DFD"/>
    <w:rsid w:val="7BFA6F8F"/>
    <w:rsid w:val="7F967F89"/>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0" w:semiHidden="0" w:name="header"/>
    <w:lsdException w:qFormat="1" w:unhideWhenUsed="0" w:uiPriority="99"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qFormat="1" w:unhideWhenUsed="0" w:uiPriority="0" w:semiHidden="0" w:name="Body Text"/>
    <w:lsdException w:qFormat="1"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qFormat="1" w:uiPriority="99"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仿宋_GB2312" w:cs="Times New Roman"/>
      <w:kern w:val="2"/>
      <w:sz w:val="32"/>
      <w:szCs w:val="24"/>
      <w:lang w:val="en-US" w:eastAsia="zh-CN" w:bidi="ar-SA"/>
    </w:rPr>
  </w:style>
  <w:style w:type="character" w:default="1" w:styleId="8">
    <w:name w:val="Default Paragraph Font"/>
    <w:semiHidden/>
    <w:qFormat/>
    <w:uiPriority w:val="0"/>
  </w:style>
  <w:style w:type="table" w:default="1" w:styleId="7">
    <w:name w:val="Normal Table"/>
    <w:semiHidden/>
    <w:qFormat/>
    <w:uiPriority w:val="0"/>
    <w:tblPr>
      <w:tblCellMar>
        <w:top w:w="0" w:type="dxa"/>
        <w:left w:w="108" w:type="dxa"/>
        <w:bottom w:w="0" w:type="dxa"/>
        <w:right w:w="108" w:type="dxa"/>
      </w:tblCellMar>
    </w:tblPr>
  </w:style>
  <w:style w:type="paragraph" w:styleId="2">
    <w:name w:val="Body Text"/>
    <w:basedOn w:val="1"/>
    <w:next w:val="1"/>
    <w:qFormat/>
    <w:uiPriority w:val="0"/>
    <w:pPr>
      <w:spacing w:after="120"/>
    </w:pPr>
  </w:style>
  <w:style w:type="paragraph" w:styleId="3">
    <w:name w:val="Body Text Indent"/>
    <w:basedOn w:val="1"/>
    <w:next w:val="4"/>
    <w:qFormat/>
    <w:uiPriority w:val="0"/>
    <w:pPr>
      <w:spacing w:after="120"/>
      <w:ind w:leftChars="200"/>
    </w:pPr>
    <w:rPr>
      <w:rFonts w:ascii="仿宋_GB2312"/>
      <w:szCs w:val="32"/>
    </w:rPr>
  </w:style>
  <w:style w:type="paragraph" w:styleId="4">
    <w:name w:val="Body Text First Indent 2"/>
    <w:basedOn w:val="3"/>
    <w:next w:val="1"/>
    <w:unhideWhenUsed/>
    <w:qFormat/>
    <w:uiPriority w:val="99"/>
    <w:pPr>
      <w:ind w:firstLine="420" w:firstLineChars="200"/>
    </w:pPr>
  </w:style>
  <w:style w:type="paragraph" w:styleId="5">
    <w:name w:val="footer"/>
    <w:basedOn w:val="1"/>
    <w:qFormat/>
    <w:uiPriority w:val="99"/>
    <w:pPr>
      <w:tabs>
        <w:tab w:val="center" w:pos="4153"/>
        <w:tab w:val="right" w:pos="8306"/>
      </w:tabs>
      <w:snapToGrid w:val="0"/>
      <w:jc w:val="left"/>
    </w:pPr>
    <w:rPr>
      <w:rFonts w:eastAsia="宋体"/>
      <w:sz w:val="18"/>
      <w:szCs w:val="18"/>
    </w:rPr>
  </w:style>
  <w:style w:type="paragraph" w:styleId="6">
    <w:name w:val="header"/>
    <w:basedOn w:val="1"/>
    <w:qFormat/>
    <w:uiPriority w:val="0"/>
    <w:pPr>
      <w:pBdr>
        <w:bottom w:val="single" w:color="auto" w:sz="6" w:space="1"/>
      </w:pBdr>
      <w:tabs>
        <w:tab w:val="center" w:pos="4153"/>
        <w:tab w:val="right" w:pos="8306"/>
      </w:tabs>
      <w:snapToGrid w:val="0"/>
      <w:jc w:val="center"/>
    </w:pPr>
    <w:rPr>
      <w:rFonts w:eastAsia="宋体"/>
      <w:sz w:val="18"/>
      <w:szCs w:val="18"/>
    </w:rPr>
  </w:style>
  <w:style w:type="paragraph" w:customStyle="1" w:styleId="9">
    <w:name w:val="标题 5（有编号）（绿盟科技）"/>
    <w:next w:val="1"/>
    <w:qFormat/>
    <w:uiPriority w:val="99"/>
    <w:pPr>
      <w:keepNext/>
      <w:keepLines/>
      <w:widowControl w:val="0"/>
      <w:spacing w:before="280" w:after="156" w:line="377" w:lineRule="auto"/>
      <w:outlineLvl w:val="4"/>
    </w:pPr>
    <w:rPr>
      <w:rFonts w:ascii="Arial" w:hAnsi="Arial" w:eastAsia="黑体" w:cs="Times New Roman"/>
      <w:b/>
      <w:kern w:val="2"/>
      <w:sz w:val="24"/>
      <w:szCs w:val="28"/>
      <w:lang w:val="en-US" w:eastAsia="zh-CN" w:bidi="ar-SA"/>
    </w:rPr>
  </w:style>
</w:style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7" Type="http://schemas.openxmlformats.org/officeDocument/2006/relationships/numbering" Target="numbering.xml"/><Relationship Id="rId6" Type="http://schemas.openxmlformats.org/officeDocument/2006/relationships/customXml" Target="../customXml/item1.xml"/><Relationship Id="rId5" Type="http://schemas.openxmlformats.org/officeDocument/2006/relationships/theme" Target="theme/theme1.xml"/><Relationship Id="rId4" Type="http://schemas.openxmlformats.org/officeDocument/2006/relationships/footer" Target="footer1.xml"/><Relationship Id="rId3"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s>
</file>

<file path=word/_rels/fontTable.xml.rels><?xml version="1.0" encoding="UTF-8" standalone="yes"?>
<Relationships xmlns="http://schemas.openxmlformats.org/package/2006/relationships"><Relationship Id="rId6" Type="http://schemas.openxmlformats.org/officeDocument/2006/relationships/font" Target="fonts/font6.odttf"/><Relationship Id="rId5" Type="http://schemas.openxmlformats.org/officeDocument/2006/relationships/font" Target="fonts/font5.odttf"/><Relationship Id="rId4" Type="http://schemas.openxmlformats.org/officeDocument/2006/relationships/font" Target="fonts/font4.odttf"/><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8</Pages>
  <Words>3568</Words>
  <Characters>4025</Characters>
  <Lines>0</Lines>
  <Paragraphs>0</Paragraphs>
  <TotalTime>4</TotalTime>
  <ScaleCrop>false</ScaleCrop>
  <LinksUpToDate>false</LinksUpToDate>
  <CharactersWithSpaces>4025</CharactersWithSpaces>
  <Application>WPS Office_12.1.0.22529_F1E327BC-269C-435d-A152-05C5408002CA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2025-04-28T07:50:00Z</dcterms:created>
  <dc:creator>。</dc:creator>
  <cp:lastModifiedBy>宇杰</cp:lastModifiedBy>
  <dcterms:modified xsi:type="dcterms:W3CDTF">2025-08-28T11:09:40Z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2052-12.1.0.22529</vt:lpwstr>
  </property>
  <property fmtid="{D5CDD505-2E9C-101B-9397-08002B2CF9AE}" pid="3" name="ICV">
    <vt:lpwstr>46B139A0B192419CB08B17B11FEDD76F_13</vt:lpwstr>
  </property>
  <property fmtid="{D5CDD505-2E9C-101B-9397-08002B2CF9AE}" pid="4" name="KSOTemplateDocerSaveRecord">
    <vt:lpwstr>eyJoZGlkIjoiM2JhNmQwMzliYmZlOTdhODgxMDE1Yjc2ZTgzMjBjOWEiLCJ1c2VySWQiOiI0MDI2MjYwNjgifQ==</vt:lpwstr>
  </property>
</Properties>
</file>