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21EC7">
      <w:pPr>
        <w:tabs>
          <w:tab w:val="left" w:pos="7020"/>
        </w:tabs>
        <w:ind w:left="674" w:hanging="674" w:hangingChars="100"/>
        <w:jc w:val="center"/>
        <w:rPr>
          <w:rFonts w:hint="eastAsia" w:ascii="宋体" w:hAnsi="宋体"/>
          <w:b/>
          <w:color w:val="FF0000"/>
          <w:w w:val="33"/>
          <w:sz w:val="202"/>
        </w:rPr>
      </w:pPr>
      <w:r>
        <w:rPr>
          <w:rFonts w:hint="eastAsia" w:ascii="宋体" w:hAnsi="宋体"/>
          <w:b/>
          <w:color w:val="FF0000"/>
          <w:w w:val="33"/>
          <w:sz w:val="202"/>
        </w:rPr>
        <w:drawing>
          <wp:inline distT="0" distB="0" distL="114300" distR="114300">
            <wp:extent cx="5615305" cy="1568450"/>
            <wp:effectExtent l="0" t="0" r="4445" b="12700"/>
            <wp:docPr id="1" name="图片 1" descr="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68"/>
                    <pic:cNvPicPr>
                      <a:picLocks noChangeAspect="1"/>
                    </pic:cNvPicPr>
                  </pic:nvPicPr>
                  <pic:blipFill>
                    <a:blip r:embed="rId6"/>
                    <a:stretch>
                      <a:fillRect/>
                    </a:stretch>
                  </pic:blipFill>
                  <pic:spPr>
                    <a:xfrm>
                      <a:off x="0" y="0"/>
                      <a:ext cx="5615305" cy="1568450"/>
                    </a:xfrm>
                    <a:prstGeom prst="rect">
                      <a:avLst/>
                    </a:prstGeom>
                    <a:noFill/>
                    <a:ln>
                      <a:noFill/>
                    </a:ln>
                  </pic:spPr>
                </pic:pic>
              </a:graphicData>
            </a:graphic>
          </wp:inline>
        </w:drawing>
      </w:r>
    </w:p>
    <w:p w14:paraId="28143E73">
      <w:pPr>
        <w:pStyle w:val="2"/>
        <w:ind w:left="0" w:leftChars="0" w:firstLine="0" w:firstLineChars="0"/>
        <w:rPr>
          <w:rFonts w:hint="eastAsia"/>
        </w:rPr>
      </w:pPr>
    </w:p>
    <w:p w14:paraId="3C1F44D6">
      <w:pPr>
        <w:tabs>
          <w:tab w:val="left" w:pos="7020"/>
        </w:tabs>
        <w:ind w:left="486" w:leftChars="152" w:firstLine="0" w:firstLineChars="0"/>
        <w:jc w:val="both"/>
        <w:rPr>
          <w:rFonts w:hint="eastAsia" w:ascii="楷体_GB2312" w:hAnsi="楷体_GB2312" w:eastAsia="楷体_GB2312" w:cs="楷体_GB2312"/>
          <w:color w:val="000000"/>
          <w:sz w:val="32"/>
          <w:szCs w:val="32"/>
          <w:lang w:val="en-US" w:eastAsia="zh-CN"/>
        </w:rPr>
      </w:pPr>
      <w:r>
        <w:rPr>
          <w:rFonts w:hint="eastAsia" w:ascii="仿宋_GB2312" w:hAnsi="仿宋_GB2312" w:eastAsia="仿宋_GB2312" w:cs="仿宋_GB2312"/>
          <w:sz w:val="32"/>
          <w:szCs w:val="32"/>
          <w:lang w:val="en-US" w:eastAsia="zh-CN"/>
        </w:rPr>
        <w:t>黑</w:t>
      </w:r>
      <w:r>
        <w:rPr>
          <w:rFonts w:hint="eastAsia" w:ascii="仿宋_GB2312" w:hAnsi="仿宋_GB2312" w:eastAsia="仿宋_GB2312" w:cs="仿宋_GB2312"/>
          <w:sz w:val="32"/>
          <w:szCs w:val="32"/>
        </w:rPr>
        <w:t>芦府</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20</w:t>
      </w:r>
      <w:r>
        <w:rPr>
          <w:rFonts w:hint="eastAsia" w:ascii="仿宋_GB2312" w:hAnsi="仿宋_GB2312" w:eastAsia="仿宋_GB2312" w:cs="仿宋_GB2312"/>
          <w:sz w:val="32"/>
          <w:szCs w:val="32"/>
        </w:rPr>
        <w:t xml:space="preserve">号 </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r>
        <w:rPr>
          <w:rFonts w:hint="eastAsia" w:ascii="仿宋_GB2312" w:eastAsia="仿宋_GB2312"/>
          <w:sz w:val="32"/>
        </w:rPr>
        <w:t>签发人：</w:t>
      </w:r>
      <w:r>
        <w:rPr>
          <w:rFonts w:hint="eastAsia" w:ascii="楷体_GB2312" w:hAnsi="楷体_GB2312" w:eastAsia="楷体_GB2312" w:cs="楷体_GB2312"/>
          <w:sz w:val="32"/>
          <w:lang w:eastAsia="zh-CN"/>
        </w:rPr>
        <w:t>唐谦</w:t>
      </w:r>
    </w:p>
    <w:tbl>
      <w:tblPr>
        <w:tblStyle w:val="7"/>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07CCBB3F">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noWrap w:val="0"/>
            <w:vAlign w:val="top"/>
          </w:tcPr>
          <w:p w14:paraId="35D978B4">
            <w:pPr>
              <w:tabs>
                <w:tab w:val="left" w:pos="7020"/>
              </w:tabs>
              <w:rPr>
                <w:rFonts w:hint="eastAsia" w:ascii="仿宋" w:eastAsia="仿宋"/>
                <w:w w:val="66"/>
                <w:sz w:val="10"/>
                <w:szCs w:val="10"/>
              </w:rPr>
            </w:pPr>
          </w:p>
        </w:tc>
      </w:tr>
    </w:tbl>
    <w:p w14:paraId="47195AB0">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芦花</w:t>
      </w:r>
      <w:r>
        <w:rPr>
          <w:rFonts w:hint="eastAsia" w:ascii="方正小标宋_GBK" w:hAnsi="方正小标宋_GBK" w:eastAsia="方正小标宋_GBK" w:cs="方正小标宋_GBK"/>
          <w:b w:val="0"/>
          <w:bCs/>
          <w:sz w:val="44"/>
          <w:szCs w:val="44"/>
        </w:rPr>
        <w:t>镇人民政府</w:t>
      </w:r>
    </w:p>
    <w:p w14:paraId="6A388526">
      <w:pPr>
        <w:snapToGrid w:val="0"/>
        <w:jc w:val="center"/>
        <w:rPr>
          <w:rFonts w:hint="default" w:ascii="Times New Roman" w:hAnsi="Times New Roman" w:eastAsia="方正小标宋简体"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lang w:val="en-US" w:eastAsia="zh-CN"/>
        </w:rPr>
        <w:t>关于2024年</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w:t>
      </w:r>
      <w:r>
        <w:rPr>
          <w:rFonts w:hint="eastAsia" w:ascii="方正小标宋_GBK" w:hAnsi="方正小标宋_GBK" w:eastAsia="方正小标宋_GBK" w:cs="方正小标宋_GBK"/>
          <w:b w:val="0"/>
          <w:bCs/>
          <w:sz w:val="44"/>
          <w:szCs w:val="44"/>
          <w:highlight w:val="none"/>
          <w:shd w:val="clear" w:color="auto" w:fill="FFFFFF"/>
          <w:lang w:eastAsia="zh-CN"/>
        </w:rPr>
        <w:t>价</w:t>
      </w:r>
      <w:r>
        <w:rPr>
          <w:rFonts w:hint="eastAsia" w:ascii="方正小标宋_GBK" w:hAnsi="方正小标宋_GBK" w:eastAsia="方正小标宋_GBK" w:cs="方正小标宋_GBK"/>
          <w:b w:val="0"/>
          <w:bCs/>
          <w:sz w:val="44"/>
          <w:szCs w:val="44"/>
          <w:highlight w:val="none"/>
          <w:shd w:val="clear" w:color="auto" w:fill="FFFFFF"/>
          <w:lang w:val="en-US" w:eastAsia="zh-CN"/>
        </w:rPr>
        <w:t>的</w:t>
      </w:r>
      <w:r>
        <w:rPr>
          <w:rFonts w:hint="eastAsia" w:ascii="方正小标宋_GBK" w:hAnsi="方正小标宋_GBK" w:eastAsia="方正小标宋_GBK" w:cs="方正小标宋_GBK"/>
          <w:b w:val="0"/>
          <w:bCs/>
          <w:sz w:val="44"/>
          <w:szCs w:val="44"/>
          <w:highlight w:val="none"/>
          <w:shd w:val="clear" w:color="auto" w:fill="FFFFFF"/>
        </w:rPr>
        <w:t>报告</w:t>
      </w:r>
    </w:p>
    <w:p w14:paraId="7CCCFAF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F5B7A6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14:paraId="3F8BCC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14:paraId="3A9E69D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14:paraId="6AA5D52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镇人民政府无下属二级核算单位。</w:t>
      </w:r>
    </w:p>
    <w:p w14:paraId="31AE160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115132280089430895</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w:t>
      </w:r>
      <w:r>
        <w:rPr>
          <w:rFonts w:hint="eastAsia" w:ascii="仿宋_GB2312" w:hAnsi="仿宋_GB2312" w:cs="仿宋_GB2312"/>
          <w:sz w:val="32"/>
          <w:lang w:val="en-US" w:eastAsia="zh-CN"/>
        </w:rPr>
        <w:t>彩林路190号</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唐谦</w:t>
      </w:r>
      <w:r>
        <w:rPr>
          <w:rFonts w:hint="eastAsia" w:ascii="仿宋_GB2312" w:hAnsi="仿宋_GB2312" w:eastAsia="仿宋_GB2312" w:cs="仿宋_GB2312"/>
          <w:sz w:val="32"/>
          <w:lang w:val="en-US" w:eastAsia="zh-CN"/>
        </w:rPr>
        <w:t>，机构性质：机关。</w:t>
      </w:r>
    </w:p>
    <w:p w14:paraId="27F038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12</w:t>
      </w:r>
      <w:r>
        <w:rPr>
          <w:rFonts w:hint="default" w:ascii="仿宋_GB2312" w:hAnsi="仿宋_GB2312" w:eastAsia="仿宋_GB2312" w:cs="仿宋_GB2312"/>
          <w:sz w:val="32"/>
          <w:lang w:eastAsia="zh-CN"/>
        </w:rPr>
        <w:t>个行政村</w:t>
      </w:r>
      <w:r>
        <w:rPr>
          <w:rFonts w:hint="eastAsia" w:ascii="仿宋_GB2312" w:hAnsi="仿宋_GB2312" w:cs="仿宋_GB2312"/>
          <w:sz w:val="32"/>
          <w:lang w:val="en-US" w:eastAsia="zh-CN"/>
        </w:rPr>
        <w:t>,3个社区</w:t>
      </w:r>
      <w:r>
        <w:rPr>
          <w:rFonts w:hint="default" w:ascii="仿宋_GB2312" w:hAnsi="仿宋_GB2312" w:eastAsia="仿宋_GB2312" w:cs="仿宋_GB2312"/>
          <w:sz w:val="32"/>
          <w:lang w:eastAsia="zh-CN"/>
        </w:rPr>
        <w:t>。</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镇农业农村和文化旅游服务中心。在目前，六个党政综合办事机构、两个一类公益事业单位正常运行。</w:t>
      </w:r>
    </w:p>
    <w:p w14:paraId="2BD3DE8E">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2434B1E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7ED943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14:paraId="6EA004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14:paraId="4BBE22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履行党要管党，全面推进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0E8515E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14:paraId="2135C43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14:paraId="6B58C9C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14:paraId="195D173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3CB2157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14:paraId="360C10A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D6E86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14:paraId="2E73829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w:t>
      </w:r>
      <w:r>
        <w:rPr>
          <w:rFonts w:hint="eastAsia" w:ascii="仿宋_GB2312" w:hAnsi="仿宋_GB2312" w:cs="仿宋_GB2312"/>
          <w:sz w:val="32"/>
          <w:lang w:val="en-US" w:eastAsia="zh-CN"/>
        </w:rPr>
        <w:t>权益</w:t>
      </w:r>
      <w:r>
        <w:rPr>
          <w:rFonts w:hint="eastAsia" w:ascii="仿宋_GB2312" w:hAnsi="仿宋_GB2312" w:eastAsia="仿宋_GB2312" w:cs="仿宋_GB2312"/>
          <w:sz w:val="32"/>
          <w:lang w:eastAsia="zh-CN"/>
        </w:rPr>
        <w:t>，营造良好的营商环境。</w:t>
      </w:r>
    </w:p>
    <w:p w14:paraId="3ADA07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14:paraId="760AA7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14:paraId="23195B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14:paraId="6F97DC8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6F12A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14:paraId="5457681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2F4EA9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4D07BD9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14:paraId="662EC78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14:paraId="423EE1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w:t>
      </w:r>
      <w:r>
        <w:rPr>
          <w:rFonts w:hint="eastAsia" w:ascii="仿宋_GB2312" w:hAnsi="仿宋_GB2312" w:cs="仿宋_GB2312"/>
          <w:sz w:val="32"/>
          <w:lang w:val="en-US" w:eastAsia="zh-CN"/>
        </w:rPr>
        <w:t>权利</w:t>
      </w:r>
      <w:r>
        <w:rPr>
          <w:rFonts w:hint="eastAsia" w:ascii="仿宋_GB2312" w:hAnsi="仿宋_GB2312" w:eastAsia="仿宋_GB2312" w:cs="仿宋_GB2312"/>
          <w:sz w:val="32"/>
          <w:lang w:eastAsia="zh-CN"/>
        </w:rPr>
        <w:t>和利益，尊重少数民族的风俗习惯，坚决与邪教组织斗争。</w:t>
      </w:r>
    </w:p>
    <w:p w14:paraId="1AB7172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14:paraId="29281D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14:paraId="7AC2C8EB">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7895C14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镇总编制</w:t>
      </w:r>
      <w:r>
        <w:rPr>
          <w:rFonts w:hint="eastAsia" w:ascii="仿宋_GB2312" w:hAnsi="仿宋_GB2312" w:cs="仿宋_GB2312"/>
          <w:sz w:val="32"/>
          <w:lang w:val="en-US" w:eastAsia="zh-CN"/>
        </w:rPr>
        <w:t>46</w:t>
      </w:r>
      <w:r>
        <w:rPr>
          <w:rFonts w:hint="default" w:ascii="仿宋_GB2312" w:hAnsi="仿宋_GB2312" w:eastAsia="仿宋_GB2312" w:cs="仿宋_GB2312"/>
          <w:sz w:val="32"/>
          <w:lang w:eastAsia="zh-CN"/>
        </w:rPr>
        <w:t>名，其中：行政编制</w:t>
      </w:r>
      <w:r>
        <w:rPr>
          <w:rFonts w:hint="eastAsia" w:ascii="仿宋_GB2312" w:hAnsi="仿宋_GB2312" w:cs="仿宋_GB2312"/>
          <w:sz w:val="32"/>
          <w:lang w:val="en-US" w:eastAsia="zh-CN"/>
        </w:rPr>
        <w:t>32</w:t>
      </w:r>
      <w:r>
        <w:rPr>
          <w:rFonts w:hint="default" w:ascii="仿宋_GB2312" w:hAnsi="仿宋_GB2312" w:eastAsia="仿宋_GB2312" w:cs="仿宋_GB2312"/>
          <w:sz w:val="32"/>
          <w:lang w:eastAsia="zh-CN"/>
        </w:rPr>
        <w:t>名，事业编制11名，机关工勤</w:t>
      </w:r>
      <w:r>
        <w:rPr>
          <w:rFonts w:hint="eastAsia" w:ascii="仿宋_GB2312" w:hAnsi="仿宋_GB2312" w:cs="仿宋_GB2312"/>
          <w:sz w:val="32"/>
          <w:lang w:val="en-US" w:eastAsia="zh-CN"/>
        </w:rPr>
        <w:t>3</w:t>
      </w:r>
      <w:r>
        <w:rPr>
          <w:rFonts w:hint="default" w:ascii="仿宋_GB2312" w:hAnsi="仿宋_GB2312" w:eastAsia="仿宋_GB2312" w:cs="仿宋_GB2312"/>
          <w:sz w:val="32"/>
          <w:lang w:eastAsia="zh-CN"/>
        </w:rPr>
        <w:t>名。在职人员总数</w:t>
      </w:r>
      <w:r>
        <w:rPr>
          <w:rFonts w:hint="eastAsia" w:ascii="仿宋_GB2312" w:hAnsi="仿宋_GB2312" w:cs="仿宋_GB2312"/>
          <w:sz w:val="32"/>
          <w:lang w:val="en-US" w:eastAsia="zh-CN"/>
        </w:rPr>
        <w:t>44</w:t>
      </w:r>
      <w:r>
        <w:rPr>
          <w:rFonts w:hint="default" w:ascii="仿宋_GB2312" w:hAnsi="仿宋_GB2312" w:eastAsia="仿宋_GB2312" w:cs="仿宋_GB2312"/>
          <w:sz w:val="32"/>
          <w:lang w:eastAsia="zh-CN"/>
        </w:rPr>
        <w:t>人，其中：行政人员</w:t>
      </w:r>
      <w:r>
        <w:rPr>
          <w:rFonts w:hint="eastAsia" w:ascii="仿宋_GB2312" w:hAnsi="仿宋_GB2312" w:cs="仿宋_GB2312"/>
          <w:sz w:val="32"/>
          <w:highlight w:val="none"/>
          <w:lang w:val="en-US" w:eastAsia="zh-CN"/>
        </w:rPr>
        <w:t>26</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w:t>
      </w:r>
      <w:r>
        <w:rPr>
          <w:rFonts w:hint="default" w:ascii="仿宋_GB2312" w:hAnsi="仿宋_GB2312" w:eastAsia="仿宋_GB2312" w:cs="仿宋_GB2312"/>
          <w:sz w:val="32"/>
          <w:lang w:eastAsia="zh-CN"/>
        </w:rPr>
        <w:t>事业单位</w:t>
      </w:r>
      <w:r>
        <w:rPr>
          <w:rFonts w:hint="eastAsia" w:ascii="仿宋_GB2312" w:hAnsi="仿宋_GB2312" w:cs="仿宋_GB2312"/>
          <w:sz w:val="32"/>
          <w:lang w:val="en-US" w:eastAsia="zh-CN"/>
        </w:rPr>
        <w:t>15</w:t>
      </w:r>
      <w:r>
        <w:rPr>
          <w:rFonts w:hint="default" w:ascii="仿宋_GB2312" w:hAnsi="仿宋_GB2312" w:eastAsia="仿宋_GB2312" w:cs="仿宋_GB2312"/>
          <w:sz w:val="32"/>
          <w:lang w:eastAsia="zh-CN"/>
        </w:rPr>
        <w:t>人，机关工勤</w:t>
      </w:r>
      <w:r>
        <w:rPr>
          <w:rFonts w:hint="eastAsia" w:ascii="仿宋_GB2312" w:hAnsi="仿宋_GB2312" w:cs="仿宋_GB2312"/>
          <w:sz w:val="32"/>
          <w:lang w:val="en-US" w:eastAsia="zh-CN"/>
        </w:rPr>
        <w:t>3</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其中</w:t>
      </w:r>
      <w:r>
        <w:rPr>
          <w:rFonts w:hint="eastAsia" w:ascii="仿宋_GB2312" w:hAnsi="仿宋_GB2312" w:cs="仿宋_GB2312"/>
          <w:sz w:val="32"/>
          <w:lang w:val="en-US" w:eastAsia="zh-CN"/>
        </w:rPr>
        <w:t>事业单位</w:t>
      </w:r>
      <w:r>
        <w:rPr>
          <w:rFonts w:hint="eastAsia" w:ascii="仿宋_GB2312" w:hAnsi="仿宋_GB2312" w:eastAsia="仿宋_GB2312" w:cs="仿宋_GB2312"/>
          <w:sz w:val="32"/>
          <w:lang w:val="en-US" w:eastAsia="zh-CN"/>
        </w:rPr>
        <w:t>4人编制为</w:t>
      </w:r>
      <w:r>
        <w:rPr>
          <w:rFonts w:hint="eastAsia" w:ascii="仿宋_GB2312" w:hAnsi="仿宋_GB2312" w:cs="仿宋_GB2312"/>
          <w:sz w:val="32"/>
          <w:lang w:val="en-US" w:eastAsia="zh-CN"/>
        </w:rPr>
        <w:t>文广旅局</w:t>
      </w:r>
      <w:r>
        <w:rPr>
          <w:rFonts w:hint="eastAsia" w:ascii="仿宋_GB2312" w:hAnsi="仿宋_GB2312" w:eastAsia="仿宋_GB2312" w:cs="仿宋_GB2312"/>
          <w:sz w:val="32"/>
          <w:lang w:val="en-US" w:eastAsia="zh-CN"/>
        </w:rPr>
        <w:t>编制，人员经费及管理为我镇统一管理</w:t>
      </w:r>
      <w:r>
        <w:rPr>
          <w:rFonts w:hint="eastAsia" w:ascii="仿宋_GB2312" w:hAnsi="仿宋_GB2312" w:cs="仿宋_GB2312"/>
          <w:sz w:val="32"/>
          <w:lang w:val="en-US" w:eastAsia="zh-CN"/>
        </w:rPr>
        <w:t>。</w:t>
      </w:r>
    </w:p>
    <w:p w14:paraId="1F6A7E7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E6D198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14:paraId="2D91A3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万元，预算支出完成度为100.00%。</w:t>
      </w:r>
    </w:p>
    <w:p w14:paraId="05AADF8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14:paraId="76BBFB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2718.85</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99.96</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1.01</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14:paraId="585FCD0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602.16</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22.14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144.59</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5.32</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65.63</w:t>
      </w:r>
      <w:r>
        <w:rPr>
          <w:rFonts w:hint="eastAsia" w:ascii="仿宋_GB2312" w:hAnsi="仿宋_GB2312" w:eastAsia="仿宋_GB2312" w:cs="仿宋_GB2312"/>
          <w:sz w:val="32"/>
          <w:highlight w:val="none"/>
          <w:lang w:val="en-US" w:eastAsia="zh-CN"/>
        </w:rPr>
        <w:t>万元，占比2.</w:t>
      </w:r>
      <w:r>
        <w:rPr>
          <w:rFonts w:hint="eastAsia" w:ascii="仿宋_GB2312" w:hAnsi="仿宋_GB2312" w:cs="仿宋_GB2312"/>
          <w:sz w:val="32"/>
          <w:highlight w:val="none"/>
          <w:lang w:val="en-US" w:eastAsia="zh-CN"/>
        </w:rPr>
        <w:t>41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.00万元，占比0.</w:t>
      </w:r>
      <w:r>
        <w:rPr>
          <w:rFonts w:hint="eastAsia" w:ascii="仿宋_GB2312" w:hAnsi="仿宋_GB2312" w:eastAsia="仿宋_GB2312" w:cs="仿宋_GB2312"/>
          <w:sz w:val="32"/>
          <w:highlight w:val="none"/>
          <w:lang w:val="en-US" w:eastAsia="zh-CN"/>
        </w:rPr>
        <w:t>00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1811.43</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66.6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84.87</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3.12</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1.01</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10.17</w:t>
      </w:r>
      <w:r>
        <w:rPr>
          <w:rFonts w:hint="eastAsia" w:ascii="仿宋_GB2312" w:hAnsi="仿宋_GB2312" w:eastAsia="仿宋_GB2312" w:cs="仿宋_GB2312"/>
          <w:sz w:val="32"/>
          <w:highlight w:val="none"/>
          <w:lang w:eastAsia="zh-CN"/>
        </w:rPr>
        <w:t>万元，占比</w:t>
      </w:r>
      <w:r>
        <w:rPr>
          <w:rFonts w:hint="eastAsia" w:ascii="仿宋_GB2312" w:hAnsi="仿宋_GB2312" w:eastAsia="仿宋_GB2312" w:cs="仿宋_GB2312"/>
          <w:sz w:val="32"/>
          <w:highlight w:val="none"/>
          <w:lang w:val="en-US" w:eastAsia="zh-CN"/>
        </w:rPr>
        <w:t>0.</w:t>
      </w:r>
      <w:r>
        <w:rPr>
          <w:rFonts w:hint="eastAsia" w:ascii="仿宋_GB2312" w:hAnsi="仿宋_GB2312" w:cs="仿宋_GB2312"/>
          <w:sz w:val="32"/>
          <w:highlight w:val="none"/>
          <w:lang w:val="en-US" w:eastAsia="zh-CN"/>
        </w:rPr>
        <w:t>37</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14:paraId="58B4E57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14:paraId="03BBE0D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我镇2024年决算报表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14:paraId="0AD4C78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5D43ACA5">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（一）部门预算总体绩效分析。指标分值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65</w:t>
      </w:r>
      <w:r>
        <w:rPr>
          <w:rFonts w:hint="eastAsia" w:ascii="楷体_GB2312" w:hAnsi="楷体_GB2312" w:eastAsia="楷体_GB2312" w:cs="楷体_GB2312"/>
          <w:b/>
          <w:bCs/>
          <w:color w:val="000000"/>
          <w:kern w:val="0"/>
          <w:szCs w:val="32"/>
          <w:highlight w:val="none"/>
          <w:shd w:val="clear" w:color="auto" w:fill="FFFFFF"/>
          <w:lang w:val="zh-CN"/>
        </w:rPr>
        <w:t>分，自评得分</w:t>
      </w:r>
      <w:r>
        <w:rPr>
          <w:rFonts w:hint="eastAsia" w:ascii="楷体_GB2312" w:hAnsi="楷体_GB2312" w:eastAsia="楷体_GB2312" w:cs="楷体_GB2312"/>
          <w:b/>
          <w:bCs/>
          <w:color w:val="000000"/>
          <w:kern w:val="0"/>
          <w:szCs w:val="32"/>
          <w:highlight w:val="none"/>
          <w:shd w:val="clear" w:color="auto" w:fill="FFFFFF"/>
          <w:lang w:val="en-US" w:eastAsia="zh-CN"/>
        </w:rPr>
        <w:t>61.8</w:t>
      </w:r>
      <w:r>
        <w:rPr>
          <w:rFonts w:hint="eastAsia" w:ascii="楷体_GB2312" w:hAnsi="楷体_GB2312" w:eastAsia="楷体_GB2312" w:cs="楷体_GB2312"/>
          <w:b/>
          <w:bCs/>
          <w:color w:val="000000"/>
          <w:kern w:val="0"/>
          <w:szCs w:val="32"/>
          <w:highlight w:val="none"/>
          <w:shd w:val="clear" w:color="auto" w:fill="FFFFFF"/>
          <w:lang w:val="zh-CN"/>
        </w:rPr>
        <w:t>分</w:t>
      </w:r>
    </w:p>
    <w:p w14:paraId="70BD8A3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1.</w:t>
      </w:r>
      <w:r>
        <w:rPr>
          <w:rFonts w:hint="eastAsia" w:ascii="仿宋_GB2312" w:hAnsi="仿宋_GB2312" w:eastAsia="仿宋_GB2312" w:cs="仿宋_GB2312"/>
          <w:b/>
          <w:bCs/>
          <w:sz w:val="32"/>
          <w:lang w:val="zh-CN" w:eastAsia="zh-CN"/>
        </w:rPr>
        <w:t>履职效能。指标分值15分，自评得分15分。</w:t>
      </w:r>
    </w:p>
    <w:p w14:paraId="349794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核心职能目标一：基本支出，在职人员工资保险。目标完成情况，截止2024年底我单位如期完成</w:t>
      </w:r>
      <w:r>
        <w:rPr>
          <w:rFonts w:hint="eastAsia" w:ascii="仿宋_GB2312" w:hAnsi="仿宋_GB2312" w:cs="仿宋_GB2312"/>
          <w:sz w:val="32"/>
          <w:lang w:val="en-US" w:eastAsia="zh-CN"/>
        </w:rPr>
        <w:t>44</w:t>
      </w:r>
      <w:r>
        <w:rPr>
          <w:rFonts w:hint="eastAsia" w:ascii="仿宋_GB2312" w:hAnsi="仿宋_GB2312" w:eastAsia="仿宋_GB2312" w:cs="仿宋_GB2312"/>
          <w:sz w:val="32"/>
          <w:lang w:val="zh-CN" w:eastAsia="zh-CN"/>
        </w:rPr>
        <w:t>人全年工资保险发放。该资金开支范围、标准及支付进度，支付依据合规合法，资金支付与绩效目标相符。</w:t>
      </w:r>
    </w:p>
    <w:p w14:paraId="3012159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核心职能目标二：项目支出，</w:t>
      </w:r>
      <w:r>
        <w:rPr>
          <w:rFonts w:hint="eastAsia" w:ascii="仿宋_GB2312" w:hAnsi="仿宋_GB2312" w:eastAsia="仿宋_GB2312" w:cs="仿宋_GB2312"/>
          <w:sz w:val="32"/>
          <w:lang w:val="en-US" w:eastAsia="zh-CN"/>
        </w:rPr>
        <w:t>2024年全镇</w:t>
      </w:r>
      <w:r>
        <w:rPr>
          <w:rFonts w:hint="eastAsia" w:ascii="仿宋_GB2312" w:hAnsi="仿宋_GB2312" w:eastAsia="仿宋_GB2312" w:cs="仿宋_GB2312"/>
          <w:sz w:val="32"/>
          <w:lang w:val="zh-CN" w:eastAsia="zh-CN"/>
        </w:rPr>
        <w:t>各项资金开支范围、标准及支付进度，支付依据合规合法，资金支付与预算相符。</w:t>
      </w:r>
    </w:p>
    <w:p w14:paraId="78C8D94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2.</w:t>
      </w:r>
      <w:r>
        <w:rPr>
          <w:rFonts w:hint="eastAsia" w:ascii="仿宋_GB2312" w:hAnsi="仿宋_GB2312" w:eastAsia="仿宋_GB2312" w:cs="仿宋_GB2312"/>
          <w:b/>
          <w:bCs/>
          <w:sz w:val="32"/>
          <w:lang w:val="zh-CN" w:eastAsia="zh-CN"/>
        </w:rPr>
        <w:t>预算管理。指标分值25分，自评得分</w:t>
      </w:r>
      <w:r>
        <w:rPr>
          <w:rFonts w:hint="eastAsia" w:ascii="仿宋_GB2312" w:hAnsi="仿宋_GB2312" w:eastAsia="仿宋_GB2312" w:cs="仿宋_GB2312"/>
          <w:b/>
          <w:bCs/>
          <w:sz w:val="32"/>
          <w:lang w:val="en-US" w:eastAsia="zh-CN"/>
        </w:rPr>
        <w:t>2</w:t>
      </w:r>
      <w:r>
        <w:rPr>
          <w:rFonts w:hint="eastAsia" w:ascii="仿宋_GB2312" w:hAnsi="仿宋_GB2312" w:cs="仿宋_GB2312"/>
          <w:b/>
          <w:bCs/>
          <w:sz w:val="32"/>
          <w:lang w:val="en-US" w:eastAsia="zh-CN"/>
        </w:rPr>
        <w:t>3</w:t>
      </w:r>
      <w:r>
        <w:rPr>
          <w:rFonts w:hint="eastAsia" w:ascii="仿宋_GB2312" w:hAnsi="仿宋_GB2312" w:eastAsia="仿宋_GB2312" w:cs="仿宋_GB2312"/>
          <w:b/>
          <w:bCs/>
          <w:sz w:val="32"/>
          <w:lang w:val="zh-CN" w:eastAsia="zh-CN"/>
        </w:rPr>
        <w:t>分。</w:t>
      </w:r>
    </w:p>
    <w:p w14:paraId="08D40C8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预算编制质量：本单位本年度收入调整预算数为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万元，预算支出完成度为100.00%。截止2024年度我单位资金无结转结余。</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w:t>
      </w:r>
    </w:p>
    <w:p w14:paraId="5379024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单位收入统筹</w:t>
      </w:r>
      <w:r>
        <w:rPr>
          <w:rFonts w:hint="eastAsia" w:ascii="仿宋_GB2312" w:hAnsi="仿宋_GB2312" w:eastAsia="仿宋_GB2312" w:cs="仿宋_GB2312"/>
          <w:sz w:val="32"/>
          <w:lang w:eastAsia="zh-CN"/>
        </w:rPr>
        <w:t>：我单位不涉及该项指标。</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6669006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eastAsia="zh-CN"/>
        </w:rPr>
        <w:t>支出执行进度：2024年1-6月支付情况：支付数据</w:t>
      </w:r>
      <w:r>
        <w:rPr>
          <w:rFonts w:hint="eastAsia" w:ascii="仿宋_GB2312" w:hAnsi="仿宋_GB2312" w:cs="仿宋_GB2312"/>
          <w:sz w:val="32"/>
          <w:highlight w:val="none"/>
          <w:lang w:val="en-US" w:eastAsia="zh-CN"/>
        </w:rPr>
        <w:t>908.37</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32.2</w:t>
      </w:r>
      <w:r>
        <w:rPr>
          <w:rFonts w:hint="eastAsia" w:ascii="仿宋_GB2312" w:hAnsi="仿宋_GB2312" w:eastAsia="仿宋_GB2312" w:cs="仿宋_GB2312"/>
          <w:sz w:val="32"/>
          <w:highlight w:val="none"/>
          <w:lang w:eastAsia="zh-CN"/>
        </w:rPr>
        <w:t>%。1-1</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月支付数据</w:t>
      </w:r>
      <w:r>
        <w:rPr>
          <w:rFonts w:hint="eastAsia" w:ascii="仿宋_GB2312" w:hAnsi="仿宋_GB2312" w:cs="仿宋_GB2312"/>
          <w:sz w:val="32"/>
          <w:highlight w:val="none"/>
          <w:lang w:val="en-US" w:eastAsia="zh-CN"/>
        </w:rPr>
        <w:t>2145.88</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76</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6</w:t>
      </w:r>
      <w:r>
        <w:rPr>
          <w:rFonts w:hint="eastAsia" w:ascii="仿宋_GB2312" w:hAnsi="仿宋_GB2312" w:eastAsia="仿宋_GB2312" w:cs="仿宋_GB2312"/>
          <w:sz w:val="32"/>
          <w:highlight w:val="none"/>
          <w:lang w:val="zh-CN" w:eastAsia="zh-CN"/>
        </w:rPr>
        <w:t>分，自评得分</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zh-CN" w:eastAsia="zh-CN"/>
        </w:rPr>
        <w:t>分。</w:t>
      </w:r>
    </w:p>
    <w:p w14:paraId="521CA1F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预算年终结余:2024年无结转结余。</w:t>
      </w:r>
      <w:r>
        <w:rPr>
          <w:rFonts w:hint="eastAsia" w:ascii="仿宋_GB2312" w:hAnsi="仿宋_GB2312" w:eastAsia="仿宋_GB2312" w:cs="仿宋_GB2312"/>
          <w:sz w:val="32"/>
          <w:lang w:val="zh-CN" w:eastAsia="zh-CN"/>
        </w:rPr>
        <w:t>指标分值2分，自评得分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4B2708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严控一般性支出：我单位严控“三公”经费、会议、培训、差旅、办节办展、办公设备购置、信息网络及软件购置更新、课题经费等8项一般性支出。</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w:t>
      </w:r>
    </w:p>
    <w:p w14:paraId="2844A7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3.</w:t>
      </w:r>
      <w:r>
        <w:rPr>
          <w:rFonts w:hint="eastAsia" w:ascii="仿宋_GB2312" w:hAnsi="仿宋_GB2312" w:eastAsia="仿宋_GB2312" w:cs="仿宋_GB2312"/>
          <w:b/>
          <w:bCs/>
          <w:sz w:val="32"/>
          <w:lang w:val="zh-CN" w:eastAsia="zh-CN"/>
        </w:rPr>
        <w:t>财务管理。指标分值</w:t>
      </w:r>
      <w:r>
        <w:rPr>
          <w:rFonts w:hint="eastAsia" w:ascii="仿宋_GB2312" w:hAnsi="仿宋_GB2312" w:eastAsia="仿宋_GB2312" w:cs="仿宋_GB2312"/>
          <w:b/>
          <w:bCs/>
          <w:sz w:val="32"/>
          <w:lang w:val="en-US" w:eastAsia="zh-CN"/>
        </w:rPr>
        <w:t>10</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14:paraId="439758C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财务管理制度：强化制度建设。不断强化财务管理制度建设，依据相关法律、法规及管理办法，制定符合我镇</w:t>
      </w:r>
      <w:r>
        <w:rPr>
          <w:rFonts w:hint="eastAsia" w:ascii="仿宋_GB2312" w:hAnsi="仿宋_GB2312" w:cs="仿宋_GB2312"/>
          <w:sz w:val="32"/>
          <w:lang w:val="en-US" w:eastAsia="zh-CN"/>
        </w:rPr>
        <w:t>实际</w:t>
      </w:r>
      <w:r>
        <w:rPr>
          <w:rFonts w:hint="eastAsia" w:ascii="仿宋_GB2312" w:hAnsi="仿宋_GB2312" w:eastAsia="仿宋_GB2312" w:cs="仿宋_GB2312"/>
          <w:sz w:val="32"/>
          <w:lang w:val="zh-CN" w:eastAsia="zh-CN"/>
        </w:rPr>
        <w:t>财务制度，着重从预算绩效管理主要内容和环节，规范操作程序和质量控制要求，构建起工作有指导、实施有方案、内部有规程等相互支撑制度体系。指标分值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636F6B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财务岗位设置：我镇按照财务制度规定</w:t>
      </w:r>
      <w:r>
        <w:rPr>
          <w:rFonts w:hint="eastAsia" w:ascii="仿宋_GB2312" w:hAnsi="仿宋_GB2312" w:eastAsia="仿宋_GB2312" w:cs="仿宋_GB2312"/>
          <w:sz w:val="32"/>
          <w:lang w:val="en-US" w:eastAsia="zh-CN"/>
        </w:rPr>
        <w:t>,设立会计、出纳岗位，相互监督。</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18C7FA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资金使用规范：本年度收到预算资金</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万元，实际使用</w:t>
      </w:r>
      <w:r>
        <w:rPr>
          <w:rFonts w:hint="eastAsia" w:ascii="仿宋_GB2312" w:hAnsi="仿宋_GB2312" w:cs="仿宋_GB2312"/>
          <w:sz w:val="32"/>
          <w:lang w:val="en-US" w:eastAsia="zh-CN"/>
        </w:rPr>
        <w:t>2719.86</w:t>
      </w:r>
      <w:r>
        <w:rPr>
          <w:rFonts w:hint="eastAsia" w:ascii="仿宋_GB2312" w:hAnsi="仿宋_GB2312" w:eastAsia="仿宋_GB2312" w:cs="仿宋_GB2312"/>
          <w:sz w:val="32"/>
          <w:lang w:eastAsia="zh-CN"/>
        </w:rPr>
        <w:t>万元。资金使用过程中严格按照单位财务管理制度要</w:t>
      </w:r>
      <w:r>
        <w:rPr>
          <w:rFonts w:hint="eastAsia" w:ascii="仿宋_GB2312" w:hAnsi="仿宋_GB2312" w:eastAsia="仿宋_GB2312" w:cs="仿宋_GB2312"/>
          <w:sz w:val="32"/>
          <w:lang w:val="zh-CN" w:eastAsia="zh-CN"/>
        </w:rPr>
        <w:t>求执行，提高资金使用的合规性。指标分值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0747232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4.</w:t>
      </w:r>
      <w:r>
        <w:rPr>
          <w:rFonts w:hint="eastAsia" w:ascii="仿宋_GB2312" w:hAnsi="仿宋_GB2312" w:eastAsia="仿宋_GB2312" w:cs="仿宋_GB2312"/>
          <w:b/>
          <w:bCs/>
          <w:sz w:val="32"/>
          <w:lang w:val="zh-CN" w:eastAsia="zh-CN"/>
        </w:rPr>
        <w:t>资产管理。指标分值</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14:paraId="4CAEC17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人均资产变化率</w:t>
      </w:r>
      <w:r>
        <w:rPr>
          <w:rFonts w:hint="eastAsia" w:ascii="仿宋_GB2312" w:hAnsi="仿宋_GB2312" w:eastAsia="仿宋_GB2312" w:cs="仿宋_GB2312"/>
          <w:sz w:val="32"/>
          <w:lang w:val="en-US" w:eastAsia="zh-CN"/>
        </w:rPr>
        <w:t>=(期末人均资产-期初人均资产)/期初人均资产*100%。均符合相关规定，低于规定值。</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643230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固定资产在用率：</w:t>
      </w:r>
      <w:r>
        <w:rPr>
          <w:rFonts w:hint="eastAsia" w:ascii="仿宋_GB2312" w:hAnsi="仿宋_GB2312" w:eastAsia="仿宋_GB2312" w:cs="仿宋_GB2312"/>
          <w:sz w:val="32"/>
          <w:highlight w:val="none"/>
          <w:lang w:eastAsia="zh-CN"/>
        </w:rPr>
        <w:t>截止2024年12月31日，固定资产总计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万元，固定资产在用率达100%。</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14:paraId="45FF7DD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资产盘活率。资产闲置</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eastAsia="zh-CN"/>
        </w:rPr>
        <w:t>资产盘活率达</w:t>
      </w:r>
      <w:r>
        <w:rPr>
          <w:rFonts w:hint="eastAsia" w:ascii="仿宋_GB2312" w:hAnsi="仿宋_GB2312" w:eastAsia="仿宋_GB2312" w:cs="仿宋_GB2312"/>
          <w:sz w:val="32"/>
          <w:lang w:val="en-US" w:eastAsia="zh-CN"/>
        </w:rPr>
        <w:t>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54DCC1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lang w:val="zh-CN" w:eastAsia="zh-CN"/>
        </w:rPr>
        <w:t>采购管理。指标分值</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w:t>
      </w:r>
    </w:p>
    <w:p w14:paraId="7CD644F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支持中小企业发展：2024</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14:paraId="54EC8AA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highlight w:val="none"/>
          <w:lang w:val="zh-CN"/>
        </w:rPr>
      </w:pPr>
      <w:r>
        <w:rPr>
          <w:rFonts w:hint="eastAsia" w:ascii="仿宋_GB2312" w:hAnsi="仿宋_GB2312" w:eastAsia="仿宋_GB2312" w:cs="仿宋_GB2312"/>
          <w:sz w:val="32"/>
          <w:highlight w:val="none"/>
          <w:lang w:eastAsia="zh-CN"/>
        </w:rPr>
        <w:t>采购执行率：</w:t>
      </w:r>
      <w:r>
        <w:rPr>
          <w:rFonts w:hint="eastAsia" w:ascii="仿宋_GB2312" w:hAnsi="仿宋_GB2312" w:eastAsia="仿宋_GB2312" w:cs="仿宋_GB2312"/>
          <w:sz w:val="32"/>
          <w:highlight w:val="none"/>
          <w:lang w:val="zh-CN" w:eastAsia="zh-CN"/>
        </w:rPr>
        <w:t>2024</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cs="仿宋_GB2312"/>
          <w:sz w:val="32"/>
          <w:highlight w:val="none"/>
          <w:lang w:val="en-US" w:eastAsia="zh-CN"/>
        </w:rPr>
        <w:t>93.98</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服务</w:t>
      </w:r>
      <w:r>
        <w:rPr>
          <w:rFonts w:hint="eastAsia" w:ascii="仿宋_GB2312" w:hAnsi="仿宋_GB2312" w:eastAsia="仿宋_GB2312" w:cs="仿宋_GB2312"/>
          <w:sz w:val="32"/>
          <w:highlight w:val="none"/>
          <w:lang w:val="zh-CN" w:eastAsia="zh-CN"/>
        </w:rPr>
        <w:t>采购</w:t>
      </w:r>
      <w:r>
        <w:rPr>
          <w:rFonts w:hint="eastAsia" w:ascii="仿宋_GB2312" w:hAnsi="仿宋_GB2312" w:cs="仿宋_GB2312"/>
          <w:sz w:val="32"/>
          <w:highlight w:val="none"/>
          <w:lang w:val="en-US" w:eastAsia="zh-CN"/>
        </w:rPr>
        <w:t>0.26</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val="zh-CN" w:eastAsia="zh-CN"/>
        </w:rPr>
        <w:t>货物</w:t>
      </w:r>
      <w:r>
        <w:rPr>
          <w:rFonts w:hint="eastAsia" w:ascii="仿宋_GB2312" w:hAnsi="仿宋_GB2312" w:eastAsia="仿宋_GB2312" w:cs="仿宋_GB2312"/>
          <w:sz w:val="32"/>
          <w:highlight w:val="none"/>
          <w:lang w:val="en-US" w:eastAsia="zh-CN"/>
        </w:rPr>
        <w:t>采购</w:t>
      </w:r>
      <w:r>
        <w:rPr>
          <w:rFonts w:hint="eastAsia" w:ascii="仿宋_GB2312" w:hAnsi="仿宋_GB2312" w:cs="仿宋_GB2312"/>
          <w:sz w:val="32"/>
          <w:highlight w:val="none"/>
          <w:lang w:val="en-US" w:eastAsia="zh-CN"/>
        </w:rPr>
        <w:t>93.72</w:t>
      </w:r>
      <w:r>
        <w:rPr>
          <w:rFonts w:hint="eastAsia" w:ascii="仿宋_GB2312" w:hAnsi="仿宋_GB2312" w:eastAsia="仿宋_GB2312" w:cs="仿宋_GB2312"/>
          <w:sz w:val="32"/>
          <w:highlight w:val="none"/>
          <w:lang w:val="en-US" w:eastAsia="zh-CN"/>
        </w:rPr>
        <w:t>万元、工程采购0万元。</w:t>
      </w:r>
      <w:r>
        <w:rPr>
          <w:rFonts w:hint="eastAsia" w:ascii="仿宋_GB2312" w:hAnsi="仿宋_GB2312" w:eastAsia="仿宋_GB2312" w:cs="仿宋_GB2312"/>
          <w:sz w:val="32"/>
          <w:highlight w:val="none"/>
          <w:lang w:eastAsia="zh-CN"/>
        </w:rPr>
        <w:t>支持中小企业发展：政府采购授予中小企业合同金额</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万元，其中：授予小微企业合同金额0万元。</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14:paraId="0317DE30">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35分，自评得分32分。</w:t>
      </w:r>
    </w:p>
    <w:p w14:paraId="15BB3AC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en-US" w:eastAsia="zh-CN"/>
        </w:rPr>
        <w:t>常年项目绩效分析。</w:t>
      </w:r>
      <w:r>
        <w:rPr>
          <w:rFonts w:hint="default" w:ascii="仿宋_GB2312" w:hAnsi="仿宋_GB2312" w:eastAsia="仿宋_GB2312" w:cs="仿宋_GB2312"/>
          <w:sz w:val="32"/>
          <w:highlight w:val="none"/>
          <w:lang w:val="zh-CN" w:eastAsia="zh-CN"/>
        </w:rPr>
        <w:t>该类项目总数</w:t>
      </w:r>
      <w:r>
        <w:rPr>
          <w:rFonts w:hint="eastAsia" w:ascii="仿宋_GB2312" w:hAnsi="仿宋_GB2312" w:cs="仿宋_GB2312"/>
          <w:sz w:val="32"/>
          <w:highlight w:val="none"/>
          <w:lang w:val="en-US" w:eastAsia="zh-CN"/>
        </w:rPr>
        <w:t>6</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14:paraId="7D18A2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人大代表工作经费：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w:t>
      </w:r>
    </w:p>
    <w:p w14:paraId="1106D01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村干部工资：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w:t>
      </w:r>
    </w:p>
    <w:p w14:paraId="77E80C7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3.社区干部工资：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w:t>
      </w:r>
    </w:p>
    <w:p w14:paraId="4ACD019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村干部体检费：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w:t>
      </w:r>
    </w:p>
    <w:p w14:paraId="02F532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村级公共运行维护费：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w:t>
      </w:r>
    </w:p>
    <w:p w14:paraId="74B8DFC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驻村工作队专项工作经费：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w:t>
      </w:r>
    </w:p>
    <w:p w14:paraId="7C7B67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涉及预算总金额</w:t>
      </w:r>
      <w:r>
        <w:rPr>
          <w:rFonts w:hint="eastAsia" w:ascii="仿宋_GB2312" w:hAnsi="仿宋_GB2312" w:cs="仿宋_GB2312"/>
          <w:sz w:val="32"/>
          <w:highlight w:val="none"/>
          <w:lang w:val="en-US" w:eastAsia="zh-CN"/>
        </w:rPr>
        <w:t>524.79</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月预算执行总体</w:t>
      </w:r>
      <w:r>
        <w:rPr>
          <w:rFonts w:hint="eastAsia" w:ascii="仿宋_GB2312" w:hAnsi="仿宋_GB2312" w:eastAsia="仿宋_GB2312" w:cs="仿宋_GB2312"/>
          <w:sz w:val="32"/>
          <w:highlight w:val="none"/>
          <w:lang w:val="zh-CN" w:eastAsia="zh-CN"/>
        </w:rPr>
        <w:t>支付金额为</w:t>
      </w:r>
      <w:r>
        <w:rPr>
          <w:rFonts w:hint="eastAsia" w:ascii="仿宋_GB2312" w:hAnsi="仿宋_GB2312" w:cs="仿宋_GB2312"/>
          <w:sz w:val="32"/>
          <w:highlight w:val="none"/>
          <w:lang w:val="en-US" w:eastAsia="zh-CN"/>
        </w:rPr>
        <w:t>524.79</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14:paraId="6EEC58A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14:paraId="091C632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阶段</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一次性</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项目绩效分析。</w:t>
      </w:r>
      <w:r>
        <w:rPr>
          <w:rFonts w:hint="default" w:ascii="仿宋_GB2312" w:hAnsi="仿宋_GB2312" w:eastAsia="仿宋_GB2312" w:cs="仿宋_GB2312"/>
          <w:sz w:val="32"/>
          <w:lang w:val="zh-CN" w:eastAsia="zh-CN"/>
        </w:rPr>
        <w:t>该类项目总数</w:t>
      </w:r>
      <w:r>
        <w:rPr>
          <w:rFonts w:hint="eastAsia" w:ascii="仿宋_GB2312" w:hAnsi="仿宋_GB2312" w:cs="仿宋_GB2312"/>
          <w:sz w:val="32"/>
          <w:lang w:val="en-US" w:eastAsia="zh-CN"/>
        </w:rPr>
        <w:t>7</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14:paraId="18ABB09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1.乡镇避险转移经费项目:调整后预算</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w:t>
      </w:r>
    </w:p>
    <w:p w14:paraId="3C15E0F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2.自然灾害应急资金项目:调整后预算</w:t>
      </w:r>
      <w:r>
        <w:rPr>
          <w:rFonts w:hint="eastAsia" w:ascii="仿宋_GB2312" w:hAnsi="仿宋_GB2312" w:cs="仿宋_GB2312"/>
          <w:sz w:val="32"/>
          <w:highlight w:val="none"/>
          <w:lang w:val="en-US" w:eastAsia="zh-CN"/>
        </w:rPr>
        <w:t>10</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w:t>
      </w:r>
      <w:r>
        <w:rPr>
          <w:rFonts w:hint="eastAsia" w:ascii="仿宋_GB2312" w:hAnsi="仿宋_GB2312" w:eastAsia="仿宋_GB2312" w:cs="仿宋_GB2312"/>
          <w:sz w:val="32"/>
          <w:highlight w:val="none"/>
          <w:lang w:val="en-US" w:eastAsia="zh-CN"/>
        </w:rPr>
        <w:t>万元；</w:t>
      </w:r>
    </w:p>
    <w:p w14:paraId="27C61B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3.</w:t>
      </w:r>
      <w:r>
        <w:rPr>
          <w:rFonts w:hint="default" w:ascii="Times New Roman" w:hAnsi="Times New Roman" w:eastAsia="仿宋_GB2312" w:cs="Times New Roman"/>
          <w:color w:val="000000"/>
          <w:sz w:val="32"/>
          <w:szCs w:val="32"/>
          <w:highlight w:val="none"/>
          <w:lang w:val="en-US" w:eastAsia="zh-CN"/>
        </w:rPr>
        <w:t>芦花镇入户路补短建设项目</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84.88</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84.88</w:t>
      </w:r>
      <w:r>
        <w:rPr>
          <w:rFonts w:hint="eastAsia" w:ascii="仿宋_GB2312" w:hAnsi="仿宋_GB2312" w:eastAsia="仿宋_GB2312" w:cs="仿宋_GB2312"/>
          <w:sz w:val="32"/>
          <w:highlight w:val="none"/>
          <w:lang w:val="en-US" w:eastAsia="zh-CN"/>
        </w:rPr>
        <w:t>万元；</w:t>
      </w:r>
    </w:p>
    <w:p w14:paraId="400F283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4.</w:t>
      </w:r>
      <w:r>
        <w:rPr>
          <w:rFonts w:hint="default" w:ascii="Times New Roman" w:hAnsi="Times New Roman" w:eastAsia="仿宋_GB2312" w:cs="Times New Roman"/>
          <w:color w:val="000000"/>
          <w:sz w:val="32"/>
          <w:szCs w:val="32"/>
          <w:highlight w:val="none"/>
          <w:lang w:val="en-US" w:eastAsia="zh-CN"/>
        </w:rPr>
        <w:t>芦花镇德石窝村新型农村集体经济</w:t>
      </w:r>
      <w:r>
        <w:rPr>
          <w:rFonts w:hint="eastAsia" w:ascii="仿宋_GB2312" w:hAnsi="仿宋_GB2312" w:eastAsia="仿宋_GB2312" w:cs="仿宋_GB2312"/>
          <w:sz w:val="32"/>
          <w:highlight w:val="none"/>
          <w:lang w:val="en-US" w:eastAsia="zh-CN"/>
        </w:rPr>
        <w:t>项目:调整后预算</w:t>
      </w:r>
      <w:r>
        <w:rPr>
          <w:rFonts w:hint="eastAsia" w:ascii="仿宋_GB2312" w:hAnsi="仿宋_GB2312" w:cs="仿宋_GB2312"/>
          <w:sz w:val="32"/>
          <w:highlight w:val="none"/>
          <w:lang w:val="en-US" w:eastAsia="zh-CN"/>
        </w:rPr>
        <w:t>93.72</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93.72</w:t>
      </w:r>
      <w:r>
        <w:rPr>
          <w:rFonts w:hint="eastAsia" w:ascii="仿宋_GB2312" w:hAnsi="仿宋_GB2312" w:eastAsia="仿宋_GB2312" w:cs="仿宋_GB2312"/>
          <w:sz w:val="32"/>
          <w:highlight w:val="none"/>
          <w:lang w:val="en-US" w:eastAsia="zh-CN"/>
        </w:rPr>
        <w:t>万元；</w:t>
      </w:r>
    </w:p>
    <w:p w14:paraId="7D3610A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5.</w:t>
      </w:r>
      <w:r>
        <w:rPr>
          <w:rFonts w:hint="default" w:ascii="Times New Roman" w:hAnsi="Times New Roman" w:eastAsia="仿宋_GB2312" w:cs="Times New Roman"/>
          <w:color w:val="000000"/>
          <w:sz w:val="32"/>
          <w:szCs w:val="32"/>
          <w:highlight w:val="none"/>
          <w:lang w:val="en-US" w:eastAsia="zh-CN"/>
        </w:rPr>
        <w:t>芦花镇人居环境综合整治</w:t>
      </w:r>
      <w:r>
        <w:rPr>
          <w:rFonts w:hint="eastAsia" w:ascii="仿宋_GB2312" w:hAnsi="仿宋_GB2312" w:eastAsia="仿宋_GB2312" w:cs="仿宋_GB2312"/>
          <w:sz w:val="32"/>
          <w:highlight w:val="none"/>
          <w:lang w:val="en-US" w:eastAsia="zh-CN"/>
        </w:rPr>
        <w:t>项目:调整后预算</w:t>
      </w:r>
      <w:r>
        <w:rPr>
          <w:rFonts w:hint="eastAsia" w:ascii="仿宋_GB2312" w:hAnsi="仿宋_GB2312" w:cs="仿宋_GB2312"/>
          <w:sz w:val="32"/>
          <w:highlight w:val="none"/>
          <w:lang w:val="en-US" w:eastAsia="zh-CN"/>
        </w:rPr>
        <w:t>53.99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53.99</w:t>
      </w:r>
      <w:r>
        <w:rPr>
          <w:rFonts w:hint="eastAsia" w:ascii="仿宋_GB2312" w:hAnsi="仿宋_GB2312" w:eastAsia="仿宋_GB2312" w:cs="仿宋_GB2312"/>
          <w:sz w:val="32"/>
          <w:highlight w:val="none"/>
          <w:lang w:val="en-US" w:eastAsia="zh-CN"/>
        </w:rPr>
        <w:t>万元；</w:t>
      </w:r>
    </w:p>
    <w:p w14:paraId="351DAA6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6.</w:t>
      </w:r>
      <w:r>
        <w:rPr>
          <w:rFonts w:hint="default" w:ascii="Times New Roman" w:hAnsi="Times New Roman" w:eastAsia="仿宋_GB2312" w:cs="Times New Roman"/>
          <w:color w:val="000000"/>
          <w:sz w:val="32"/>
          <w:szCs w:val="32"/>
          <w:highlight w:val="none"/>
          <w:lang w:val="en-US" w:eastAsia="zh-CN"/>
        </w:rPr>
        <w:t>芦花镇铁别村农旅融合基础设施补短建设</w:t>
      </w:r>
      <w:r>
        <w:rPr>
          <w:rFonts w:hint="eastAsia" w:ascii="仿宋_GB2312" w:hAnsi="仿宋_GB2312" w:eastAsia="仿宋_GB2312" w:cs="仿宋_GB2312"/>
          <w:sz w:val="32"/>
          <w:highlight w:val="none"/>
          <w:lang w:val="en-US" w:eastAsia="zh-CN"/>
        </w:rPr>
        <w:t>项目:调整后预算</w:t>
      </w:r>
      <w:r>
        <w:rPr>
          <w:rFonts w:hint="eastAsia" w:ascii="仿宋_GB2312" w:hAnsi="仿宋_GB2312" w:cs="仿宋_GB2312"/>
          <w:sz w:val="32"/>
          <w:highlight w:val="none"/>
          <w:lang w:val="en-US" w:eastAsia="zh-CN"/>
        </w:rPr>
        <w:t>465.73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465.73</w:t>
      </w:r>
      <w:r>
        <w:rPr>
          <w:rFonts w:hint="eastAsia" w:ascii="仿宋_GB2312" w:hAnsi="仿宋_GB2312" w:eastAsia="仿宋_GB2312" w:cs="仿宋_GB2312"/>
          <w:sz w:val="32"/>
          <w:highlight w:val="none"/>
          <w:lang w:val="en-US" w:eastAsia="zh-CN"/>
        </w:rPr>
        <w:t>万元；</w:t>
      </w:r>
    </w:p>
    <w:p w14:paraId="6BC70D7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7.</w:t>
      </w:r>
      <w:r>
        <w:rPr>
          <w:rFonts w:hint="default" w:ascii="Times New Roman" w:hAnsi="Times New Roman" w:eastAsia="仿宋_GB2312" w:cs="Times New Roman"/>
          <w:color w:val="000000"/>
          <w:sz w:val="32"/>
          <w:szCs w:val="32"/>
          <w:highlight w:val="none"/>
          <w:lang w:val="en-US" w:eastAsia="zh-CN"/>
        </w:rPr>
        <w:t>芦花镇德石窝村安全饮水</w:t>
      </w:r>
      <w:r>
        <w:rPr>
          <w:rFonts w:hint="eastAsia" w:cs="Times New Roman"/>
          <w:color w:val="000000"/>
          <w:sz w:val="32"/>
          <w:szCs w:val="32"/>
          <w:highlight w:val="none"/>
          <w:lang w:val="en-US" w:eastAsia="zh-CN"/>
        </w:rPr>
        <w:t>项目</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78.43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78.43</w:t>
      </w:r>
      <w:r>
        <w:rPr>
          <w:rFonts w:hint="eastAsia" w:ascii="仿宋_GB2312" w:hAnsi="仿宋_GB2312" w:eastAsia="仿宋_GB2312" w:cs="仿宋_GB2312"/>
          <w:sz w:val="32"/>
          <w:highlight w:val="none"/>
          <w:lang w:val="en-US" w:eastAsia="zh-CN"/>
        </w:rPr>
        <w:t>万元；</w:t>
      </w:r>
    </w:p>
    <w:p w14:paraId="131665E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 xml:space="preserve"> </w:t>
      </w:r>
      <w:r>
        <w:rPr>
          <w:rFonts w:hint="default" w:ascii="仿宋_GB2312" w:hAnsi="仿宋_GB2312" w:eastAsia="仿宋_GB2312" w:cs="仿宋_GB2312"/>
          <w:sz w:val="32"/>
          <w:highlight w:val="none"/>
          <w:lang w:val="zh-CN" w:eastAsia="zh-CN"/>
        </w:rPr>
        <w:t>涉及预算总金额</w:t>
      </w:r>
      <w:r>
        <w:rPr>
          <w:rFonts w:hint="eastAsia" w:ascii="仿宋_GB2312" w:hAnsi="仿宋_GB2312" w:cs="仿宋_GB2312"/>
          <w:sz w:val="32"/>
          <w:highlight w:val="none"/>
          <w:lang w:val="en-US" w:eastAsia="zh-CN"/>
        </w:rPr>
        <w:t>786.92</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w:t>
      </w:r>
      <w:r>
        <w:rPr>
          <w:rFonts w:hint="eastAsia" w:ascii="仿宋_GB2312" w:hAnsi="仿宋_GB2312" w:eastAsia="仿宋_GB2312" w:cs="仿宋_GB2312"/>
          <w:sz w:val="32"/>
          <w:highlight w:val="none"/>
          <w:lang w:val="zh-CN" w:eastAsia="zh-CN"/>
        </w:rPr>
        <w:t>总额</w:t>
      </w:r>
      <w:r>
        <w:rPr>
          <w:rFonts w:hint="eastAsia" w:ascii="仿宋_GB2312" w:hAnsi="仿宋_GB2312" w:cs="仿宋_GB2312"/>
          <w:sz w:val="32"/>
          <w:highlight w:val="none"/>
          <w:lang w:val="en-US" w:eastAsia="zh-CN"/>
        </w:rPr>
        <w:t>786.92</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总体进度为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14:paraId="15EB26D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14:paraId="333DBD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项目决策。指标分值</w:t>
      </w:r>
      <w:r>
        <w:rPr>
          <w:rFonts w:hint="eastAsia" w:ascii="仿宋_GB2312" w:hAnsi="仿宋_GB2312" w:eastAsia="仿宋_GB2312" w:cs="仿宋_GB2312"/>
          <w:sz w:val="32"/>
          <w:highlight w:val="none"/>
          <w:lang w:val="en-US" w:eastAsia="zh-CN"/>
        </w:rPr>
        <w:t>12</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11</w:t>
      </w:r>
      <w:r>
        <w:rPr>
          <w:rFonts w:hint="eastAsia" w:ascii="仿宋_GB2312" w:hAnsi="仿宋_GB2312" w:eastAsia="仿宋_GB2312" w:cs="仿宋_GB2312"/>
          <w:sz w:val="32"/>
          <w:highlight w:val="none"/>
          <w:lang w:val="zh-CN" w:eastAsia="zh-CN"/>
        </w:rPr>
        <w:t>分。</w:t>
      </w:r>
    </w:p>
    <w:p w14:paraId="2B73D00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hAnsi="仿宋_GB2312" w:eastAsia="仿宋_GB2312" w:cs="仿宋_GB2312"/>
          <w:sz w:val="32"/>
          <w:lang w:eastAsia="zh-CN"/>
        </w:rPr>
        <w:t>过程是否详细、测算依据是否充分等方面进行了分析。</w:t>
      </w:r>
      <w:r>
        <w:rPr>
          <w:rFonts w:hint="eastAsia" w:ascii="仿宋_GB2312" w:hAnsi="仿宋_GB2312" w:eastAsia="仿宋_GB2312" w:cs="仿宋_GB2312"/>
          <w:sz w:val="32"/>
          <w:lang w:val="zh-CN" w:eastAsia="zh-CN"/>
        </w:rPr>
        <w:t>确定项目实施。指标分值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FF402B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项目入库；我</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按照项目建设要求在规定时间完成项目入库。</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1B70148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目标设置</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val="zh-CN" w:eastAsia="zh-CN"/>
        </w:rPr>
        <w:t>申报的</w:t>
      </w:r>
      <w:r>
        <w:rPr>
          <w:rFonts w:hint="eastAsia" w:ascii="仿宋_GB2312" w:hAnsi="仿宋_GB2312" w:eastAsia="仿宋_GB2312" w:cs="仿宋_GB2312"/>
          <w:sz w:val="32"/>
          <w:lang w:eastAsia="zh-CN"/>
        </w:rPr>
        <w:t>资金项目内容</w:t>
      </w:r>
      <w:r>
        <w:rPr>
          <w:rFonts w:hint="eastAsia" w:ascii="仿宋_GB2312" w:hAnsi="仿宋_GB2312" w:eastAsia="仿宋_GB2312" w:cs="仿宋_GB2312"/>
          <w:sz w:val="32"/>
          <w:lang w:val="zh-CN" w:eastAsia="zh-CN"/>
        </w:rPr>
        <w:t>与具体实施内容相符的、申报目标是合理可行。指标分值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250018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2.项目执行</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w:t>
      </w:r>
    </w:p>
    <w:p w14:paraId="6CAE510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执行同向：各项目实际列支内容是否与绩效目标设置方向相符。项目组织管理架构及具体实施流程，包括机构设置、监管措施、执行相关管理制度等符合相关规定。</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5460C46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项目调整：按照县级部门资金分配，设立项目，项目未调整。</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12B90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执行结果：资金开支范围、支付依据合规合法，资金支付与预算相符。个别项目支付进度不符，</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32BCC3B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目标实现。指标分值</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9</w:t>
      </w:r>
      <w:r>
        <w:rPr>
          <w:rFonts w:hint="eastAsia" w:ascii="仿宋_GB2312" w:hAnsi="仿宋_GB2312" w:eastAsia="仿宋_GB2312" w:cs="仿宋_GB2312"/>
          <w:sz w:val="32"/>
          <w:lang w:val="zh-CN" w:eastAsia="zh-CN"/>
        </w:rPr>
        <w:t>分。</w:t>
      </w:r>
    </w:p>
    <w:p w14:paraId="2280D72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目标完成：项目从经济、社会、生态、可持续效益以及服务对象满意度等方面科学制定目标任务。截止</w:t>
      </w:r>
      <w:r>
        <w:rPr>
          <w:rFonts w:hint="eastAsia" w:ascii="仿宋_GB2312" w:hAnsi="仿宋_GB2312" w:eastAsia="仿宋_GB2312" w:cs="仿宋_GB2312"/>
          <w:sz w:val="32"/>
          <w:lang w:val="en-US" w:eastAsia="zh-CN"/>
        </w:rPr>
        <w:t>2024年年底大部分</w:t>
      </w:r>
      <w:r>
        <w:rPr>
          <w:rFonts w:hint="eastAsia" w:ascii="仿宋_GB2312" w:hAnsi="仿宋_GB2312" w:eastAsia="仿宋_GB2312" w:cs="仿宋_GB2312"/>
          <w:sz w:val="32"/>
          <w:lang w:val="zh-CN" w:eastAsia="zh-CN"/>
        </w:rPr>
        <w:t>项目按照目标任务完成数量、质量、时效、成本等计划完成目标。个别项目</w:t>
      </w:r>
      <w:r>
        <w:rPr>
          <w:rFonts w:hint="eastAsia" w:ascii="仿宋_GB2312" w:hAnsi="仿宋_GB2312" w:cs="仿宋_GB2312"/>
          <w:sz w:val="32"/>
          <w:lang w:val="en-US" w:eastAsia="zh-CN"/>
        </w:rPr>
        <w:t>未</w:t>
      </w:r>
      <w:r>
        <w:rPr>
          <w:rFonts w:hint="eastAsia" w:ascii="仿宋_GB2312" w:hAnsi="仿宋_GB2312" w:eastAsia="仿宋_GB2312" w:cs="仿宋_GB2312"/>
          <w:sz w:val="32"/>
          <w:lang w:val="zh-CN" w:eastAsia="zh-CN"/>
        </w:rPr>
        <w:t>完成目标，指标分值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14:paraId="2C52580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目标偏离：预算项目绩效目标数量指标实现程度与预期目标的有偏离情况：</w:t>
      </w:r>
      <w:r>
        <w:rPr>
          <w:rFonts w:hint="eastAsia" w:ascii="仿宋_GB2312" w:hAnsi="仿宋_GB2312" w:eastAsia="仿宋_GB2312" w:cs="仿宋_GB2312"/>
          <w:sz w:val="32"/>
          <w:lang w:val="en-US" w:eastAsia="zh-CN"/>
        </w:rPr>
        <w:t>2024年我镇项目绩效目标基本实现</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14:paraId="4036A21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仿宋_GB2312" w:hAnsi="仿宋_GB2312" w:eastAsia="仿宋_GB2312" w:cs="仿宋_GB2312"/>
          <w:sz w:val="32"/>
          <w:lang w:val="zh-CN" w:eastAsia="zh-CN"/>
        </w:rPr>
        <w:t>实现效果：加快构建全方位、全过程、全覆盖预算绩效管理体系，财政资源配置效率和资金使用效益实现“双提升”。指标分值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14:paraId="40D6E2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p>
    <w:p w14:paraId="688FB7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我单位不涉及</w:t>
      </w:r>
      <w:r>
        <w:rPr>
          <w:rFonts w:hint="eastAsia" w:ascii="仿宋_GB2312" w:hAnsi="仿宋_GB2312" w:eastAsia="仿宋_GB2312" w:cs="仿宋_GB2312"/>
          <w:sz w:val="32"/>
          <w:lang w:val="en-US" w:eastAsia="zh-CN"/>
        </w:rPr>
        <w:t>2024年度</w:t>
      </w:r>
      <w:r>
        <w:rPr>
          <w:rFonts w:hint="eastAsia" w:ascii="仿宋_GB2312" w:hAnsi="仿宋_GB2312" w:eastAsia="仿宋_GB2312" w:cs="仿宋_GB2312"/>
          <w:sz w:val="32"/>
          <w:lang w:eastAsia="zh-CN"/>
        </w:rPr>
        <w:t>国有资本经营预算、社会保险基金预算。</w:t>
      </w:r>
    </w:p>
    <w:p w14:paraId="2F53E3B5">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截止2024年12月31日，固定资产总计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万元，固定资产在用率达100%。</w:t>
      </w:r>
      <w:r>
        <w:rPr>
          <w:rFonts w:hint="eastAsia" w:ascii="仿宋_GB2312" w:hAnsi="仿宋_GB2312" w:eastAsia="仿宋_GB2312" w:cs="仿宋_GB2312"/>
          <w:sz w:val="32"/>
          <w:lang w:val="zh-CN" w:eastAsia="zh-CN"/>
        </w:rPr>
        <w:t>。</w:t>
      </w:r>
    </w:p>
    <w:p w14:paraId="70ED235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cs="Times New Roman"/>
          <w:color w:val="000000"/>
          <w:kern w:val="0"/>
          <w:szCs w:val="32"/>
          <w:highlight w:val="yellow"/>
          <w:shd w:val="clear" w:color="auto" w:fill="FFFFFF"/>
          <w:lang w:val="en-US" w:eastAsia="zh-CN"/>
        </w:rPr>
      </w:pP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cs="仿宋_GB2312"/>
          <w:sz w:val="32"/>
          <w:lang w:val="en-US" w:eastAsia="zh-CN"/>
        </w:rPr>
        <w:t>93.98</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cs="仿宋_GB2312"/>
          <w:sz w:val="32"/>
          <w:lang w:val="en-US" w:eastAsia="zh-CN"/>
        </w:rPr>
        <w:t>0.26</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w:t>
      </w:r>
      <w:r>
        <w:rPr>
          <w:rFonts w:hint="eastAsia" w:ascii="仿宋_GB2312" w:hAnsi="仿宋_GB2312" w:cs="仿宋_GB2312"/>
          <w:sz w:val="32"/>
          <w:lang w:val="en-US" w:eastAsia="zh-CN"/>
        </w:rPr>
        <w:t>93.72</w:t>
      </w:r>
      <w:r>
        <w:rPr>
          <w:rFonts w:hint="eastAsia" w:ascii="仿宋_GB2312" w:hAnsi="仿宋_GB2312" w:eastAsia="仿宋_GB2312" w:cs="仿宋_GB2312"/>
          <w:sz w:val="32"/>
          <w:lang w:val="en-US" w:eastAsia="zh-CN"/>
        </w:rPr>
        <w:t>万元、工程采购0万元。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p>
    <w:p w14:paraId="12CA6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（四）绩效结果应用情况</w:t>
      </w:r>
    </w:p>
    <w:p w14:paraId="37BDCC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本次我镇整体支出绩效评价情况由相关部门予以公开，接受社会</w:t>
      </w:r>
      <w:r>
        <w:rPr>
          <w:rFonts w:hint="eastAsia" w:ascii="仿宋_GB2312" w:hAnsi="仿宋_GB2312" w:cs="仿宋_GB2312"/>
          <w:sz w:val="32"/>
          <w:lang w:val="en-US" w:eastAsia="zh-CN"/>
        </w:rPr>
        <w:t>公众</w:t>
      </w:r>
      <w:r>
        <w:rPr>
          <w:rFonts w:hint="eastAsia" w:ascii="仿宋_GB2312" w:hAnsi="仿宋_GB2312" w:eastAsia="仿宋_GB2312" w:cs="仿宋_GB2312"/>
          <w:sz w:val="32"/>
          <w:lang w:eastAsia="zh-CN"/>
        </w:rPr>
        <w:t>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我镇于2024年3月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芦花</w:t>
      </w:r>
      <w:r>
        <w:rPr>
          <w:rFonts w:hint="eastAsia" w:ascii="仿宋_GB2312" w:hAnsi="仿宋_GB2312" w:eastAsia="仿宋_GB2312" w:cs="仿宋_GB2312"/>
          <w:sz w:val="32"/>
          <w:highlight w:val="none"/>
          <w:lang w:val="zh-CN" w:eastAsia="zh-CN"/>
        </w:rPr>
        <w:t>镇人民</w:t>
      </w:r>
      <w:r>
        <w:rPr>
          <w:rFonts w:hint="eastAsia" w:ascii="仿宋_GB2312" w:hAnsi="仿宋_GB2312" w:cs="仿宋_GB2312"/>
          <w:sz w:val="32"/>
          <w:highlight w:val="none"/>
          <w:lang w:val="en-US" w:eastAsia="zh-CN"/>
        </w:rPr>
        <w:t>政府</w:t>
      </w:r>
      <w:r>
        <w:rPr>
          <w:rFonts w:hint="eastAsia" w:ascii="仿宋_GB2312" w:hAnsi="仿宋_GB2312" w:eastAsia="仿宋_GB2312" w:cs="仿宋_GB2312"/>
          <w:sz w:val="32"/>
          <w:highlight w:val="none"/>
          <w:lang w:val="zh-CN" w:eastAsia="zh-CN"/>
        </w:rPr>
        <w:t>2024年预算编制说明》并同步公开了</w:t>
      </w:r>
      <w:r>
        <w:rPr>
          <w:rFonts w:hint="eastAsia" w:ascii="仿宋_GB2312" w:hAnsi="仿宋_GB2312" w:eastAsia="仿宋_GB2312" w:cs="仿宋_GB2312"/>
          <w:sz w:val="32"/>
          <w:highlight w:val="none"/>
          <w:lang w:val="en-US" w:eastAsia="zh-CN"/>
        </w:rPr>
        <w:t>2024年部门整体支出绩效目标表</w:t>
      </w:r>
      <w:r>
        <w:rPr>
          <w:rFonts w:hint="eastAsia" w:ascii="仿宋_GB2312" w:hAnsi="仿宋_GB2312" w:eastAsia="仿宋_GB2312" w:cs="仿宋_GB2312"/>
          <w:sz w:val="32"/>
          <w:highlight w:val="none"/>
          <w:lang w:val="zh-CN" w:eastAsia="zh-CN"/>
        </w:rPr>
        <w:t>。</w:t>
      </w:r>
    </w:p>
    <w:p w14:paraId="24877D4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2024年</w:t>
      </w:r>
      <w:r>
        <w:rPr>
          <w:rFonts w:hint="eastAsia" w:ascii="仿宋_GB2312" w:hAnsi="仿宋_GB2312" w:eastAsia="仿宋_GB2312" w:cs="仿宋_GB2312"/>
          <w:sz w:val="32"/>
          <w:lang w:val="zh-CN" w:eastAsia="zh-CN"/>
        </w:rPr>
        <w:t>决算和整体绩效。</w:t>
      </w:r>
    </w:p>
    <w:p w14:paraId="7FA2033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14:paraId="7E0AB41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5AB2572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eastAsia="仿宋_GB2312" w:cs="Times New Roman"/>
          <w:highlight w:val="none"/>
        </w:rPr>
      </w:pPr>
      <w:r>
        <w:rPr>
          <w:rFonts w:hint="eastAsia" w:ascii="仿宋_GB2312" w:hAnsi="仿宋_GB2312" w:eastAsia="仿宋_GB2312" w:cs="仿宋_GB2312"/>
          <w:sz w:val="32"/>
          <w:lang w:eastAsia="zh-CN"/>
        </w:rPr>
        <w:t>根据黑水县财政局《关于开展2024年县级部门绩效自评工作的通知》，我镇对本部门2024年度整体绩效情况开展了自评工作，对照《部门预算绩效评价指标体系》进行了自评打分，根据部门整体支出绩效评价指标对部门整体支出量化评价，自评指标得分</w:t>
      </w:r>
      <w:r>
        <w:rPr>
          <w:rFonts w:hint="eastAsia" w:ascii="仿宋_GB2312" w:hAnsi="仿宋_GB2312" w:eastAsia="仿宋_GB2312" w:cs="仿宋_GB2312"/>
          <w:sz w:val="32"/>
          <w:lang w:val="en-US" w:eastAsia="zh-CN"/>
        </w:rPr>
        <w:t>92</w:t>
      </w:r>
      <w:r>
        <w:rPr>
          <w:rFonts w:hint="eastAsia" w:ascii="仿宋_GB2312" w:hAnsi="仿宋_GB2312" w:eastAsia="仿宋_GB2312" w:cs="仿宋_GB2312"/>
          <w:sz w:val="32"/>
          <w:lang w:eastAsia="zh-CN"/>
        </w:rPr>
        <w:t>分。</w:t>
      </w:r>
    </w:p>
    <w:p w14:paraId="3F9397E4">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14:paraId="477F8E1C">
      <w:pPr>
        <w:keepNext w:val="0"/>
        <w:keepLines w:val="0"/>
        <w:pageBreakBefore w:val="0"/>
        <w:widowControl/>
        <w:numPr>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1.</w:t>
      </w:r>
      <w:r>
        <w:rPr>
          <w:rFonts w:hint="eastAsia" w:ascii="仿宋_GB2312" w:hAnsi="仿宋_GB2312" w:eastAsia="仿宋_GB2312" w:cs="仿宋_GB2312"/>
          <w:b/>
          <w:bCs/>
          <w:sz w:val="32"/>
          <w:lang w:val="en-US" w:eastAsia="zh-CN"/>
        </w:rPr>
        <w:t>部门绩效管理不够科学</w:t>
      </w:r>
      <w:r>
        <w:rPr>
          <w:rFonts w:hint="eastAsia" w:ascii="仿宋_GB2312" w:hAnsi="仿宋_GB2312" w:cs="仿宋_GB2312"/>
          <w:b/>
          <w:bCs/>
          <w:sz w:val="32"/>
          <w:lang w:val="en-US" w:eastAsia="zh-CN"/>
        </w:rPr>
        <w:t>。</w:t>
      </w:r>
    </w:p>
    <w:p w14:paraId="3F27FAC2">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整体支出绩效目的与产出的数量指标、质量指标缺乏对应性，关联性和可操作性不强。</w:t>
      </w:r>
    </w:p>
    <w:p w14:paraId="3AD9520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对工程绩效目的的设定和各项指标的理解、认识不到位，导致工程绩效目的不够明确、不够细化、不够量化，缺乏可衡量性和可实现性。</w:t>
      </w:r>
    </w:p>
    <w:p w14:paraId="0E4C710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2.管理措施不够到位。</w:t>
      </w:r>
    </w:p>
    <w:p w14:paraId="1E2CF1F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预算编制和执行存在差异，</w:t>
      </w:r>
      <w:r>
        <w:rPr>
          <w:rFonts w:hint="eastAsia" w:ascii="仿宋_GB2312" w:hAnsi="仿宋_GB2312" w:eastAsia="仿宋_GB2312" w:cs="仿宋_GB2312"/>
          <w:sz w:val="32"/>
          <w:lang w:val="zh-CN" w:eastAsia="zh-CN"/>
        </w:rPr>
        <w:t>预算编制不够精确，财政资金紧张，存在中期调整取消资金的情况</w:t>
      </w:r>
      <w:r>
        <w:rPr>
          <w:rFonts w:hint="eastAsia" w:ascii="仿宋_GB2312" w:hAnsi="仿宋_GB2312" w:eastAsia="仿宋_GB2312" w:cs="仿宋_GB2312"/>
          <w:sz w:val="32"/>
          <w:lang w:val="en-US" w:eastAsia="zh-CN"/>
        </w:rPr>
        <w:t>。</w:t>
      </w:r>
    </w:p>
    <w:p w14:paraId="031A7B1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3.目的设定不够合理。</w:t>
      </w:r>
    </w:p>
    <w:p w14:paraId="60CA7FB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ascii="仿宋_GB2312" w:hAnsi="仿宋_GB2312" w:eastAsia="仿宋_GB2312" w:cs="仿宋_GB2312"/>
          <w:sz w:val="32"/>
          <w:lang w:val="en-US" w:eastAsia="zh-CN"/>
        </w:rPr>
        <w:t>在设定绩效目的时，往往是把年度工作方案或总结中的重点内容直接用来作为绩效目的，或者在设定绩效目的时沿用工作方案或总结中的语言形式，指标设定不科学、根据不充分。</w:t>
      </w:r>
    </w:p>
    <w:p w14:paraId="39B3ECD3">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14:paraId="1167EC5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解决对策针对我镇整体支出绩效评价工作中存在的问题，应在坚持“进步认识、强化管理、科学设定、注重实效”的根底上，进步</w:t>
      </w:r>
      <w:r>
        <w:rPr>
          <w:rFonts w:hint="eastAsia" w:ascii="仿宋_GB2312" w:hAnsi="仿宋_GB2312" w:cs="仿宋_GB2312"/>
          <w:sz w:val="32"/>
          <w:lang w:val="en-US" w:eastAsia="zh-CN"/>
        </w:rPr>
        <w:t>提高</w:t>
      </w:r>
      <w:r>
        <w:rPr>
          <w:rFonts w:hint="eastAsia" w:ascii="仿宋_GB2312" w:hAnsi="仿宋_GB2312" w:eastAsia="仿宋_GB2312" w:cs="仿宋_GB2312"/>
          <w:sz w:val="32"/>
          <w:lang w:val="en-US" w:eastAsia="zh-CN"/>
        </w:rPr>
        <w:t>部门整体支出绩效评价的质量。</w:t>
      </w:r>
    </w:p>
    <w:p w14:paraId="59F770F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1.提高认识，突出重点。</w:t>
      </w:r>
    </w:p>
    <w:p w14:paraId="25946BF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进步</w:t>
      </w:r>
      <w:r>
        <w:rPr>
          <w:rFonts w:hint="eastAsia" w:ascii="仿宋_GB2312" w:hAnsi="仿宋_GB2312" w:cs="仿宋_GB2312"/>
          <w:sz w:val="32"/>
          <w:lang w:val="en-US" w:eastAsia="zh-CN"/>
        </w:rPr>
        <w:t>深化</w:t>
      </w:r>
      <w:r>
        <w:rPr>
          <w:rFonts w:hint="eastAsia" w:ascii="仿宋_GB2312" w:hAnsi="仿宋_GB2312" w:eastAsia="仿宋_GB2312" w:cs="仿宋_GB2312"/>
          <w:sz w:val="32"/>
          <w:lang w:val="en-US" w:eastAsia="zh-CN"/>
        </w:rPr>
        <w:t>对预算绩效管理的认识，充分理解财政绩效评价指标体系，注重绩效目的、评价指标的关联性，更加科学合理地确定部门绩效目的和评价目的。</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强化全过程预算绩效管理理念，突出绩效指标的重要性和综合性。对于整体工作的反映，尽量采用综合性指标；对于详细工程的反映，那么尽量采用有代表性的重要指标。</w:t>
      </w:r>
      <w:r>
        <w:rPr>
          <w:rFonts w:hint="eastAsia" w:ascii="仿宋_GB2312" w:hAnsi="仿宋_GB2312" w:cs="仿宋_GB2312"/>
          <w:sz w:val="32"/>
          <w:lang w:val="en-US" w:eastAsia="zh-CN"/>
        </w:rPr>
        <w:t>（3）</w:t>
      </w:r>
      <w:r>
        <w:rPr>
          <w:rFonts w:hint="eastAsia" w:ascii="仿宋_GB2312" w:hAnsi="仿宋_GB2312" w:eastAsia="仿宋_GB2312" w:cs="仿宋_GB2312"/>
          <w:sz w:val="32"/>
          <w:lang w:val="en-US" w:eastAsia="zh-CN"/>
        </w:rPr>
        <w:t>注重各项指标的可衡量性。可衡量性不仅是指标的量化，还包括对定性指标的分级分档表述。</w:t>
      </w:r>
    </w:p>
    <w:p w14:paraId="2766F9E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2.强化管理，严格标准。</w:t>
      </w:r>
    </w:p>
    <w:p w14:paraId="51FAA6E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cs="Times New Roman"/>
          <w:sz w:val="32"/>
          <w:szCs w:val="32"/>
          <w:highlight w:val="none"/>
          <w:u w:val="none"/>
          <w:lang w:val="zh-CN"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强化我镇预算约束细化预算编制，严格预算执行，合理制定</w:t>
      </w:r>
      <w:r>
        <w:rPr>
          <w:rFonts w:hint="eastAsia" w:ascii="仿宋_GB2312" w:hAnsi="仿宋_GB2312" w:cs="仿宋_GB2312"/>
          <w:sz w:val="32"/>
          <w:lang w:val="en-US" w:eastAsia="zh-CN"/>
        </w:rPr>
        <w:t>工程方案</w:t>
      </w:r>
      <w:r>
        <w:rPr>
          <w:rFonts w:hint="eastAsia" w:ascii="仿宋_GB2312" w:hAnsi="仿宋_GB2312" w:eastAsia="仿宋_GB2312" w:cs="仿宋_GB2312"/>
          <w:sz w:val="32"/>
          <w:lang w:val="en-US" w:eastAsia="zh-CN"/>
        </w:rPr>
        <w:t>，减少预算执行中的工程预算调整和结余。</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加强预算工程事前、事中、事后管控，做到事前有评估、事中有监控、事后有评价</w:t>
      </w:r>
      <w:bookmarkEnd w:id="0"/>
      <w:r>
        <w:rPr>
          <w:rFonts w:hint="eastAsia" w:ascii="仿宋_GB2312" w:hAnsi="仿宋_GB2312" w:eastAsia="仿宋_GB2312" w:cs="仿宋_GB2312"/>
          <w:sz w:val="32"/>
          <w:lang w:val="en-US" w:eastAsia="zh-CN"/>
        </w:rPr>
        <w:t>。</w:t>
      </w:r>
    </w:p>
    <w:p w14:paraId="19BBC8A0">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0D75E0F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附表：1.部门预算绩效自评打分表</w:t>
      </w:r>
    </w:p>
    <w:p w14:paraId="2B6C12E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1600" w:firstLineChars="5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w:t>
      </w:r>
      <w:r>
        <w:rPr>
          <w:rFonts w:hint="default" w:ascii="仿宋_GB2312" w:hAnsi="仿宋_GB2312" w:eastAsia="仿宋_GB2312" w:cs="仿宋_GB2312"/>
          <w:sz w:val="32"/>
          <w:lang w:val="en-US" w:eastAsia="zh-CN"/>
        </w:rPr>
        <w:t>部门整体支出绩效目标完成情况自评表</w:t>
      </w:r>
    </w:p>
    <w:p w14:paraId="7A874F5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1600" w:firstLineChars="5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仿宋_GB2312" w:hAnsi="仿宋_GB2312" w:eastAsia="仿宋_GB2312" w:cs="仿宋_GB2312"/>
          <w:sz w:val="32"/>
          <w:lang w:val="en-US" w:eastAsia="zh-CN"/>
        </w:rPr>
        <w:t>3.部门预算项目支出绩效评价表（2024年度）</w:t>
      </w:r>
    </w:p>
    <w:p w14:paraId="52505536">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p>
    <w:p w14:paraId="599615B8">
      <w:pPr>
        <w:pStyle w:val="2"/>
        <w:rPr>
          <w:rFonts w:hint="default" w:ascii="Times New Roman" w:hAnsi="Times New Roman" w:cs="Times New Roman"/>
          <w:color w:val="000000"/>
          <w:kern w:val="0"/>
          <w:szCs w:val="32"/>
          <w:highlight w:val="none"/>
          <w:shd w:val="clear" w:color="auto" w:fill="FFFFFF"/>
          <w:lang w:val="en-US" w:eastAsia="zh-CN"/>
        </w:rPr>
      </w:pPr>
    </w:p>
    <w:p w14:paraId="38F7F3F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kern w:val="0"/>
          <w:szCs w:val="32"/>
          <w:highlight w:val="none"/>
          <w:shd w:val="clear" w:color="auto" w:fill="FFFFFF"/>
          <w:lang w:val="en-US" w:eastAsia="zh-CN"/>
        </w:rPr>
      </w:pPr>
    </w:p>
    <w:p w14:paraId="23CC912F">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lef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黑水县芦花镇人民政府</w:t>
      </w:r>
    </w:p>
    <w:p w14:paraId="3539FB4A">
      <w:pPr>
        <w:pStyle w:val="2"/>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lang w:val="en-US" w:eastAsia="zh-CN"/>
        </w:rPr>
      </w:pPr>
      <w:r>
        <w:rPr>
          <w:rFonts w:hint="eastAsia" w:cs="Times New Roman"/>
          <w:color w:val="000000"/>
          <w:kern w:val="0"/>
          <w:szCs w:val="32"/>
          <w:highlight w:val="none"/>
          <w:shd w:val="clear" w:color="auto" w:fill="FFFFFF"/>
          <w:lang w:val="en-US" w:eastAsia="zh-CN"/>
        </w:rPr>
        <w:t>2025年4月27日</w:t>
      </w:r>
    </w:p>
    <w:p w14:paraId="15C1155B">
      <w:pPr>
        <w:rPr>
          <w:rFonts w:hint="eastAsia" w:cs="Times New Roman"/>
          <w:color w:val="000000"/>
          <w:kern w:val="0"/>
          <w:szCs w:val="32"/>
          <w:highlight w:val="none"/>
          <w:shd w:val="clear" w:color="auto" w:fill="FFFFFF"/>
          <w:lang w:val="en-US" w:eastAsia="zh-CN"/>
        </w:rPr>
      </w:pPr>
    </w:p>
    <w:p w14:paraId="49AE5C16">
      <w:pPr>
        <w:rPr>
          <w:rFonts w:hint="eastAsia" w:cs="Times New Roman"/>
          <w:color w:val="000000"/>
          <w:kern w:val="0"/>
          <w:szCs w:val="32"/>
          <w:highlight w:val="none"/>
          <w:shd w:val="clear" w:color="auto" w:fill="FFFFFF"/>
          <w:lang w:val="en-US" w:eastAsia="zh-CN"/>
        </w:rPr>
      </w:pPr>
    </w:p>
    <w:p w14:paraId="0580F907">
      <w:pPr>
        <w:rPr>
          <w:rFonts w:hint="eastAsia" w:cs="Times New Roman"/>
          <w:color w:val="000000"/>
          <w:kern w:val="0"/>
          <w:szCs w:val="32"/>
          <w:highlight w:val="none"/>
          <w:shd w:val="clear" w:color="auto" w:fill="FFFFFF"/>
          <w:lang w:val="en-US" w:eastAsia="zh-CN"/>
        </w:rPr>
      </w:pPr>
    </w:p>
    <w:p w14:paraId="5E14D65C">
      <w:pPr>
        <w:rPr>
          <w:rFonts w:hint="eastAsia" w:cs="Times New Roman"/>
          <w:color w:val="000000"/>
          <w:kern w:val="0"/>
          <w:szCs w:val="32"/>
          <w:highlight w:val="none"/>
          <w:shd w:val="clear" w:color="auto" w:fill="FFFFFF"/>
          <w:lang w:val="en-US" w:eastAsia="zh-CN"/>
        </w:rPr>
      </w:pPr>
    </w:p>
    <w:p w14:paraId="34319CB4">
      <w:pPr>
        <w:rPr>
          <w:rFonts w:hint="eastAsia" w:cs="Times New Roman"/>
          <w:color w:val="000000"/>
          <w:kern w:val="0"/>
          <w:szCs w:val="32"/>
          <w:highlight w:val="none"/>
          <w:shd w:val="clear" w:color="auto" w:fill="FFFFFF"/>
          <w:lang w:val="en-US" w:eastAsia="zh-CN"/>
        </w:rPr>
      </w:pPr>
      <w:bookmarkStart w:id="1" w:name="_GoBack"/>
      <w:bookmarkEnd w:id="1"/>
    </w:p>
    <w:p w14:paraId="1BD7D517">
      <w:pPr>
        <w:rPr>
          <w:rFonts w:hint="eastAsia" w:cs="Times New Roman"/>
          <w:color w:val="000000"/>
          <w:kern w:val="0"/>
          <w:szCs w:val="32"/>
          <w:highlight w:val="none"/>
          <w:shd w:val="clear" w:color="auto" w:fill="FFFFFF"/>
          <w:lang w:val="en-US" w:eastAsia="zh-CN"/>
        </w:rPr>
      </w:pPr>
    </w:p>
    <w:p w14:paraId="3489CBB2">
      <w:pPr>
        <w:rPr>
          <w:rFonts w:hint="eastAsia" w:cs="Times New Roman"/>
          <w:color w:val="000000"/>
          <w:kern w:val="0"/>
          <w:szCs w:val="32"/>
          <w:highlight w:val="none"/>
          <w:shd w:val="clear" w:color="auto" w:fill="FFFFFF"/>
          <w:lang w:val="en-US" w:eastAsia="zh-CN"/>
        </w:rPr>
      </w:pPr>
    </w:p>
    <w:p w14:paraId="77B373BD">
      <w:pPr>
        <w:rPr>
          <w:rFonts w:hint="eastAsia" w:cs="Times New Roman"/>
          <w:color w:val="000000"/>
          <w:kern w:val="0"/>
          <w:szCs w:val="32"/>
          <w:highlight w:val="none"/>
          <w:shd w:val="clear" w:color="auto" w:fill="FFFFFF"/>
          <w:lang w:val="en-US" w:eastAsia="zh-CN"/>
        </w:rPr>
      </w:pPr>
    </w:p>
    <w:p w14:paraId="2B7E6DFD">
      <w:pPr>
        <w:rPr>
          <w:rFonts w:hint="eastAsia" w:cs="Times New Roman"/>
          <w:color w:val="000000"/>
          <w:kern w:val="0"/>
          <w:szCs w:val="32"/>
          <w:highlight w:val="none"/>
          <w:shd w:val="clear" w:color="auto" w:fill="FFFFFF"/>
          <w:lang w:val="en-US" w:eastAsia="zh-CN"/>
        </w:rPr>
      </w:pPr>
    </w:p>
    <w:tbl>
      <w:tblPr>
        <w:tblStyle w:val="7"/>
        <w:tblpPr w:leftFromText="180" w:rightFromText="180" w:vertAnchor="text" w:horzAnchor="page" w:tblpX="1570" w:tblpY="2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8"/>
      </w:tblGrid>
      <w:tr w14:paraId="0134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8" w:type="dxa"/>
            <w:tcBorders>
              <w:top w:val="single" w:color="auto" w:sz="4" w:space="0"/>
              <w:left w:val="nil"/>
              <w:bottom w:val="single" w:color="auto" w:sz="4" w:space="0"/>
              <w:right w:val="nil"/>
            </w:tcBorders>
            <w:noWrap w:val="0"/>
            <w:vAlign w:val="top"/>
          </w:tcPr>
          <w:p w14:paraId="6DA9E9B6">
            <w:pPr>
              <w:ind w:firstLine="280" w:firstLineChars="1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黑水县</w:t>
            </w:r>
            <w:r>
              <w:rPr>
                <w:rFonts w:hint="eastAsia" w:cs="Times New Roman"/>
                <w:sz w:val="28"/>
                <w:szCs w:val="28"/>
                <w:lang w:eastAsia="zh-CN"/>
              </w:rPr>
              <w:t>芦花</w:t>
            </w:r>
            <w:r>
              <w:rPr>
                <w:rFonts w:hint="default" w:ascii="Times New Roman" w:hAnsi="Times New Roman" w:eastAsia="仿宋_GB2312" w:cs="Times New Roman"/>
                <w:sz w:val="28"/>
                <w:szCs w:val="28"/>
              </w:rPr>
              <w:t xml:space="preserve">镇党政办公室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w:t>
            </w:r>
            <w:r>
              <w:rPr>
                <w:rFonts w:hint="eastAsia" w:cs="Times New Roman"/>
                <w:sz w:val="28"/>
                <w:szCs w:val="28"/>
                <w:lang w:val="en-US" w:eastAsia="zh-CN"/>
              </w:rPr>
              <w:t>5</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cs="Times New Roman"/>
                <w:sz w:val="28"/>
                <w:szCs w:val="28"/>
                <w:lang w:val="en-US" w:eastAsia="zh-CN"/>
              </w:rPr>
              <w:t>27</w:t>
            </w:r>
            <w:r>
              <w:rPr>
                <w:rFonts w:hint="default" w:ascii="Times New Roman" w:hAnsi="Times New Roman" w:eastAsia="仿宋_GB2312" w:cs="Times New Roman"/>
                <w:sz w:val="28"/>
                <w:szCs w:val="28"/>
              </w:rPr>
              <w:t>日印发</w:t>
            </w:r>
          </w:p>
        </w:tc>
      </w:tr>
    </w:tbl>
    <w:p w14:paraId="52E8504A">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cs="Times New Roman"/>
          <w:color w:val="000000"/>
          <w:kern w:val="0"/>
          <w:szCs w:val="32"/>
          <w:highlight w:val="none"/>
          <w:shd w:val="clear" w:color="auto" w:fill="FFFFFF"/>
          <w:lang w:val="en-US" w:eastAsia="zh-CN"/>
        </w:rPr>
      </w:pPr>
    </w:p>
    <w:p w14:paraId="713AEDCB">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附表1</w:t>
      </w:r>
    </w:p>
    <w:p w14:paraId="5FA8DA4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7"/>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14:paraId="74C0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EF1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FE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422932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47072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6D1AE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0C58E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2B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4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4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指标</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0D0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6D1D4D1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49F2C3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30E9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EE6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总体绩效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23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履职效能</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9D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镇政府履职效果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30A5F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63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9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7B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83E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65E2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E4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预算管理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0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3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0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1C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96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E8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923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A33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9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1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2F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A7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E0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AB7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3D0C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AE17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09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AF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A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8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1B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BFC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8AF0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C714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1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8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E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23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DA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B3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5AC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44D6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9D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6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06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4A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44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5F4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F04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6F9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财务管理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3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3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90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A9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1D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D9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8A4D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AC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77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F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77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3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45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2F99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45E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172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0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5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68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B6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F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4AC2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52AA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65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资产管理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7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0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66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95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AD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95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0C31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C16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D6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3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C1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25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2E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CF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2D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总体绩效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D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资产管理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6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0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71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5E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A2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1DB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A47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2D3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采购管理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0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4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E5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77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E3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2B3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DE4D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4D21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6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9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F3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F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45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DC0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B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项目绩效</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2D2B60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项目决策</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6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80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AE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58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32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5B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A746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C29DC4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4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D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4B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68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D5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1E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260A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A38C23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3C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D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0D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D7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EC6E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72BC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5B317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项目执行</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1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A5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5C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06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4D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9D95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3C5A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1C8C7DA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1B212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C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E6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EA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BC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12C2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45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1DD722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E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3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82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A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26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AC3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5EDC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34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目标实现</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5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9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49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A7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70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E91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7A7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1B4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0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8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FA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F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26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B68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24C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EAF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82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A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F0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3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7D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2D2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扣分项</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591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AA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C1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AC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72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5EC1AB60">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14:paraId="627F984C">
      <w:pPr>
        <w:pStyle w:val="2"/>
        <w:ind w:left="0" w:leftChars="0" w:firstLine="0" w:firstLineChars="0"/>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tbl>
      <w:tblPr>
        <w:tblStyle w:val="7"/>
        <w:tblW w:w="91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2"/>
        <w:gridCol w:w="804"/>
        <w:gridCol w:w="939"/>
        <w:gridCol w:w="2530"/>
        <w:gridCol w:w="675"/>
        <w:gridCol w:w="1051"/>
        <w:gridCol w:w="805"/>
        <w:gridCol w:w="582"/>
        <w:gridCol w:w="675"/>
      </w:tblGrid>
      <w:tr w14:paraId="44C16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8468" w:type="dxa"/>
            <w:gridSpan w:val="8"/>
            <w:tcBorders>
              <w:top w:val="nil"/>
              <w:left w:val="nil"/>
              <w:bottom w:val="nil"/>
              <w:right w:val="nil"/>
            </w:tcBorders>
            <w:shd w:val="clear" w:color="auto" w:fill="auto"/>
            <w:vAlign w:val="center"/>
          </w:tcPr>
          <w:p w14:paraId="08F999B7">
            <w:pPr>
              <w:keepNext w:val="0"/>
              <w:keepLines w:val="0"/>
              <w:widowControl/>
              <w:suppressLineNumbers w:val="0"/>
              <w:shd w:val="clear"/>
              <w:jc w:val="both"/>
              <w:textAlignment w:val="center"/>
              <w:rPr>
                <w:rFonts w:hint="default" w:ascii="黑体" w:hAnsi="宋体" w:eastAsia="黑体" w:cs="黑体"/>
                <w:i w:val="0"/>
                <w:iCs w:val="0"/>
                <w:color w:val="000000"/>
                <w:kern w:val="0"/>
                <w:sz w:val="30"/>
                <w:szCs w:val="30"/>
                <w:highlight w:val="none"/>
                <w:u w:val="none"/>
                <w:lang w:val="en-US" w:eastAsia="zh-CN" w:bidi="ar"/>
              </w:rPr>
            </w:pPr>
            <w:r>
              <w:rPr>
                <w:rFonts w:hint="eastAsia" w:ascii="黑体" w:hAnsi="宋体" w:eastAsia="黑体" w:cs="黑体"/>
                <w:i w:val="0"/>
                <w:iCs w:val="0"/>
                <w:color w:val="000000"/>
                <w:kern w:val="0"/>
                <w:sz w:val="30"/>
                <w:szCs w:val="30"/>
                <w:highlight w:val="none"/>
                <w:u w:val="none"/>
                <w:lang w:val="en-US" w:eastAsia="zh-CN" w:bidi="ar"/>
              </w:rPr>
              <w:t>附表2</w:t>
            </w:r>
          </w:p>
          <w:p w14:paraId="31B6A9C6">
            <w:pPr>
              <w:keepNext w:val="0"/>
              <w:keepLines w:val="0"/>
              <w:widowControl/>
              <w:suppressLineNumbers w:val="0"/>
              <w:shd w:val="clear"/>
              <w:jc w:val="center"/>
              <w:textAlignment w:val="center"/>
              <w:rPr>
                <w:rFonts w:ascii="黑体" w:hAnsi="宋体" w:eastAsia="黑体" w:cs="黑体"/>
                <w:i w:val="0"/>
                <w:iCs w:val="0"/>
                <w:color w:val="000000"/>
                <w:sz w:val="30"/>
                <w:szCs w:val="30"/>
                <w:highlight w:val="none"/>
                <w:u w:val="none"/>
              </w:rPr>
            </w:pPr>
            <w:r>
              <w:rPr>
                <w:rFonts w:hint="eastAsia" w:ascii="方正小标宋_GBK" w:hAnsi="方正小标宋_GBK" w:eastAsia="方正小标宋_GBK" w:cs="方正小标宋_GBK"/>
                <w:i w:val="0"/>
                <w:iCs w:val="0"/>
                <w:color w:val="000000"/>
                <w:kern w:val="0"/>
                <w:sz w:val="44"/>
                <w:szCs w:val="44"/>
                <w:highlight w:val="none"/>
                <w:u w:val="none"/>
                <w:lang w:val="en-US" w:eastAsia="zh-CN" w:bidi="ar"/>
              </w:rPr>
              <w:t>部门整体支出绩效目标表</w:t>
            </w:r>
          </w:p>
        </w:tc>
        <w:tc>
          <w:tcPr>
            <w:tcW w:w="675" w:type="dxa"/>
            <w:tcBorders>
              <w:top w:val="nil"/>
              <w:left w:val="nil"/>
              <w:bottom w:val="nil"/>
              <w:right w:val="nil"/>
            </w:tcBorders>
            <w:shd w:val="clear" w:color="auto" w:fill="auto"/>
            <w:vAlign w:val="center"/>
          </w:tcPr>
          <w:p w14:paraId="314F9A3D">
            <w:pPr>
              <w:keepNext w:val="0"/>
              <w:keepLines w:val="0"/>
              <w:widowControl/>
              <w:suppressLineNumbers w:val="0"/>
              <w:jc w:val="center"/>
              <w:textAlignment w:val="center"/>
              <w:rPr>
                <w:rFonts w:hint="eastAsia" w:ascii="黑体" w:hAnsi="宋体" w:eastAsia="黑体" w:cs="黑体"/>
                <w:i w:val="0"/>
                <w:iCs w:val="0"/>
                <w:color w:val="000000"/>
                <w:kern w:val="0"/>
                <w:sz w:val="30"/>
                <w:szCs w:val="30"/>
                <w:highlight w:val="none"/>
                <w:u w:val="none"/>
                <w:lang w:val="en-US" w:eastAsia="zh-CN" w:bidi="ar"/>
              </w:rPr>
            </w:pPr>
          </w:p>
        </w:tc>
      </w:tr>
      <w:tr w14:paraId="25DF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8468" w:type="dxa"/>
            <w:gridSpan w:val="8"/>
            <w:tcBorders>
              <w:top w:val="nil"/>
              <w:left w:val="nil"/>
              <w:bottom w:val="nil"/>
              <w:right w:val="nil"/>
            </w:tcBorders>
            <w:shd w:val="clear" w:color="auto" w:fill="auto"/>
            <w:vAlign w:val="center"/>
          </w:tcPr>
          <w:p w14:paraId="288A5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hint="eastAsia" w:ascii="楷体_GB2312" w:hAnsi="楷体_GB2312" w:eastAsia="楷体_GB2312" w:cs="楷体_GB2312"/>
                <w:b/>
                <w:bCs/>
                <w:i w:val="0"/>
                <w:iCs w:val="0"/>
                <w:color w:val="000000"/>
                <w:kern w:val="0"/>
                <w:sz w:val="32"/>
                <w:szCs w:val="32"/>
                <w:highlight w:val="none"/>
                <w:u w:val="none"/>
                <w:lang w:val="en-US" w:eastAsia="zh-CN" w:bidi="ar"/>
              </w:rPr>
              <w:t>（2024年度）</w:t>
            </w:r>
          </w:p>
        </w:tc>
        <w:tc>
          <w:tcPr>
            <w:tcW w:w="675" w:type="dxa"/>
            <w:tcBorders>
              <w:top w:val="nil"/>
              <w:left w:val="nil"/>
              <w:bottom w:val="nil"/>
              <w:right w:val="nil"/>
            </w:tcBorders>
            <w:shd w:val="clear" w:color="auto" w:fill="auto"/>
            <w:vAlign w:val="center"/>
          </w:tcPr>
          <w:p w14:paraId="3C8D6DA2">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p>
        </w:tc>
      </w:tr>
      <w:tr w14:paraId="61BE2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8468" w:type="dxa"/>
            <w:gridSpan w:val="8"/>
            <w:tcBorders>
              <w:top w:val="nil"/>
              <w:left w:val="nil"/>
              <w:bottom w:val="single" w:color="000000" w:sz="4" w:space="0"/>
              <w:right w:val="nil"/>
            </w:tcBorders>
            <w:shd w:val="clear" w:color="auto" w:fill="auto"/>
            <w:vAlign w:val="center"/>
          </w:tcPr>
          <w:p w14:paraId="0D5FA768">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金额单位：万元</w:t>
            </w:r>
          </w:p>
        </w:tc>
        <w:tc>
          <w:tcPr>
            <w:tcW w:w="675" w:type="dxa"/>
            <w:tcBorders>
              <w:top w:val="nil"/>
              <w:left w:val="nil"/>
              <w:bottom w:val="single" w:color="000000" w:sz="4" w:space="0"/>
              <w:right w:val="nil"/>
            </w:tcBorders>
            <w:shd w:val="clear" w:color="auto" w:fill="auto"/>
            <w:vAlign w:val="center"/>
          </w:tcPr>
          <w:p w14:paraId="46334AEA">
            <w:pPr>
              <w:keepNext w:val="0"/>
              <w:keepLines w:val="0"/>
              <w:widowControl/>
              <w:suppressLineNumbers w:val="0"/>
              <w:jc w:val="right"/>
              <w:textAlignment w:val="center"/>
              <w:rPr>
                <w:rFonts w:ascii="宋体" w:hAnsi="宋体" w:eastAsia="宋体" w:cs="宋体"/>
                <w:i w:val="0"/>
                <w:iCs w:val="0"/>
                <w:color w:val="000000"/>
                <w:kern w:val="0"/>
                <w:sz w:val="18"/>
                <w:szCs w:val="18"/>
                <w:highlight w:val="none"/>
                <w:u w:val="none"/>
                <w:lang w:val="en-US" w:eastAsia="zh-CN" w:bidi="ar"/>
              </w:rPr>
            </w:pPr>
          </w:p>
        </w:tc>
      </w:tr>
      <w:tr w14:paraId="65E35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8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E95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部门名称</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488304">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黑水县</w:t>
            </w:r>
            <w:r>
              <w:rPr>
                <w:rFonts w:hint="eastAsia" w:ascii="宋体" w:hAnsi="宋体" w:eastAsia="宋体" w:cs="宋体"/>
                <w:i w:val="0"/>
                <w:iCs w:val="0"/>
                <w:color w:val="000000"/>
                <w:kern w:val="0"/>
                <w:sz w:val="18"/>
                <w:szCs w:val="18"/>
                <w:highlight w:val="none"/>
                <w:u w:val="none"/>
                <w:lang w:val="en-US" w:eastAsia="zh-CN" w:bidi="ar"/>
              </w:rPr>
              <w:t>芦花</w:t>
            </w:r>
            <w:r>
              <w:rPr>
                <w:rFonts w:ascii="宋体" w:hAnsi="宋体" w:eastAsia="宋体" w:cs="宋体"/>
                <w:i w:val="0"/>
                <w:iCs w:val="0"/>
                <w:color w:val="000000"/>
                <w:kern w:val="0"/>
                <w:sz w:val="18"/>
                <w:szCs w:val="18"/>
                <w:highlight w:val="none"/>
                <w:u w:val="none"/>
                <w:lang w:val="en-US" w:eastAsia="zh-CN" w:bidi="ar"/>
              </w:rPr>
              <w:t>镇</w:t>
            </w:r>
          </w:p>
        </w:tc>
      </w:tr>
      <w:tr w14:paraId="3FCA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88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年度部门整体支出预算</w:t>
            </w: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1D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资金总额</w:t>
            </w:r>
          </w:p>
        </w:tc>
        <w:tc>
          <w:tcPr>
            <w:tcW w:w="4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14B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财政拨款</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159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其他资金</w:t>
            </w:r>
          </w:p>
        </w:tc>
      </w:tr>
      <w:tr w14:paraId="1A34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8FC25">
            <w:pPr>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A1C8B">
            <w:pPr>
              <w:keepNext w:val="0"/>
              <w:keepLines w:val="0"/>
              <w:widowControl/>
              <w:suppressLineNumbers w:val="0"/>
              <w:jc w:val="center"/>
              <w:textAlignment w:val="center"/>
              <w:rPr>
                <w:rFonts w:hint="default" w:ascii="仿宋_GB2312" w:hAnsi="仿宋_GB2312" w:eastAsia="仿宋_GB2312" w:cs="仿宋_GB2312"/>
                <w:i w:val="0"/>
                <w:iCs w:val="0"/>
                <w:color w:val="000000"/>
                <w:sz w:val="18"/>
                <w:szCs w:val="18"/>
                <w:highlight w:val="none"/>
                <w:u w:val="none"/>
                <w:lang w:val="en-US"/>
              </w:rPr>
            </w:pPr>
            <w:r>
              <w:rPr>
                <w:rFonts w:hint="eastAsia" w:ascii="仿宋_GB2312" w:hAnsi="仿宋_GB2312" w:cs="仿宋_GB2312"/>
                <w:i w:val="0"/>
                <w:iCs w:val="0"/>
                <w:color w:val="000000"/>
                <w:kern w:val="0"/>
                <w:sz w:val="18"/>
                <w:szCs w:val="18"/>
                <w:highlight w:val="none"/>
                <w:u w:val="none"/>
                <w:lang w:val="en-US" w:eastAsia="zh-CN" w:bidi="ar"/>
              </w:rPr>
              <w:t>2719.86</w:t>
            </w:r>
          </w:p>
        </w:tc>
        <w:tc>
          <w:tcPr>
            <w:tcW w:w="4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928D6">
            <w:pPr>
              <w:keepNext w:val="0"/>
              <w:keepLines w:val="0"/>
              <w:widowControl/>
              <w:suppressLineNumbers w:val="0"/>
              <w:jc w:val="center"/>
              <w:textAlignment w:val="center"/>
              <w:rPr>
                <w:rFonts w:hint="default" w:ascii="仿宋_GB2312" w:hAnsi="仿宋_GB2312" w:eastAsia="仿宋_GB2312" w:cs="仿宋_GB2312"/>
                <w:i w:val="0"/>
                <w:iCs w:val="0"/>
                <w:color w:val="000000"/>
                <w:sz w:val="18"/>
                <w:szCs w:val="18"/>
                <w:highlight w:val="none"/>
                <w:u w:val="none"/>
                <w:lang w:val="en-US"/>
              </w:rPr>
            </w:pPr>
            <w:r>
              <w:rPr>
                <w:rFonts w:hint="eastAsia" w:ascii="仿宋_GB2312" w:hAnsi="仿宋_GB2312" w:cs="仿宋_GB2312"/>
                <w:i w:val="0"/>
                <w:iCs w:val="0"/>
                <w:color w:val="000000"/>
                <w:kern w:val="0"/>
                <w:sz w:val="18"/>
                <w:szCs w:val="18"/>
                <w:highlight w:val="none"/>
                <w:u w:val="none"/>
                <w:lang w:val="en-US" w:eastAsia="zh-CN" w:bidi="ar"/>
              </w:rPr>
              <w:t>2719.86</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F6B3A">
            <w:pPr>
              <w:jc w:val="right"/>
              <w:rPr>
                <w:rFonts w:hint="eastAsia" w:ascii="仿宋_GB2312" w:hAnsi="仿宋_GB2312" w:eastAsia="仿宋_GB2312" w:cs="仿宋_GB2312"/>
                <w:i w:val="0"/>
                <w:iCs w:val="0"/>
                <w:color w:val="000000"/>
                <w:sz w:val="18"/>
                <w:szCs w:val="18"/>
                <w:highlight w:val="none"/>
                <w:u w:val="none"/>
              </w:rPr>
            </w:pPr>
          </w:p>
        </w:tc>
      </w:tr>
      <w:tr w14:paraId="0F30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7"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1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年度总体目标</w:t>
            </w:r>
          </w:p>
        </w:tc>
        <w:tc>
          <w:tcPr>
            <w:tcW w:w="80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1479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一、聚焦统筹调度，加快建设提升强镇度：壮大产业能级、加快项目建设、拓宽旅游渠道；二、聚焦规划引领，蓄力增加产业品质高度：结合高标准农田建设、天府粮仓行动、实际种粮补助、种粮大户补助等利好政策，持续改善农田基础设施，激活农村闲置土地活力，有效提升粮食产出率，形成“以农促旅，以旅兴农”的农文旅融合新业态；三、聚焦优质均衡，全力提高民生福祉温度：强化基本民生保障、增加社会服务供给、推动社会事业发展；四、聚焦底线思维，致力筑牢社会安全厚度：建好安全韧性乡镇、做强社会治理体系、改善生态环境质量；五、聚焦服务效能，奋力拓展有为政府深度：坚持清廉是为政之魂、坚持法治是行政之纲、坚持奋进是成事之道。2024年，芦花镇将继续深入学习贯彻习近平新时代中国特色社会主义思想和党的二十大精神，在县委、县政府的坚强领导下，紧紧依靠全镇人民，以学铸魂、以学增智、以学正风、以学促干、凝心聚力谋发展，在推进中国式现代化中走在前做示范，争当全县高质量发展“先行军”，团结和带领全镇人民以梦想为岸、以团结作帆、以奋斗划桨，奋力围绕将芦花镇镇打造成“县域中心镇”。</w:t>
            </w:r>
          </w:p>
        </w:tc>
      </w:tr>
      <w:tr w14:paraId="0F5E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5A0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年度主要任务</w:t>
            </w: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F7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任务名称</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A05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主要内容</w:t>
            </w:r>
          </w:p>
        </w:tc>
      </w:tr>
      <w:tr w14:paraId="7B66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74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7AAA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基本支出：定额日常公用经费、保障人员经费按时发放</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F14BC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 xml:space="preserve"> 公用经费共计1,187500元。其中办公费、差旅费、培训费、邮电费、劳务费等日常公用经费共1092500元；公车运行维护费95000元；工资、社会保障缴费、住房公积金、体检费、独子费、遗属补助8271844.9元</w:t>
            </w:r>
          </w:p>
        </w:tc>
      </w:tr>
      <w:tr w14:paraId="1BDF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A0D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813A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项目支出：镇基础性绩效奖、年度考核奖</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5079B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芦花镇行政人员31人、事业人员15人，基础绩效性绩效奖、年度考核奖共2317952.76元整</w:t>
            </w:r>
          </w:p>
        </w:tc>
      </w:tr>
      <w:tr w14:paraId="6A5C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E75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2EAF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项目支出：村级公共运行维护费、村干部工资及体检费、社区干部工资及体检费</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1DE2A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 xml:space="preserve"> 芦花镇分为12个行政村、3个社区，涉及公共服务运行经费1560000元整；黑水县芦花镇共15个村（社区），村（社区）干部137名，全年基本工资、绩效工资、养老补助、医疗补助、意外险合计4028306.72元，体检费57600元</w:t>
            </w:r>
          </w:p>
        </w:tc>
      </w:tr>
      <w:tr w14:paraId="642B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318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212D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在县委县政府的领导下，贯彻执行党路线、方针、政策和国家的各项法律法规</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AED4A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负责乡镇辖区内的地区性、群众性、公益性、社会性工作</w:t>
            </w:r>
          </w:p>
        </w:tc>
      </w:tr>
      <w:tr w14:paraId="099E1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860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22D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按照职责范围，负责辖区内相关工作</w:t>
            </w:r>
          </w:p>
        </w:tc>
        <w:tc>
          <w:tcPr>
            <w:tcW w:w="63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B5CB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负责乡镇辖区内的城市建设和管理、环境卫生、环境保护等监督、管理、服务工作；2、负责乡镇辖区内的维护稳定及社会治安综合治理工作；3、负责村、社区建设和管理，积极开展服务工作；4、负责计划生育、劳动就业、安全生产管理、卫生保健、民兵、兵役等工作。</w:t>
            </w:r>
          </w:p>
        </w:tc>
      </w:tr>
      <w:tr w14:paraId="3037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6A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年度绩效指标</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1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一级指标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9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二级指标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58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三级指标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E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绩效指标性质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A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绩效指标值</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8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绩效度量单位</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6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权重</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2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完成值</w:t>
            </w:r>
          </w:p>
        </w:tc>
      </w:tr>
      <w:tr w14:paraId="2F01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73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17E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产出指标</w:t>
            </w:r>
          </w:p>
        </w:tc>
        <w:tc>
          <w:tcPr>
            <w:tcW w:w="939" w:type="dxa"/>
            <w:vMerge w:val="restart"/>
            <w:tcBorders>
              <w:top w:val="single" w:color="000000" w:sz="4" w:space="0"/>
              <w:left w:val="single" w:color="000000" w:sz="4" w:space="0"/>
              <w:right w:val="single" w:color="000000" w:sz="4" w:space="0"/>
            </w:tcBorders>
            <w:shd w:val="clear" w:color="auto" w:fill="auto"/>
            <w:vAlign w:val="center"/>
          </w:tcPr>
          <w:p w14:paraId="51A55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数量指标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D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2024年芦花镇在职职工46人、在编车辆2辆，严格控制三公经费支出</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F2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95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46</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FA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4E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7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46</w:t>
            </w:r>
          </w:p>
        </w:tc>
      </w:tr>
      <w:tr w14:paraId="3C04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D7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3B5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vMerge w:val="continue"/>
            <w:tcBorders>
              <w:left w:val="single" w:color="000000" w:sz="4" w:space="0"/>
              <w:right w:val="single" w:color="000000" w:sz="4" w:space="0"/>
            </w:tcBorders>
            <w:shd w:val="clear" w:color="auto" w:fill="auto"/>
            <w:vAlign w:val="center"/>
          </w:tcPr>
          <w:p w14:paraId="5D1929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AB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黑水县芦花镇共15个村（社区），村（社区）干部137名，确保村干部工资、按时缴纳保险</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1A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94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137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11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B5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42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137</w:t>
            </w:r>
          </w:p>
        </w:tc>
      </w:tr>
      <w:tr w14:paraId="6111C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E52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F51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vMerge w:val="continue"/>
            <w:tcBorders>
              <w:left w:val="single" w:color="000000" w:sz="4" w:space="0"/>
              <w:right w:val="single" w:color="000000" w:sz="4" w:space="0"/>
            </w:tcBorders>
            <w:shd w:val="clear" w:color="auto" w:fill="auto"/>
            <w:vAlign w:val="center"/>
          </w:tcPr>
          <w:p w14:paraId="40A160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1F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开展村级公共运行维护（道路、村活动室）</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3C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FF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B9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处</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AA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A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r>
      <w:tr w14:paraId="5B87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4AE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3B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vMerge w:val="continue"/>
            <w:tcBorders>
              <w:left w:val="single" w:color="000000" w:sz="4" w:space="0"/>
              <w:right w:val="single" w:color="000000" w:sz="4" w:space="0"/>
            </w:tcBorders>
            <w:shd w:val="clear" w:color="auto" w:fill="auto"/>
            <w:vAlign w:val="center"/>
          </w:tcPr>
          <w:p w14:paraId="22EAAA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23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通过多途径进行政策宣传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9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FE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D4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次/年</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9B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B4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75</w:t>
            </w:r>
          </w:p>
        </w:tc>
      </w:tr>
      <w:tr w14:paraId="65A5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4D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E88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vMerge w:val="continue"/>
            <w:tcBorders>
              <w:left w:val="single" w:color="000000" w:sz="4" w:space="0"/>
              <w:right w:val="single" w:color="000000" w:sz="4" w:space="0"/>
            </w:tcBorders>
            <w:shd w:val="clear" w:color="auto" w:fill="auto"/>
            <w:vAlign w:val="center"/>
          </w:tcPr>
          <w:p w14:paraId="0746D1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38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组织各村（社区）</w:t>
            </w:r>
            <w:r>
              <w:rPr>
                <w:rFonts w:hint="eastAsia" w:ascii="仿宋_GB2312" w:hAnsi="仿宋_GB2312" w:cs="仿宋_GB2312"/>
                <w:i w:val="0"/>
                <w:iCs w:val="0"/>
                <w:color w:val="000000"/>
                <w:kern w:val="0"/>
                <w:sz w:val="18"/>
                <w:szCs w:val="18"/>
                <w:highlight w:val="none"/>
                <w:u w:val="none"/>
                <w:lang w:val="en-US" w:eastAsia="zh-CN" w:bidi="ar"/>
              </w:rPr>
              <w:t>党</w:t>
            </w:r>
            <w:r>
              <w:rPr>
                <w:rFonts w:hint="eastAsia" w:ascii="仿宋_GB2312" w:hAnsi="仿宋_GB2312" w:eastAsia="仿宋_GB2312" w:cs="仿宋_GB2312"/>
                <w:i w:val="0"/>
                <w:iCs w:val="0"/>
                <w:color w:val="000000"/>
                <w:kern w:val="0"/>
                <w:sz w:val="18"/>
                <w:szCs w:val="18"/>
                <w:highlight w:val="none"/>
                <w:u w:val="none"/>
                <w:lang w:val="en-US" w:eastAsia="zh-CN" w:bidi="ar"/>
              </w:rPr>
              <w:t>支部书记召开党建工作会议</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C2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1A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BF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次/年</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2D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38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r>
      <w:tr w14:paraId="0C85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BDD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BC7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BA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质量指标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12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保障经费按时按质量发放，完成相关工作及任务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5F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09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A1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07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F5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r w14:paraId="1BFD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A72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EA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C0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时效指标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AE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保障经费按时按质量发放，项目均达到验收标准，任务均按时完成</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48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B4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67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月</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43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17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r>
      <w:tr w14:paraId="09BB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D0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2F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效益指标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B7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社会效益指标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65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保障人员经费和公用经费基本支出，提升工作环境，保障职工工作积极性</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F4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81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49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E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38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955</w:t>
            </w:r>
          </w:p>
        </w:tc>
      </w:tr>
      <w:tr w14:paraId="4F95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F57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29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满意度指标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7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服务对象满意度指标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B2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提升村民对乡镇的满意度，做好对职工的关心关爱工作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FC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89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19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43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C5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w:t>
            </w:r>
            <w:r>
              <w:rPr>
                <w:rFonts w:hint="eastAsia" w:ascii="仿宋_GB2312" w:hAnsi="仿宋_GB2312" w:cs="仿宋_GB2312"/>
                <w:i w:val="0"/>
                <w:iCs w:val="0"/>
                <w:color w:val="000000"/>
                <w:kern w:val="0"/>
                <w:sz w:val="18"/>
                <w:szCs w:val="18"/>
                <w:highlight w:val="none"/>
                <w:u w:val="none"/>
                <w:lang w:val="en-US" w:eastAsia="zh-CN" w:bidi="ar"/>
              </w:rPr>
              <w:t>5</w:t>
            </w:r>
            <w:r>
              <w:rPr>
                <w:rFonts w:hint="eastAsia" w:ascii="仿宋_GB2312" w:hAnsi="仿宋_GB2312" w:eastAsia="仿宋_GB2312" w:cs="仿宋_GB2312"/>
                <w:i w:val="0"/>
                <w:iCs w:val="0"/>
                <w:color w:val="000000"/>
                <w:kern w:val="0"/>
                <w:sz w:val="18"/>
                <w:szCs w:val="18"/>
                <w:highlight w:val="none"/>
                <w:u w:val="none"/>
                <w:lang w:val="en-US" w:eastAsia="zh-CN" w:bidi="ar"/>
              </w:rPr>
              <w:t>%</w:t>
            </w:r>
          </w:p>
        </w:tc>
      </w:tr>
      <w:tr w14:paraId="2F84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0AD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77D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成本指标</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EA2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经济成本指标</w:t>
            </w: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AA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保障基本支出、资金投入使用：人员经费8271844.9元，公用经费1187500元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AE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87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9459344.9</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21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A8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1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9459344.9</w:t>
            </w:r>
          </w:p>
        </w:tc>
      </w:tr>
      <w:tr w14:paraId="5807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422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highlight w:val="none"/>
                <w:u w:val="none"/>
              </w:rPr>
            </w:pP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52E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C0C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2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FC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保障项目支出、资金投入使用：村干部工资及体检费、社区干部工资及体检费4085906.72元、村级公共运行维护费1560000元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08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F3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5645906.72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5D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AC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09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5645906.72</w:t>
            </w:r>
          </w:p>
        </w:tc>
      </w:tr>
    </w:tbl>
    <w:p w14:paraId="010E33A7">
      <w:pPr>
        <w:pStyle w:val="2"/>
        <w:ind w:left="0" w:leftChars="0" w:firstLine="0" w:firstLineChars="0"/>
        <w:rPr>
          <w:rFonts w:hint="default" w:ascii="Times New Roman" w:hAnsi="Times New Roman" w:eastAsia="黑体" w:cs="Times New Roman"/>
          <w:sz w:val="24"/>
          <w:szCs w:val="24"/>
          <w:highlight w:val="none"/>
          <w:lang w:val="en-US" w:eastAsia="zh-CN"/>
        </w:rPr>
      </w:pPr>
    </w:p>
    <w:p w14:paraId="3FE809A1">
      <w:pPr>
        <w:rPr>
          <w:highlight w:val="none"/>
        </w:rPr>
      </w:pPr>
    </w:p>
    <w:sectPr>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086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D4962">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9D4962">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E406">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11D42"/>
    <w:multiLevelType w:val="singleLevel"/>
    <w:tmpl w:val="A1F11D42"/>
    <w:lvl w:ilvl="0" w:tentative="0">
      <w:start w:val="1"/>
      <w:numFmt w:val="decimal"/>
      <w:suff w:val="nothing"/>
      <w:lvlText w:val="（%1）"/>
      <w:lvlJc w:val="left"/>
    </w:lvl>
  </w:abstractNum>
  <w:abstractNum w:abstractNumId="1">
    <w:nsid w:val="17E2FD48"/>
    <w:multiLevelType w:val="singleLevel"/>
    <w:tmpl w:val="17E2FD48"/>
    <w:lvl w:ilvl="0" w:tentative="0">
      <w:start w:val="2"/>
      <w:numFmt w:val="chineseCounting"/>
      <w:suff w:val="nothing"/>
      <w:lvlText w:val="（%1）"/>
      <w:lvlJc w:val="left"/>
      <w:rPr>
        <w:rFonts w:hint="eastAsia"/>
      </w:rPr>
    </w:lvl>
  </w:abstractNum>
  <w:abstractNum w:abstractNumId="2">
    <w:nsid w:val="24514348"/>
    <w:multiLevelType w:val="singleLevel"/>
    <w:tmpl w:val="24514348"/>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3497683"/>
    <w:rsid w:val="05AE5DA1"/>
    <w:rsid w:val="06C1551D"/>
    <w:rsid w:val="0DD24882"/>
    <w:rsid w:val="15337535"/>
    <w:rsid w:val="1CD96F21"/>
    <w:rsid w:val="297C22D1"/>
    <w:rsid w:val="2D684463"/>
    <w:rsid w:val="36F62AE0"/>
    <w:rsid w:val="37024219"/>
    <w:rsid w:val="4AAE3A2E"/>
    <w:rsid w:val="4CB848EB"/>
    <w:rsid w:val="57B97CF8"/>
    <w:rsid w:val="58AD7813"/>
    <w:rsid w:val="66F25352"/>
    <w:rsid w:val="69F9782F"/>
    <w:rsid w:val="734D525A"/>
    <w:rsid w:val="75765E75"/>
    <w:rsid w:val="75ED7D0A"/>
    <w:rsid w:val="78D02DFD"/>
    <w:rsid w:val="78E72185"/>
    <w:rsid w:val="792627D5"/>
    <w:rsid w:val="7F96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9095</Words>
  <Characters>10016</Characters>
  <Lines>0</Lines>
  <Paragraphs>0</Paragraphs>
  <TotalTime>28</TotalTime>
  <ScaleCrop>false</ScaleCrop>
  <LinksUpToDate>false</LinksUpToDate>
  <CharactersWithSpaces>10049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2025-04-28T07:50:00Z</dcterms:created>
  <dc:creator>。</dc:creator>
  <cp:lastModifiedBy>宇杰</cp:lastModifiedBy>
  <dcterms:modified xsi:type="dcterms:W3CDTF">2025-08-28T10:55:25Z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46B139A0B192419CB08B17B11FEDD76F_13</vt:lpwstr>
  </property>
  <property fmtid="{D5CDD505-2E9C-101B-9397-08002B2CF9AE}" pid="4" name="KSOTemplateDocerSaveRecord">
    <vt:lpwstr>eyJoZGlkIjoiM2JhNmQwMzliYmZlOTdhODgxMDE1Yjc2ZTgzMjBjOWEiLCJ1c2VySWQiOiI0MDI2MjYwNjgifQ==</vt:lpwstr>
  </property>
</Properties>
</file>