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5" w:rsidRDefault="005C63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63B5" w:rsidRDefault="00933D28">
      <w:pPr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黑水县</w:t>
      </w:r>
      <w:r>
        <w:rPr>
          <w:rFonts w:ascii="宋体" w:hAnsi="宋体" w:cs="宋体" w:hint="eastAsia"/>
          <w:b/>
          <w:sz w:val="44"/>
          <w:szCs w:val="44"/>
        </w:rPr>
        <w:t>沙石多乡人民政府</w:t>
      </w:r>
    </w:p>
    <w:p w:rsidR="005C63B5" w:rsidRDefault="00933D28">
      <w:pPr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2018</w:t>
      </w:r>
      <w:r>
        <w:rPr>
          <w:rFonts w:ascii="宋体" w:hAnsi="宋体" w:cs="宋体" w:hint="eastAsia"/>
          <w:b/>
          <w:sz w:val="44"/>
          <w:szCs w:val="44"/>
        </w:rPr>
        <w:t>年部门整体支出绩效报告</w:t>
      </w:r>
    </w:p>
    <w:p w:rsidR="005C63B5" w:rsidRDefault="005C63B5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C63B5" w:rsidRDefault="00933D28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一、单位概况</w:t>
      </w:r>
    </w:p>
    <w:p w:rsidR="005C63B5" w:rsidRDefault="00933D28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（一）机构组成</w:t>
      </w:r>
    </w:p>
    <w:p w:rsidR="005C63B5" w:rsidRDefault="00933D28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黑水县沙石多乡人民政府无下属二级核算单位，沙石多乡属于乡财县管的乡，全乡共辖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个行政村。沙石多乡下设股级行政机构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个（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办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所）：党政综合办、基层组织建设办、综治维稳办、财政所、寺管所。下设事业机构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个：经济发展服务中心、社会事业服务中心、就业和社会保障服务中心、综合文化中心。</w:t>
      </w:r>
    </w:p>
    <w:p w:rsidR="005C63B5" w:rsidRDefault="00933D28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（二）机构职能</w:t>
      </w:r>
    </w:p>
    <w:p w:rsidR="005C63B5" w:rsidRDefault="00933D28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黑水县沙石多乡人民政府是基层国家行政机关，行使本行政区域的政府行政职能，根据有关文件规定，主要职责是：宣传和贯彻执行上级各部门及本乡的各项政策、法规、决议等；讨论决定全乡经济建设和社会发展中的重大问题；加强党委自身建设和以党支部为核心的村级组织建设；按照干部管理权限，负责对本级乡村干部的教育、管理、培训、选拔和监督工作，并实现村级财务统一由乡代管；认真做好全乡社会治安综合治理、环境、教育、科学、卫生、社会保障、食品药品、计划生育、财政、民政、公安、司法、国土等工作。</w:t>
      </w:r>
      <w:r>
        <w:rPr>
          <w:rFonts w:ascii="仿宋_GB2312" w:eastAsia="仿宋_GB2312" w:hAnsi="仿宋" w:cs="仿宋" w:hint="eastAsia"/>
          <w:sz w:val="32"/>
          <w:szCs w:val="32"/>
        </w:rPr>
        <w:t> </w:t>
      </w:r>
    </w:p>
    <w:p w:rsidR="005C63B5" w:rsidRDefault="00933D28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（三）人员概况</w:t>
      </w:r>
    </w:p>
    <w:p w:rsidR="005C63B5" w:rsidRDefault="00933D28">
      <w:pPr>
        <w:spacing w:line="560" w:lineRule="exact"/>
        <w:ind w:firstLineChars="300" w:firstLine="96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沙石多乡总编制</w:t>
      </w:r>
      <w:r>
        <w:rPr>
          <w:rFonts w:ascii="仿宋_GB2312" w:eastAsia="仿宋_GB2312" w:hAnsi="仿宋" w:cs="仿宋" w:hint="eastAsia"/>
          <w:sz w:val="32"/>
          <w:szCs w:val="32"/>
        </w:rPr>
        <w:t>27</w:t>
      </w:r>
      <w:r>
        <w:rPr>
          <w:rFonts w:ascii="仿宋_GB2312" w:eastAsia="仿宋_GB2312" w:hAnsi="仿宋" w:cs="仿宋" w:hint="eastAsia"/>
          <w:sz w:val="32"/>
          <w:szCs w:val="32"/>
        </w:rPr>
        <w:t>名，</w:t>
      </w:r>
      <w:r>
        <w:rPr>
          <w:rFonts w:ascii="仿宋_GB2312" w:eastAsia="仿宋_GB2312" w:hAnsi="仿宋" w:cs="仿宋" w:hint="eastAsia"/>
          <w:sz w:val="32"/>
          <w:szCs w:val="32"/>
        </w:rPr>
        <w:t>其中：行政编制</w:t>
      </w:r>
      <w:r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名，事业编制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名，工勤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名。在职人员总数</w:t>
      </w:r>
      <w:r>
        <w:rPr>
          <w:rFonts w:ascii="仿宋_GB2312" w:eastAsia="仿宋_GB2312" w:hAnsi="仿宋" w:cs="仿宋" w:hint="eastAsia"/>
          <w:sz w:val="32"/>
          <w:szCs w:val="32"/>
        </w:rPr>
        <w:t>25</w:t>
      </w:r>
      <w:r>
        <w:rPr>
          <w:rFonts w:ascii="仿宋_GB2312" w:eastAsia="仿宋_GB2312" w:hAnsi="仿宋" w:cs="仿宋" w:hint="eastAsia"/>
          <w:sz w:val="32"/>
          <w:szCs w:val="32"/>
        </w:rPr>
        <w:t>人，其中：行政人员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, </w:t>
      </w:r>
      <w:r>
        <w:rPr>
          <w:rFonts w:ascii="仿宋_GB2312" w:eastAsia="仿宋_GB2312" w:hAnsi="仿宋" w:cs="仿宋" w:hint="eastAsia"/>
          <w:sz w:val="32"/>
          <w:szCs w:val="32"/>
        </w:rPr>
        <w:t>事业单位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人，工勤</w:t>
      </w:r>
      <w:r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名；退休人员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人。</w:t>
      </w:r>
      <w:r>
        <w:rPr>
          <w:rFonts w:ascii="仿宋_GB2312" w:eastAsia="仿宋_GB2312" w:hAnsi="仿宋" w:cs="仿宋" w:hint="eastAsia"/>
          <w:sz w:val="32"/>
          <w:szCs w:val="32"/>
        </w:rPr>
        <w:t> 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</w:p>
    <w:p w:rsidR="005C63B5" w:rsidRDefault="00933D28">
      <w:pPr>
        <w:spacing w:line="560" w:lineRule="exact"/>
        <w:ind w:firstLineChars="300" w:firstLine="96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二、部门财政资金收支情况</w:t>
      </w:r>
    </w:p>
    <w:p w:rsidR="005C63B5" w:rsidRDefault="00933D28">
      <w:pPr>
        <w:spacing w:line="560" w:lineRule="exact"/>
        <w:ind w:firstLineChars="250" w:firstLine="80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（一）部门财政资金收入情况</w:t>
      </w:r>
    </w:p>
    <w:p w:rsidR="005C63B5" w:rsidRDefault="00933D28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本年预算收入</w:t>
      </w:r>
      <w:r>
        <w:rPr>
          <w:rFonts w:ascii="仿宋_GB2312" w:eastAsia="仿宋_GB2312" w:hAnsi="仿宋" w:cs="仿宋" w:hint="eastAsia"/>
          <w:sz w:val="32"/>
          <w:szCs w:val="32"/>
        </w:rPr>
        <w:t>486.3</w:t>
      </w:r>
      <w:r>
        <w:rPr>
          <w:rFonts w:ascii="仿宋_GB2312" w:eastAsia="仿宋_GB2312" w:hAnsi="仿宋" w:cs="仿宋" w:hint="eastAsia"/>
          <w:sz w:val="32"/>
          <w:szCs w:val="32"/>
        </w:rPr>
        <w:t>万元，决算收入</w:t>
      </w:r>
      <w:r>
        <w:rPr>
          <w:rFonts w:ascii="仿宋_GB2312" w:eastAsia="仿宋_GB2312" w:hAnsi="仿宋" w:cs="仿宋" w:hint="eastAsia"/>
          <w:sz w:val="32"/>
          <w:szCs w:val="32"/>
        </w:rPr>
        <w:t>956.22</w:t>
      </w:r>
      <w:r>
        <w:rPr>
          <w:rFonts w:ascii="仿宋_GB2312" w:eastAsia="仿宋_GB2312" w:hAnsi="仿宋" w:cs="仿宋" w:hint="eastAsia"/>
          <w:sz w:val="32"/>
          <w:szCs w:val="32"/>
        </w:rPr>
        <w:t>万元，实际收入比预算收入增加</w:t>
      </w:r>
      <w:r>
        <w:rPr>
          <w:rFonts w:ascii="仿宋_GB2312" w:eastAsia="仿宋_GB2312" w:hAnsi="仿宋" w:cs="仿宋" w:hint="eastAsia"/>
          <w:sz w:val="32"/>
          <w:szCs w:val="32"/>
        </w:rPr>
        <w:t>469.92</w:t>
      </w:r>
      <w:r>
        <w:rPr>
          <w:rFonts w:ascii="仿宋_GB2312" w:eastAsia="仿宋_GB2312" w:hAnsi="仿宋" w:cs="仿宋" w:hint="eastAsia"/>
          <w:sz w:val="32"/>
          <w:szCs w:val="32"/>
        </w:rPr>
        <w:t>万元，差异率</w:t>
      </w:r>
      <w:r>
        <w:rPr>
          <w:rFonts w:ascii="仿宋_GB2312" w:eastAsia="仿宋_GB2312" w:hAnsi="仿宋" w:cs="仿宋" w:hint="eastAsia"/>
          <w:sz w:val="32"/>
          <w:szCs w:val="32"/>
        </w:rPr>
        <w:t>49.14</w:t>
      </w:r>
      <w:r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C63B5" w:rsidRDefault="00933D28">
      <w:pPr>
        <w:widowControl/>
        <w:adjustRightInd w:val="0"/>
        <w:snapToGrid w:val="0"/>
        <w:spacing w:line="560" w:lineRule="exact"/>
        <w:ind w:firstLine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差异主要原因是本年工资、社保金、目标奖等人员经费调增，项目资金增加。</w:t>
      </w:r>
    </w:p>
    <w:p w:rsidR="005C63B5" w:rsidRDefault="00933D28">
      <w:pPr>
        <w:widowControl/>
        <w:adjustRightInd w:val="0"/>
        <w:snapToGrid w:val="0"/>
        <w:spacing w:line="560" w:lineRule="exact"/>
        <w:ind w:firstLine="720"/>
        <w:jc w:val="lef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（二）部门财政资金支出情况</w:t>
      </w:r>
    </w:p>
    <w:p w:rsidR="005C63B5" w:rsidRDefault="00933D28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本年预算支出</w:t>
      </w:r>
      <w:r>
        <w:rPr>
          <w:rFonts w:ascii="仿宋_GB2312" w:eastAsia="仿宋_GB2312" w:hAnsi="仿宋" w:cs="仿宋" w:hint="eastAsia"/>
          <w:sz w:val="32"/>
          <w:szCs w:val="32"/>
        </w:rPr>
        <w:t>486.3</w:t>
      </w:r>
      <w:r>
        <w:rPr>
          <w:rFonts w:ascii="仿宋_GB2312" w:eastAsia="仿宋_GB2312" w:hAnsi="仿宋" w:cs="仿宋" w:hint="eastAsia"/>
          <w:sz w:val="32"/>
          <w:szCs w:val="32"/>
        </w:rPr>
        <w:t>万元，决算支出</w:t>
      </w:r>
      <w:r>
        <w:rPr>
          <w:rFonts w:ascii="仿宋_GB2312" w:eastAsia="仿宋_GB2312" w:hAnsi="仿宋" w:cs="仿宋" w:hint="eastAsia"/>
          <w:sz w:val="32"/>
          <w:szCs w:val="32"/>
        </w:rPr>
        <w:t>598.83</w:t>
      </w:r>
      <w:r>
        <w:rPr>
          <w:rFonts w:ascii="仿宋_GB2312" w:eastAsia="仿宋_GB2312" w:hAnsi="仿宋" w:cs="仿宋" w:hint="eastAsia"/>
          <w:sz w:val="32"/>
          <w:szCs w:val="32"/>
        </w:rPr>
        <w:t>万元，实际支出比预算支出增加</w:t>
      </w:r>
      <w:r>
        <w:rPr>
          <w:rFonts w:ascii="仿宋_GB2312" w:eastAsia="仿宋_GB2312" w:hAnsi="仿宋" w:cs="仿宋" w:hint="eastAsia"/>
          <w:sz w:val="32"/>
          <w:szCs w:val="32"/>
        </w:rPr>
        <w:t>112.53</w:t>
      </w:r>
      <w:r>
        <w:rPr>
          <w:rFonts w:ascii="仿宋_GB2312" w:eastAsia="仿宋_GB2312" w:hAnsi="仿宋" w:cs="仿宋" w:hint="eastAsia"/>
          <w:sz w:val="32"/>
          <w:szCs w:val="32"/>
        </w:rPr>
        <w:t>万元，差异率</w:t>
      </w:r>
      <w:r>
        <w:rPr>
          <w:rFonts w:ascii="仿宋_GB2312" w:eastAsia="仿宋_GB2312" w:hAnsi="仿宋" w:cs="仿宋" w:hint="eastAsia"/>
          <w:sz w:val="32"/>
          <w:szCs w:val="32"/>
        </w:rPr>
        <w:t>18.79</w:t>
      </w:r>
      <w:r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C63B5" w:rsidRDefault="00933D2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按资金来源分析：其中财政拨款支出</w:t>
      </w:r>
      <w:r>
        <w:rPr>
          <w:rFonts w:ascii="仿宋_GB2312" w:eastAsia="仿宋_GB2312" w:hAnsi="仿宋" w:cs="仿宋" w:hint="eastAsia"/>
          <w:sz w:val="32"/>
          <w:szCs w:val="32"/>
        </w:rPr>
        <w:t>598.83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，按支出性质分析：基本支出</w:t>
      </w:r>
      <w:r>
        <w:rPr>
          <w:rFonts w:ascii="仿宋_GB2312" w:eastAsia="仿宋_GB2312" w:hAnsi="仿宋" w:cs="仿宋" w:hint="eastAsia"/>
          <w:sz w:val="32"/>
          <w:szCs w:val="32"/>
        </w:rPr>
        <w:t>455.91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76.13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，项目支出</w:t>
      </w:r>
      <w:r>
        <w:rPr>
          <w:rFonts w:ascii="仿宋_GB2312" w:eastAsia="仿宋_GB2312" w:hAnsi="仿宋" w:hint="eastAsia"/>
          <w:sz w:val="32"/>
          <w:szCs w:val="32"/>
        </w:rPr>
        <w:t>142.92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23.87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；按支出经济分类：工资福利支出</w:t>
      </w:r>
      <w:r>
        <w:rPr>
          <w:rFonts w:ascii="仿宋_GB2312" w:eastAsia="仿宋_GB2312" w:hAnsi="仿宋" w:hint="eastAsia"/>
          <w:sz w:val="32"/>
          <w:szCs w:val="32"/>
        </w:rPr>
        <w:t>407.53</w:t>
      </w:r>
      <w:r>
        <w:rPr>
          <w:rFonts w:ascii="仿宋_GB2312" w:eastAsia="仿宋_GB2312" w:hAnsi="仿宋" w:hint="eastAsia"/>
          <w:sz w:val="32"/>
          <w:szCs w:val="32"/>
        </w:rPr>
        <w:t>万元，占本年支出</w:t>
      </w:r>
      <w:r>
        <w:rPr>
          <w:rFonts w:ascii="仿宋_GB2312" w:eastAsia="仿宋_GB2312" w:hAnsi="仿宋" w:hint="eastAsia"/>
          <w:sz w:val="32"/>
          <w:szCs w:val="32"/>
        </w:rPr>
        <w:t>68.05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，商品和服务支出</w:t>
      </w:r>
      <w:r>
        <w:rPr>
          <w:rFonts w:ascii="仿宋_GB2312" w:eastAsia="仿宋_GB2312" w:hAnsi="仿宋" w:hint="eastAsia"/>
          <w:sz w:val="32"/>
          <w:szCs w:val="32"/>
        </w:rPr>
        <w:t>59.11</w:t>
      </w:r>
      <w:r>
        <w:rPr>
          <w:rFonts w:ascii="仿宋_GB2312" w:eastAsia="仿宋_GB2312" w:hAnsi="仿宋" w:hint="eastAsia"/>
          <w:sz w:val="32"/>
          <w:szCs w:val="32"/>
        </w:rPr>
        <w:t>万元，占本年支出</w:t>
      </w:r>
      <w:r>
        <w:rPr>
          <w:rFonts w:ascii="仿宋_GB2312" w:eastAsia="仿宋_GB2312" w:hAnsi="仿宋" w:hint="eastAsia"/>
          <w:sz w:val="32"/>
          <w:szCs w:val="32"/>
        </w:rPr>
        <w:t>9.87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，对个人和家庭的补助</w:t>
      </w:r>
      <w:r>
        <w:rPr>
          <w:rFonts w:ascii="仿宋_GB2312" w:eastAsia="仿宋_GB2312" w:hAnsi="仿宋" w:hint="eastAsia"/>
          <w:sz w:val="32"/>
          <w:szCs w:val="32"/>
        </w:rPr>
        <w:t>104.90</w:t>
      </w:r>
      <w:r>
        <w:rPr>
          <w:rFonts w:ascii="仿宋_GB2312" w:eastAsia="仿宋_GB2312" w:hAnsi="仿宋" w:hint="eastAsia"/>
          <w:sz w:val="32"/>
          <w:szCs w:val="32"/>
        </w:rPr>
        <w:t>万元，占本年支</w:t>
      </w:r>
      <w:r>
        <w:rPr>
          <w:rFonts w:ascii="仿宋_GB2312" w:eastAsia="仿宋_GB2312" w:hAnsi="仿宋" w:hint="eastAsia"/>
          <w:sz w:val="32"/>
          <w:szCs w:val="32"/>
        </w:rPr>
        <w:t>17.52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“三公”经费预算执行情况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 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年预算公务接待费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7.25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合计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7.25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年度决算公务接待费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7.25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合计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7.25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33D28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三、部门整体预算绩效管理情况（根据适用指标体系进行调整）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（一）部门预算管理。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本年本单位部门整体绩效目标是：贯彻落实党和政府就业方针政策，协调配合县级部门在我乡辖区内各项目开展，统筹做好财务、项目、卫生、教育等工作。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年整体目标完成情况较好。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按时完成预算编制并提交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预算草案。预算编制中，特别注意对预算编制准确性的把握，并严格按照要求进行预算执行调整。按时完成待批复提前细化。</w:t>
      </w:r>
    </w:p>
    <w:p w:rsidR="005C63B5" w:rsidRDefault="00933D28">
      <w:pPr>
        <w:pStyle w:val="a3"/>
        <w:adjustRightInd w:val="0"/>
        <w:snapToGrid w:val="0"/>
        <w:spacing w:before="93" w:line="600" w:lineRule="exact"/>
        <w:ind w:firstLineChars="210" w:firstLine="672"/>
        <w:outlineLvl w:val="2"/>
        <w:rPr>
          <w:rFonts w:hAnsi="仿宋"/>
          <w:bCs/>
          <w:color w:val="000000"/>
          <w:sz w:val="32"/>
          <w:szCs w:val="32"/>
        </w:rPr>
      </w:pPr>
      <w:r>
        <w:rPr>
          <w:rFonts w:hAnsi="仿宋" w:hint="eastAsia"/>
          <w:bCs/>
          <w:color w:val="000000"/>
          <w:sz w:val="32"/>
          <w:szCs w:val="32"/>
        </w:rPr>
        <w:t>2018</w:t>
      </w:r>
      <w:r>
        <w:rPr>
          <w:rFonts w:hAnsi="仿宋" w:hint="eastAsia"/>
          <w:bCs/>
          <w:color w:val="000000"/>
          <w:sz w:val="32"/>
          <w:szCs w:val="32"/>
        </w:rPr>
        <w:t>年重点工作完成情况</w:t>
      </w:r>
      <w:r>
        <w:rPr>
          <w:rFonts w:hAnsi="仿宋" w:hint="eastAsia"/>
          <w:bCs/>
          <w:color w:val="000000"/>
          <w:sz w:val="32"/>
          <w:szCs w:val="32"/>
        </w:rPr>
        <w:t>：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年主要工作是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抓好农村基层党建工作。继续加强廉政工作力度，稳步推进反腐倡廉制度建设各阶段工作；做好社会维稳工作，努力把群众信访诉求解决在初始阶段和基层，妥善处理社会矛盾纠纷和群体性事件；以优化产业结构调整为重点，坚持“稳粮调结构、助农保增收”的指导思想，进一步发展特色产业，大力发展农村经济，切实增加农民收入；大力推进免费孕前优生健康检查、生育登记办理、奖励扶助等各项优质服务；继续加强城乡环境综合整治工作，动员广大干部群众积极参与环境整治活动，不断提高村民文明卫生素质，提升对外形象。狠抓安全生产工作，全面落实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安全生产责任制，杜绝重大安全事故的发生。紧盯目标责任，坚决打赢扶贫攻坚战。始终坚持把产业扶贫作为稳定脱贫的关键举措、根本之策，结合本乡情况，以“公司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支部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农民”的模式，大力发展大蒜产业，实现资源互补、利益共赢，切实提高贫困群众收入，确保如期顺利脱贫。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5C63B5" w:rsidRDefault="00933D28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本年本单位预算绩效实施过程中无违法违规情况。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（二）专项预算管理。</w:t>
      </w:r>
    </w:p>
    <w:p w:rsidR="005C63B5" w:rsidRDefault="00933D28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本单位无专项预算项目。</w:t>
      </w:r>
    </w:p>
    <w:p w:rsidR="005C63B5" w:rsidRDefault="00933D28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（三）结果应用情况。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_GB2312"/>
          <w:color w:val="C0504D" w:themeColor="accent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本年本单位在执行公务过程中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严格执行“厉行节约、反对浪费”的规定，严格控制“三公”经费支出，加强公务用车管理，努力降低燃修费用。</w:t>
      </w:r>
    </w:p>
    <w:p w:rsidR="005C63B5" w:rsidRDefault="00933D2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部门预算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在财政部门批复后及时填报预算公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开资料、决算公开资料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报表报财政审核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在政府信息公开网上公示。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   </w:t>
      </w:r>
      <w:r>
        <w:rPr>
          <w:rFonts w:ascii="楷体" w:eastAsia="楷体" w:hAnsi="楷体" w:cs="仿宋" w:hint="eastAsia"/>
          <w:b/>
          <w:color w:val="333333"/>
          <w:sz w:val="32"/>
          <w:szCs w:val="32"/>
        </w:rPr>
        <w:t>（四）整体绩效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预算支出在保障本局工作运转、履行职能职责上整体情况良好。一是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年至今支出绩效较好，预算编制精确、合理，经费压缩情况下的高效运转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二是经费收支有力的推动各股室工作的有效开展，按时按量推动目标任务高效完成；三是经费的支出有力保障了办公设备购置等项目所需，推动了改革和各类就业政策的实行，提高了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工作的规范化、信息化水平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四是强化机关公用经费及日常运行经费管理，对于各科室日常公用经费按照相关政策进行管理，对于办公日常运行维护费用加强审核力度，公用经费及水、电等日常运行经费均有一定下降。</w:t>
      </w:r>
    </w:p>
    <w:p w:rsidR="00933D28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 w:hint="eastAsia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 xml:space="preserve">　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333333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z w:val="32"/>
          <w:szCs w:val="32"/>
        </w:rPr>
        <w:lastRenderedPageBreak/>
        <w:t>四、评价结论及建</w:t>
      </w:r>
      <w:r>
        <w:rPr>
          <w:rFonts w:ascii="黑体" w:eastAsia="黑体" w:hAnsi="黑体" w:cs="仿宋" w:hint="eastAsia"/>
          <w:color w:val="333333"/>
          <w:sz w:val="32"/>
          <w:szCs w:val="32"/>
        </w:rPr>
        <w:t>议</w:t>
      </w:r>
      <w:r>
        <w:rPr>
          <w:rFonts w:ascii="黑体" w:eastAsia="黑体" w:hAnsi="黑体" w:cs="仿宋" w:hint="eastAsia"/>
          <w:color w:val="333333"/>
          <w:sz w:val="32"/>
          <w:szCs w:val="32"/>
        </w:rPr>
        <w:t> </w:t>
      </w:r>
    </w:p>
    <w:p w:rsidR="005C63B5" w:rsidRDefault="00933D28">
      <w:pPr>
        <w:spacing w:line="560" w:lineRule="exact"/>
        <w:ind w:firstLine="645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（一）评价结论</w:t>
      </w:r>
    </w:p>
    <w:p w:rsidR="005C63B5" w:rsidRDefault="00933D28">
      <w:pPr>
        <w:spacing w:line="560" w:lineRule="exact"/>
        <w:ind w:firstLine="645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宋体" w:eastAsia="仿宋_GB2312" w:hAnsi="宋体" w:hint="eastAsia"/>
          <w:color w:val="000000"/>
          <w:sz w:val="32"/>
          <w:szCs w:val="32"/>
        </w:rPr>
        <w:t> </w:t>
      </w:r>
    </w:p>
    <w:p w:rsidR="005C63B5" w:rsidRDefault="00933D28">
      <w:pPr>
        <w:spacing w:line="560" w:lineRule="exact"/>
        <w:ind w:firstLine="645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结合评价得分评价结果为良好。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（二）存在问题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上级下达的部分专项资金，暂存于我</w:t>
      </w:r>
      <w:r>
        <w:rPr>
          <w:rFonts w:ascii="仿宋_GB2312" w:eastAsia="仿宋_GB2312" w:hAnsi="仿宋" w:hint="eastAsia"/>
          <w:sz w:val="32"/>
          <w:szCs w:val="32"/>
        </w:rPr>
        <w:t>乡大平台及零余额账户</w:t>
      </w:r>
      <w:r>
        <w:rPr>
          <w:rFonts w:ascii="仿宋_GB2312" w:eastAsia="仿宋_GB2312" w:hAnsi="仿宋" w:hint="eastAsia"/>
          <w:sz w:val="32"/>
          <w:szCs w:val="32"/>
        </w:rPr>
        <w:t>，对编制预算财务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工作有一定影响。</w:t>
      </w:r>
      <w:r>
        <w:rPr>
          <w:rFonts w:eastAsia="仿宋_GB2312" w:hint="eastAsia"/>
          <w:sz w:val="32"/>
          <w:szCs w:val="32"/>
        </w:rPr>
        <w:t> 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（三）改进建议</w:t>
      </w:r>
      <w:r>
        <w:rPr>
          <w:rFonts w:eastAsia="楷体" w:hint="eastAsia"/>
          <w:b/>
          <w:color w:val="000000"/>
          <w:sz w:val="32"/>
          <w:szCs w:val="32"/>
        </w:rPr>
        <w:t> 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　　我们将进一步重视预算的编制工作，提高预算编制的精确度，提高财政资金使用效率，尽量减少预算执行调整、结转和结余注销的情形。</w:t>
      </w:r>
      <w:r>
        <w:rPr>
          <w:rFonts w:eastAsia="仿宋_GB2312" w:hint="eastAsia"/>
          <w:color w:val="000000"/>
          <w:sz w:val="32"/>
          <w:szCs w:val="32"/>
        </w:rPr>
        <w:t> </w:t>
      </w:r>
    </w:p>
    <w:p w:rsidR="005C63B5" w:rsidRDefault="00933D28">
      <w:pPr>
        <w:pStyle w:val="a6"/>
        <w:shd w:val="clear" w:color="auto" w:fill="FFFFFF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eastAsia="仿宋_GB2312" w:hint="eastAsia"/>
          <w:sz w:val="32"/>
          <w:szCs w:val="32"/>
        </w:rPr>
        <w:t>  </w:t>
      </w:r>
    </w:p>
    <w:p w:rsidR="005C63B5" w:rsidRDefault="005C63B5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C63B5" w:rsidSect="005C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1B22"/>
    <w:rsid w:val="00291808"/>
    <w:rsid w:val="00491B22"/>
    <w:rsid w:val="0052390C"/>
    <w:rsid w:val="005C63B5"/>
    <w:rsid w:val="006B1F34"/>
    <w:rsid w:val="00933D28"/>
    <w:rsid w:val="011D5DB4"/>
    <w:rsid w:val="01AC25DA"/>
    <w:rsid w:val="03987BD0"/>
    <w:rsid w:val="09E653A4"/>
    <w:rsid w:val="0B860BEE"/>
    <w:rsid w:val="12A52B92"/>
    <w:rsid w:val="13EE153F"/>
    <w:rsid w:val="13FC4950"/>
    <w:rsid w:val="17FB5678"/>
    <w:rsid w:val="19A515A5"/>
    <w:rsid w:val="1CA314C8"/>
    <w:rsid w:val="21E74896"/>
    <w:rsid w:val="25A514FC"/>
    <w:rsid w:val="2695339A"/>
    <w:rsid w:val="29BD5136"/>
    <w:rsid w:val="2BC74FE1"/>
    <w:rsid w:val="2F8716CD"/>
    <w:rsid w:val="38935EED"/>
    <w:rsid w:val="3A5E4CCD"/>
    <w:rsid w:val="3B6E0D73"/>
    <w:rsid w:val="3BC339F4"/>
    <w:rsid w:val="3C45788A"/>
    <w:rsid w:val="3D2F3C78"/>
    <w:rsid w:val="42316CE2"/>
    <w:rsid w:val="475B3056"/>
    <w:rsid w:val="4901767F"/>
    <w:rsid w:val="4BA65113"/>
    <w:rsid w:val="4C4C1A88"/>
    <w:rsid w:val="4C692846"/>
    <w:rsid w:val="4CF62F93"/>
    <w:rsid w:val="4F5E05DD"/>
    <w:rsid w:val="51156CB2"/>
    <w:rsid w:val="51767FF4"/>
    <w:rsid w:val="55084F4F"/>
    <w:rsid w:val="5604737C"/>
    <w:rsid w:val="5AA667F1"/>
    <w:rsid w:val="5CB65ABE"/>
    <w:rsid w:val="5CD04120"/>
    <w:rsid w:val="5E553288"/>
    <w:rsid w:val="64960BC2"/>
    <w:rsid w:val="66E428FF"/>
    <w:rsid w:val="689464A1"/>
    <w:rsid w:val="689D0606"/>
    <w:rsid w:val="6AEA5A62"/>
    <w:rsid w:val="6B8635BA"/>
    <w:rsid w:val="6F93481E"/>
    <w:rsid w:val="732D192F"/>
    <w:rsid w:val="735C6F20"/>
    <w:rsid w:val="749B1FF5"/>
    <w:rsid w:val="74C64AF1"/>
    <w:rsid w:val="75243B56"/>
    <w:rsid w:val="75F25409"/>
    <w:rsid w:val="77DE08DA"/>
    <w:rsid w:val="7929008B"/>
    <w:rsid w:val="7A297177"/>
    <w:rsid w:val="7DA07565"/>
    <w:rsid w:val="7EE7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5C63B5"/>
    <w:pPr>
      <w:spacing w:beforeLines="30"/>
    </w:pPr>
    <w:rPr>
      <w:rFonts w:ascii="仿宋_GB2312" w:eastAsia="仿宋_GB2312"/>
      <w:kern w:val="0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5C6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C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qFormat/>
    <w:rsid w:val="005C63B5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5C63B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5C6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344</Words>
  <Characters>1967</Characters>
  <Application>Microsoft Office Word</Application>
  <DocSecurity>0</DocSecurity>
  <Lines>16</Lines>
  <Paragraphs>4</Paragraphs>
  <ScaleCrop>false</ScaleCrop>
  <Company>Sky123.Org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2019-08-19T01:06:00Z</dcterms:created>
  <dcterms:modified xsi:type="dcterms:W3CDTF">2019-08-28T09:39:00Z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