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宋体" w:hAnsi="宋体" w:eastAsia="宋体" w:cs="宋体"/>
          <w:b/>
          <w:bCs/>
          <w:color w:val="000000"/>
          <w:sz w:val="32"/>
          <w:szCs w:val="32"/>
          <w:lang w:val="en-US" w:eastAsia="zh-CN"/>
        </w:rPr>
      </w:pPr>
      <w:bookmarkStart w:id="0" w:name="_Toc15396616"/>
      <w:r>
        <w:rPr>
          <w:rFonts w:hint="eastAsia" w:ascii="宋体" w:hAnsi="宋体" w:eastAsia="宋体" w:cs="宋体"/>
          <w:b/>
          <w:bCs/>
          <w:sz w:val="32"/>
          <w:szCs w:val="32"/>
          <w:lang w:eastAsia="zh-CN"/>
        </w:rPr>
        <w:t>黑水县</w:t>
      </w:r>
      <w:r>
        <w:rPr>
          <w:rFonts w:hint="eastAsia" w:ascii="宋体" w:hAnsi="宋体" w:cs="宋体"/>
          <w:b/>
          <w:bCs/>
          <w:sz w:val="32"/>
          <w:szCs w:val="32"/>
          <w:lang w:eastAsia="zh-CN"/>
        </w:rPr>
        <w:t>沙石多乡人民政府</w:t>
      </w:r>
    </w:p>
    <w:p>
      <w:pPr>
        <w:spacing w:line="600" w:lineRule="exact"/>
        <w:jc w:val="center"/>
        <w:outlineLvl w:val="0"/>
        <w:rPr>
          <w:rFonts w:hint="eastAsia" w:ascii="仿宋_GB2312" w:hAnsi="黑体" w:eastAsia="仿宋_GB2312" w:cs="方正小标宋简体"/>
          <w:b/>
          <w:sz w:val="36"/>
          <w:szCs w:val="36"/>
        </w:rPr>
      </w:pPr>
      <w:r>
        <w:rPr>
          <w:rFonts w:hint="eastAsia" w:ascii="仿宋_GB2312" w:hAnsi="黑体" w:eastAsia="仿宋_GB2312" w:cs="方正小标宋简体"/>
          <w:b/>
          <w:sz w:val="36"/>
          <w:szCs w:val="36"/>
        </w:rPr>
        <w:t>201</w:t>
      </w:r>
      <w:r>
        <w:rPr>
          <w:rFonts w:hint="eastAsia" w:ascii="仿宋_GB2312" w:hAnsi="黑体" w:eastAsia="仿宋_GB2312" w:cs="方正小标宋简体"/>
          <w:b/>
          <w:sz w:val="36"/>
          <w:szCs w:val="36"/>
          <w:lang w:val="en-US" w:eastAsia="zh-CN"/>
        </w:rPr>
        <w:t>9</w:t>
      </w:r>
      <w:r>
        <w:rPr>
          <w:rFonts w:hint="eastAsia" w:ascii="仿宋_GB2312" w:hAnsi="黑体" w:eastAsia="仿宋_GB2312" w:cs="方正小标宋简体"/>
          <w:b/>
          <w:sz w:val="36"/>
          <w:szCs w:val="36"/>
        </w:rPr>
        <w:t>年部门</w:t>
      </w:r>
    </w:p>
    <w:p>
      <w:pPr>
        <w:spacing w:line="600" w:lineRule="exact"/>
        <w:jc w:val="center"/>
        <w:outlineLvl w:val="0"/>
        <w:rPr>
          <w:rFonts w:hint="eastAsia" w:ascii="仿宋_GB2312" w:hAnsi="黑体" w:eastAsia="仿宋_GB2312" w:cs="方正小标宋简体"/>
          <w:b/>
          <w:sz w:val="36"/>
          <w:szCs w:val="36"/>
        </w:rPr>
      </w:pPr>
      <w:r>
        <w:rPr>
          <w:rFonts w:hint="eastAsia" w:ascii="仿宋_GB2312" w:hAnsi="黑体" w:eastAsia="仿宋_GB2312" w:cs="方正小标宋简体"/>
          <w:b/>
          <w:sz w:val="36"/>
          <w:szCs w:val="36"/>
        </w:rPr>
        <w:t>整体支出绩效评价报告</w:t>
      </w:r>
      <w:bookmarkEnd w:id="0"/>
    </w:p>
    <w:p>
      <w:pPr>
        <w:spacing w:line="600" w:lineRule="exact"/>
        <w:jc w:val="center"/>
        <w:outlineLvl w:val="0"/>
        <w:rPr>
          <w:rFonts w:hint="eastAsia" w:ascii="仿宋_GB2312" w:hAnsi="黑体" w:eastAsia="仿宋_GB2312" w:cs="方正小标宋简体"/>
          <w:b/>
          <w:sz w:val="32"/>
          <w:szCs w:val="32"/>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根据县财政要求，我局高度重视，结合实际情况，开展了201</w:t>
      </w:r>
      <w:r>
        <w:rPr>
          <w:rFonts w:hint="eastAsia" w:ascii="仿宋" w:hAnsi="仿宋" w:eastAsia="仿宋"/>
          <w:sz w:val="30"/>
          <w:szCs w:val="30"/>
          <w:lang w:val="en-US" w:eastAsia="zh-CN"/>
        </w:rPr>
        <w:t>9</w:t>
      </w:r>
      <w:r>
        <w:rPr>
          <w:rFonts w:hint="eastAsia" w:ascii="仿宋" w:hAnsi="仿宋" w:eastAsia="仿宋"/>
          <w:sz w:val="30"/>
          <w:szCs w:val="30"/>
        </w:rPr>
        <w:t>年财政支出（基本支出和项目支出）绩效评价工作，现将工作情况总结如下</w:t>
      </w:r>
      <w:r>
        <w:rPr>
          <w:rFonts w:hint="eastAsia" w:ascii="仿宋" w:hAnsi="仿宋" w:eastAsia="仿宋" w:cs="宋体"/>
          <w:color w:val="000000"/>
          <w:kern w:val="0"/>
          <w:sz w:val="30"/>
          <w:szCs w:val="30"/>
          <w:shd w:val="clear" w:color="auto" w:fill="FFFFFF"/>
        </w:rPr>
        <w:t>。</w:t>
      </w:r>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6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黑水县沙</w:t>
      </w:r>
      <w:bookmarkStart w:id="1" w:name="_GoBack"/>
      <w:bookmarkEnd w:id="1"/>
      <w:r>
        <w:rPr>
          <w:rFonts w:hint="eastAsia" w:ascii="仿宋_GB2312" w:hAnsi="仿宋" w:eastAsia="仿宋_GB2312"/>
          <w:sz w:val="30"/>
          <w:szCs w:val="30"/>
        </w:rPr>
        <w:t>石多乡人民政府无下属二级核算单位。</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沙石多乡总编制28名，其中：行政编制21名，其中党委2人，人大1人，政府16人，工勤2人，事业编制7名。在职人员总数25人，其中：行政人员11人, 人大1人，党委4人，事业单位9人；退休人员3人。</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tabs>
          <w:tab w:val="left" w:pos="7020"/>
          <w:tab w:val="left" w:pos="7740"/>
        </w:tabs>
        <w:ind w:firstLine="588" w:firstLineChars="196"/>
        <w:rPr>
          <w:rFonts w:hint="eastAsia" w:ascii="仿宋_GB2312" w:hAnsi="仿宋" w:eastAsia="仿宋_GB2312"/>
          <w:sz w:val="30"/>
          <w:szCs w:val="30"/>
        </w:rPr>
      </w:pPr>
      <w:r>
        <w:rPr>
          <w:rFonts w:hint="eastAsia" w:ascii="仿宋_GB2312" w:hAnsi="仿宋" w:eastAsia="仿宋_GB2312"/>
          <w:sz w:val="30"/>
          <w:szCs w:val="30"/>
        </w:rPr>
        <w:t>黑水县沙石多乡人民政府是基层国家行政机关，行使本行政区域的政府行政职能，根据有关文件规定，主要职责是：宣传和贯彻执行上级各部门及本镇的各项政策、法规、决议等；讨论决定全镇经济建设和社会发展中的重大问题；加强党委自身建设和以党支部为核心的村级组织建设；按照干部管理权限，负责对本级镇村干部的教育、管理、培训、选拔和监督工作，并实现村级财务统一由乡代管；认真做好全镇社会治安综合治理及计划生育，环境、国土等管理工作。</w:t>
      </w:r>
    </w:p>
    <w:p>
      <w:pPr>
        <w:tabs>
          <w:tab w:val="left" w:pos="7020"/>
          <w:tab w:val="left" w:pos="7740"/>
        </w:tabs>
        <w:ind w:firstLine="738" w:firstLineChars="245"/>
        <w:rPr>
          <w:rFonts w:hint="eastAsia" w:ascii="仿宋_GB2312" w:hAnsi="仿宋" w:eastAsia="仿宋_GB2312" w:cs="宋体"/>
          <w:b/>
          <w:kern w:val="0"/>
          <w:sz w:val="30"/>
          <w:szCs w:val="30"/>
        </w:rPr>
      </w:pPr>
      <w:r>
        <w:rPr>
          <w:rFonts w:hint="eastAsia" w:ascii="仿宋_GB2312" w:hAnsi="仿宋" w:eastAsia="仿宋_GB2312" w:cs="宋体"/>
          <w:b/>
          <w:kern w:val="0"/>
          <w:sz w:val="30"/>
          <w:szCs w:val="30"/>
        </w:rPr>
        <w:t>（二）主要工作任务</w:t>
      </w:r>
    </w:p>
    <w:p>
      <w:pPr>
        <w:numPr>
          <w:ilvl w:val="0"/>
          <w:numId w:val="0"/>
        </w:numPr>
        <w:spacing w:line="580" w:lineRule="exact"/>
        <w:rPr>
          <w:rFonts w:hint="eastAsia" w:ascii="仿宋_GB2312" w:hAnsi="仿宋" w:eastAsia="仿宋_GB2312" w:cs="仿宋_GB2312"/>
          <w:sz w:val="32"/>
          <w:szCs w:val="32"/>
          <w:lang w:val="en-US" w:eastAsia="zh-CN"/>
        </w:rPr>
      </w:pPr>
      <w:r>
        <w:rPr>
          <w:rFonts w:hint="eastAsia" w:ascii="仿宋_GB2312" w:hAnsi="仿宋" w:eastAsia="仿宋_GB2312"/>
          <w:sz w:val="30"/>
          <w:szCs w:val="30"/>
        </w:rPr>
        <w:t>根据县委、县政府关于2019年全县工作的总体部署，2019年主要工作是:抓好农村基层党建工作。继续加强廉政工作力度，稳步推进反腐倡廉制度建设各阶段工作。做好社会维稳工作，努力把群众信访诉求解决在初始阶段和基层，妥善处理社会矛盾纠纷和群体性事件。以优化产业结构调整为重点，坚持“稳粮调结构、助农保增收”的指导思想，着力发展特色产业，大力发展农村经济，切实增加农民收入。切实加强对人口与计划生育工作的领导，进一步将计生工作的重心下移，夯实基层基础。继续加强城乡环境综合整治工作，动员广大干部群众积极参与环境整治活动，不断提高村民文明卫生素质，提升对外形象。狠抓安全生产工作，全面落实安全生产责任制，杜绝重大安全事故的发生。</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沙石多乡总编制28名，其中：行政编制21名，其中党委2人，人大1人，政府16人，工勤2人，事业编制7名。在职人员总数25人，其中：行政人员11人, 人大1人，党委4人，事业单位9人；退休人员3人。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1．收入与预算对比分析：本单位201</w:t>
      </w:r>
      <w:r>
        <w:rPr>
          <w:rFonts w:hint="eastAsia" w:ascii="仿宋" w:hAnsi="仿宋" w:eastAsia="仿宋"/>
          <w:sz w:val="30"/>
          <w:szCs w:val="30"/>
          <w:lang w:val="en-US" w:eastAsia="zh-CN"/>
        </w:rPr>
        <w:t>9</w:t>
      </w:r>
      <w:r>
        <w:rPr>
          <w:rFonts w:hint="eastAsia" w:ascii="仿宋" w:hAnsi="仿宋" w:eastAsia="仿宋"/>
          <w:sz w:val="30"/>
          <w:szCs w:val="30"/>
        </w:rPr>
        <w:t>年年初预算安排收入</w:t>
      </w:r>
      <w:r>
        <w:rPr>
          <w:rFonts w:hint="eastAsia" w:ascii="仿宋" w:hAnsi="仿宋" w:eastAsia="仿宋"/>
          <w:sz w:val="30"/>
          <w:szCs w:val="30"/>
          <w:lang w:val="en-US" w:eastAsia="zh-CN"/>
        </w:rPr>
        <w:t>522.5</w:t>
      </w:r>
      <w:r>
        <w:rPr>
          <w:rFonts w:hint="eastAsia" w:ascii="仿宋" w:hAnsi="仿宋" w:eastAsia="仿宋"/>
          <w:sz w:val="30"/>
          <w:szCs w:val="30"/>
        </w:rPr>
        <w:t>万元，本年实际收入</w:t>
      </w:r>
      <w:r>
        <w:rPr>
          <w:rFonts w:hint="eastAsia" w:ascii="仿宋" w:hAnsi="仿宋" w:eastAsia="仿宋"/>
          <w:sz w:val="30"/>
          <w:szCs w:val="30"/>
          <w:lang w:val="en-US" w:eastAsia="zh-CN"/>
        </w:rPr>
        <w:t>746.69</w:t>
      </w:r>
      <w:r>
        <w:rPr>
          <w:rFonts w:hint="eastAsia" w:ascii="仿宋" w:hAnsi="仿宋" w:eastAsia="仿宋"/>
          <w:sz w:val="30"/>
          <w:szCs w:val="30"/>
        </w:rPr>
        <w:t>万元，本年实际收入与年初预算增加</w:t>
      </w:r>
      <w:r>
        <w:rPr>
          <w:rFonts w:hint="eastAsia" w:ascii="仿宋" w:hAnsi="仿宋" w:eastAsia="仿宋"/>
          <w:sz w:val="30"/>
          <w:szCs w:val="30"/>
          <w:lang w:val="en-US" w:eastAsia="zh-CN"/>
        </w:rPr>
        <w:t>224.19</w:t>
      </w:r>
      <w:r>
        <w:rPr>
          <w:rFonts w:hint="eastAsia" w:ascii="仿宋" w:hAnsi="仿宋" w:eastAsia="仿宋"/>
          <w:sz w:val="30"/>
          <w:szCs w:val="30"/>
        </w:rPr>
        <w:t>万元，差异率</w:t>
      </w:r>
      <w:r>
        <w:rPr>
          <w:rFonts w:hint="eastAsia" w:ascii="仿宋" w:hAnsi="仿宋" w:eastAsia="仿宋"/>
          <w:sz w:val="30"/>
          <w:szCs w:val="30"/>
          <w:lang w:val="en-US" w:eastAsia="zh-CN"/>
        </w:rPr>
        <w:t>30.02</w:t>
      </w:r>
      <w:r>
        <w:rPr>
          <w:rFonts w:hint="eastAsia" w:ascii="仿宋" w:hAnsi="仿宋" w:eastAsia="仿宋"/>
          <w:sz w:val="30"/>
          <w:szCs w:val="30"/>
        </w:rPr>
        <w:t>%。差异主要原因是本年调资</w:t>
      </w:r>
      <w:r>
        <w:rPr>
          <w:rFonts w:hint="eastAsia" w:ascii="仿宋" w:hAnsi="仿宋" w:eastAsia="仿宋"/>
          <w:sz w:val="30"/>
          <w:szCs w:val="30"/>
          <w:lang w:eastAsia="zh-CN"/>
        </w:rPr>
        <w:t>、社保金及住房公积金基数提高，使本年收入较预算上升</w:t>
      </w:r>
      <w:r>
        <w:rPr>
          <w:rFonts w:hint="eastAsia" w:ascii="仿宋" w:hAnsi="仿宋" w:eastAsia="仿宋"/>
          <w:sz w:val="30"/>
          <w:szCs w:val="30"/>
        </w:rPr>
        <w:t>。</w:t>
      </w:r>
    </w:p>
    <w:p>
      <w:pPr>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2．本年收入与上年收入的对比分析</w:t>
      </w:r>
    </w:p>
    <w:p>
      <w:pPr>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本年度实际收入</w:t>
      </w:r>
      <w:r>
        <w:rPr>
          <w:rFonts w:hint="eastAsia" w:ascii="仿宋" w:hAnsi="仿宋" w:eastAsia="仿宋"/>
          <w:sz w:val="30"/>
          <w:szCs w:val="30"/>
          <w:lang w:val="en-US" w:eastAsia="zh-CN"/>
        </w:rPr>
        <w:t>746.69</w:t>
      </w:r>
      <w:r>
        <w:rPr>
          <w:rFonts w:hint="eastAsia" w:ascii="仿宋" w:hAnsi="仿宋" w:eastAsia="仿宋"/>
          <w:sz w:val="30"/>
          <w:szCs w:val="30"/>
        </w:rPr>
        <w:t>万元，比上年度收入</w:t>
      </w:r>
      <w:r>
        <w:rPr>
          <w:rFonts w:hint="eastAsia" w:ascii="仿宋" w:hAnsi="仿宋" w:eastAsia="仿宋"/>
          <w:sz w:val="30"/>
          <w:szCs w:val="30"/>
          <w:lang w:val="en-US" w:eastAsia="zh-CN"/>
        </w:rPr>
        <w:t>956.22</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209.53</w:t>
      </w:r>
      <w:r>
        <w:rPr>
          <w:rFonts w:hint="eastAsia" w:ascii="仿宋" w:hAnsi="仿宋" w:eastAsia="仿宋"/>
          <w:sz w:val="30"/>
          <w:szCs w:val="30"/>
        </w:rPr>
        <w:t>万元，</w:t>
      </w:r>
      <w:r>
        <w:rPr>
          <w:rFonts w:hint="eastAsia" w:ascii="仿宋" w:hAnsi="仿宋" w:eastAsia="仿宋"/>
          <w:sz w:val="30"/>
          <w:szCs w:val="30"/>
          <w:lang w:val="en-US" w:eastAsia="zh-CN"/>
        </w:rPr>
        <w:t>降低</w:t>
      </w:r>
      <w:r>
        <w:rPr>
          <w:rFonts w:hint="eastAsia" w:ascii="仿宋" w:hAnsi="仿宋" w:eastAsia="仿宋"/>
          <w:sz w:val="30"/>
          <w:szCs w:val="30"/>
        </w:rPr>
        <w:t>幅度</w:t>
      </w:r>
      <w:r>
        <w:rPr>
          <w:rFonts w:hint="eastAsia" w:ascii="仿宋" w:hAnsi="仿宋" w:eastAsia="仿宋"/>
          <w:sz w:val="30"/>
          <w:szCs w:val="30"/>
          <w:lang w:val="en-US" w:eastAsia="zh-CN"/>
        </w:rPr>
        <w:t>21.93</w:t>
      </w:r>
      <w:r>
        <w:rPr>
          <w:rFonts w:hint="eastAsia" w:ascii="仿宋" w:hAnsi="仿宋" w:eastAsia="仿宋"/>
          <w:sz w:val="30"/>
          <w:szCs w:val="30"/>
        </w:rPr>
        <w:t>%。</w:t>
      </w:r>
    </w:p>
    <w:p>
      <w:pPr>
        <w:spacing w:line="580" w:lineRule="exact"/>
        <w:ind w:firstLine="600" w:firstLineChars="200"/>
        <w:rPr>
          <w:rFonts w:hint="eastAsia" w:ascii="仿宋_GB2312" w:hAnsi="仿宋" w:eastAsia="仿宋_GB2312" w:cs="仿宋_GB2312"/>
          <w:sz w:val="32"/>
          <w:szCs w:val="32"/>
        </w:rPr>
      </w:pPr>
      <w:r>
        <w:rPr>
          <w:rFonts w:hint="eastAsia" w:ascii="仿宋" w:hAnsi="仿宋" w:eastAsia="仿宋"/>
          <w:sz w:val="30"/>
          <w:szCs w:val="30"/>
        </w:rPr>
        <w:t>3．本年收入结构分析：本年收入</w:t>
      </w:r>
      <w:r>
        <w:rPr>
          <w:rFonts w:hint="eastAsia" w:ascii="仿宋" w:hAnsi="仿宋" w:eastAsia="仿宋"/>
          <w:sz w:val="30"/>
          <w:szCs w:val="30"/>
          <w:lang w:val="en-US" w:eastAsia="zh-CN"/>
        </w:rPr>
        <w:t>746.69</w:t>
      </w:r>
      <w:r>
        <w:rPr>
          <w:rFonts w:hint="eastAsia" w:ascii="仿宋" w:hAnsi="仿宋" w:eastAsia="仿宋"/>
          <w:sz w:val="30"/>
          <w:szCs w:val="30"/>
        </w:rPr>
        <w:t>万元，其中财政拨款收入</w:t>
      </w:r>
      <w:r>
        <w:rPr>
          <w:rFonts w:hint="eastAsia" w:ascii="仿宋" w:hAnsi="仿宋" w:eastAsia="仿宋"/>
          <w:sz w:val="30"/>
          <w:szCs w:val="30"/>
          <w:lang w:val="en-US" w:eastAsia="zh-CN"/>
        </w:rPr>
        <w:t>746.69</w:t>
      </w:r>
      <w:r>
        <w:rPr>
          <w:rFonts w:hint="eastAsia" w:ascii="仿宋" w:hAnsi="仿宋" w:eastAsia="仿宋"/>
          <w:sz w:val="30"/>
          <w:szCs w:val="30"/>
        </w:rPr>
        <w:t>万元，占本年收入的100%。</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1．支出与预算对比分析：本年预算支出</w:t>
      </w:r>
      <w:r>
        <w:rPr>
          <w:rFonts w:hint="eastAsia" w:ascii="仿宋" w:hAnsi="仿宋" w:eastAsia="仿宋"/>
          <w:sz w:val="30"/>
          <w:szCs w:val="30"/>
          <w:lang w:val="en-US" w:eastAsia="zh-CN"/>
        </w:rPr>
        <w:t>522.5</w:t>
      </w:r>
      <w:r>
        <w:rPr>
          <w:rFonts w:hint="eastAsia" w:ascii="仿宋" w:hAnsi="仿宋" w:eastAsia="仿宋"/>
          <w:sz w:val="30"/>
          <w:szCs w:val="30"/>
        </w:rPr>
        <w:t>万元，本年决算数支出</w:t>
      </w:r>
      <w:r>
        <w:rPr>
          <w:rFonts w:hint="eastAsia" w:ascii="仿宋" w:hAnsi="仿宋" w:eastAsia="仿宋"/>
          <w:sz w:val="30"/>
          <w:szCs w:val="30"/>
          <w:lang w:val="en-US" w:eastAsia="zh-CN"/>
        </w:rPr>
        <w:t>1032.19</w:t>
      </w:r>
      <w:r>
        <w:rPr>
          <w:rFonts w:hint="eastAsia" w:ascii="仿宋" w:hAnsi="仿宋" w:eastAsia="仿宋"/>
          <w:sz w:val="30"/>
          <w:szCs w:val="30"/>
        </w:rPr>
        <w:t>万元，本年实际支出比预算支出增加</w:t>
      </w:r>
      <w:r>
        <w:rPr>
          <w:rFonts w:hint="eastAsia" w:ascii="仿宋" w:hAnsi="仿宋" w:eastAsia="仿宋"/>
          <w:sz w:val="30"/>
          <w:szCs w:val="30"/>
          <w:lang w:val="en-US" w:eastAsia="zh-CN"/>
        </w:rPr>
        <w:t>509.69</w:t>
      </w:r>
      <w:r>
        <w:rPr>
          <w:rFonts w:hint="eastAsia" w:ascii="仿宋" w:hAnsi="仿宋" w:eastAsia="仿宋"/>
          <w:sz w:val="30"/>
          <w:szCs w:val="30"/>
        </w:rPr>
        <w:t>万元，差异率</w:t>
      </w:r>
      <w:r>
        <w:rPr>
          <w:rFonts w:hint="eastAsia" w:ascii="仿宋" w:hAnsi="仿宋" w:eastAsia="仿宋"/>
          <w:sz w:val="30"/>
          <w:szCs w:val="30"/>
          <w:lang w:val="en-US" w:eastAsia="zh-CN"/>
        </w:rPr>
        <w:t>49.38</w:t>
      </w:r>
      <w:r>
        <w:rPr>
          <w:rFonts w:hint="eastAsia" w:ascii="仿宋" w:hAnsi="仿宋" w:eastAsia="仿宋"/>
          <w:sz w:val="30"/>
          <w:szCs w:val="30"/>
        </w:rPr>
        <w:t>%。实际支出增加主要原因</w:t>
      </w:r>
      <w:r>
        <w:rPr>
          <w:rFonts w:hint="eastAsia" w:ascii="仿宋" w:hAnsi="仿宋" w:eastAsia="仿宋"/>
          <w:sz w:val="30"/>
          <w:szCs w:val="30"/>
          <w:lang w:eastAsia="zh-CN"/>
        </w:rPr>
        <w:t>：</w:t>
      </w:r>
      <w:r>
        <w:rPr>
          <w:rFonts w:hint="eastAsia" w:ascii="仿宋" w:hAnsi="仿宋" w:eastAsia="仿宋"/>
          <w:sz w:val="30"/>
          <w:szCs w:val="30"/>
        </w:rPr>
        <w:t>本年调资</w:t>
      </w:r>
      <w:r>
        <w:rPr>
          <w:rFonts w:hint="eastAsia" w:ascii="仿宋" w:hAnsi="仿宋" w:eastAsia="仿宋"/>
          <w:sz w:val="30"/>
          <w:szCs w:val="30"/>
          <w:lang w:eastAsia="zh-CN"/>
        </w:rPr>
        <w:t>、社保金及住房公积金基数提高，使本年支出较预算上升，</w:t>
      </w:r>
      <w:r>
        <w:rPr>
          <w:rFonts w:hint="eastAsia" w:ascii="仿宋_GB2312" w:hAnsi="仿宋" w:eastAsia="仿宋_GB2312"/>
          <w:sz w:val="30"/>
          <w:szCs w:val="30"/>
        </w:rPr>
        <w:t>本年加快支付进度，加快上年度结余结转的项目资金的支付</w:t>
      </w:r>
      <w:r>
        <w:rPr>
          <w:rFonts w:hint="eastAsia" w:ascii="仿宋" w:hAnsi="仿宋" w:eastAsia="仿宋"/>
          <w:sz w:val="30"/>
          <w:szCs w:val="30"/>
        </w:rPr>
        <w:t>。</w:t>
      </w:r>
    </w:p>
    <w:p>
      <w:pPr>
        <w:snapToGrid w:val="0"/>
        <w:spacing w:line="360" w:lineRule="auto"/>
        <w:ind w:firstLine="630"/>
        <w:jc w:val="left"/>
        <w:rPr>
          <w:rFonts w:hint="eastAsia" w:ascii="仿宋" w:hAnsi="仿宋" w:eastAsia="仿宋"/>
          <w:sz w:val="30"/>
          <w:szCs w:val="30"/>
        </w:rPr>
      </w:pPr>
      <w:r>
        <w:rPr>
          <w:rFonts w:hint="eastAsia" w:ascii="仿宋" w:hAnsi="仿宋" w:eastAsia="仿宋"/>
          <w:sz w:val="30"/>
          <w:szCs w:val="30"/>
        </w:rPr>
        <w:t>2．本年支出与上年支出的对比分析: 本年度实际支出</w:t>
      </w:r>
      <w:r>
        <w:rPr>
          <w:rFonts w:hint="eastAsia" w:ascii="仿宋" w:hAnsi="仿宋" w:eastAsia="仿宋"/>
          <w:sz w:val="30"/>
          <w:szCs w:val="30"/>
          <w:lang w:val="en-US" w:eastAsia="zh-CN"/>
        </w:rPr>
        <w:t>1032.19</w:t>
      </w:r>
      <w:r>
        <w:rPr>
          <w:rFonts w:hint="eastAsia" w:ascii="仿宋" w:hAnsi="仿宋" w:eastAsia="仿宋"/>
          <w:sz w:val="30"/>
          <w:szCs w:val="30"/>
        </w:rPr>
        <w:t>万元比上年度</w:t>
      </w:r>
      <w:r>
        <w:rPr>
          <w:rFonts w:hint="eastAsia" w:ascii="仿宋" w:hAnsi="仿宋" w:eastAsia="仿宋"/>
          <w:sz w:val="30"/>
          <w:szCs w:val="30"/>
          <w:lang w:val="en-US" w:eastAsia="zh-CN"/>
        </w:rPr>
        <w:t>598.83</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433.36</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rPr>
        <w:t>率</w:t>
      </w:r>
      <w:r>
        <w:rPr>
          <w:rFonts w:hint="eastAsia" w:ascii="仿宋" w:hAnsi="仿宋" w:eastAsia="仿宋"/>
          <w:sz w:val="30"/>
          <w:szCs w:val="30"/>
          <w:lang w:val="en-US" w:eastAsia="zh-CN"/>
        </w:rPr>
        <w:t>41.98</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差异原因主要是因为本年调资</w:t>
      </w:r>
      <w:r>
        <w:rPr>
          <w:rFonts w:hint="eastAsia" w:ascii="仿宋" w:hAnsi="仿宋" w:eastAsia="仿宋"/>
          <w:sz w:val="30"/>
          <w:szCs w:val="30"/>
          <w:lang w:eastAsia="zh-CN"/>
        </w:rPr>
        <w:t>、社保金及住房公积金基数提高，使本年支出较预算上升，</w:t>
      </w:r>
      <w:r>
        <w:rPr>
          <w:rFonts w:hint="eastAsia" w:ascii="仿宋_GB2312" w:hAnsi="仿宋" w:eastAsia="仿宋_GB2312"/>
          <w:sz w:val="30"/>
          <w:szCs w:val="30"/>
        </w:rPr>
        <w:t>本年加快支付进度，加快上年度结余结转的项目资金的支付</w:t>
      </w:r>
      <w:r>
        <w:rPr>
          <w:rFonts w:hint="eastAsia" w:ascii="仿宋" w:hAnsi="仿宋" w:eastAsia="仿宋"/>
          <w:sz w:val="30"/>
          <w:szCs w:val="30"/>
        </w:rPr>
        <w:t>。</w:t>
      </w:r>
    </w:p>
    <w:p>
      <w:pPr>
        <w:spacing w:line="580" w:lineRule="exact"/>
        <w:ind w:firstLine="600" w:firstLineChars="200"/>
        <w:rPr>
          <w:rFonts w:hint="eastAsia" w:ascii="仿宋_GB2312" w:hAnsi="仿宋" w:eastAsia="仿宋_GB2312" w:cs="仿宋_GB2312"/>
          <w:sz w:val="32"/>
          <w:szCs w:val="32"/>
        </w:rPr>
      </w:pPr>
      <w:r>
        <w:rPr>
          <w:rFonts w:hint="eastAsia" w:ascii="仿宋" w:hAnsi="仿宋" w:eastAsia="仿宋"/>
          <w:sz w:val="30"/>
          <w:szCs w:val="30"/>
        </w:rPr>
        <w:t>3.本年支出结构分析: 本年支出</w:t>
      </w:r>
      <w:r>
        <w:rPr>
          <w:rFonts w:hint="eastAsia" w:ascii="仿宋" w:hAnsi="仿宋" w:eastAsia="仿宋"/>
          <w:sz w:val="30"/>
          <w:szCs w:val="30"/>
          <w:lang w:val="en-US" w:eastAsia="zh-CN"/>
        </w:rPr>
        <w:t>1032.19</w:t>
      </w:r>
      <w:r>
        <w:rPr>
          <w:rFonts w:hint="eastAsia" w:ascii="仿宋" w:hAnsi="仿宋" w:eastAsia="仿宋"/>
          <w:sz w:val="30"/>
          <w:szCs w:val="30"/>
        </w:rPr>
        <w:t>万元，按资金来源分析：其中财政拨款支出</w:t>
      </w:r>
      <w:r>
        <w:rPr>
          <w:rFonts w:hint="eastAsia" w:ascii="仿宋" w:hAnsi="仿宋" w:eastAsia="仿宋"/>
          <w:sz w:val="30"/>
          <w:szCs w:val="30"/>
          <w:lang w:val="en-US" w:eastAsia="zh-CN"/>
        </w:rPr>
        <w:t>1.32.19</w:t>
      </w:r>
      <w:r>
        <w:rPr>
          <w:rFonts w:hint="eastAsia" w:ascii="仿宋" w:hAnsi="仿宋" w:eastAsia="仿宋"/>
          <w:sz w:val="30"/>
          <w:szCs w:val="30"/>
        </w:rPr>
        <w:t>万元，占本年总支出的100%，按支出性质分析：基本支出</w:t>
      </w:r>
      <w:r>
        <w:rPr>
          <w:rFonts w:hint="eastAsia" w:ascii="仿宋" w:hAnsi="仿宋" w:eastAsia="仿宋"/>
          <w:sz w:val="30"/>
          <w:szCs w:val="30"/>
          <w:lang w:val="en-US" w:eastAsia="zh-CN"/>
        </w:rPr>
        <w:t>546.14</w:t>
      </w:r>
      <w:r>
        <w:rPr>
          <w:rFonts w:hint="eastAsia" w:ascii="仿宋" w:hAnsi="仿宋" w:eastAsia="仿宋"/>
          <w:sz w:val="30"/>
          <w:szCs w:val="30"/>
        </w:rPr>
        <w:t>万元，占本年总支出的</w:t>
      </w:r>
      <w:r>
        <w:rPr>
          <w:rFonts w:hint="eastAsia" w:ascii="仿宋" w:hAnsi="仿宋" w:eastAsia="仿宋"/>
          <w:sz w:val="30"/>
          <w:szCs w:val="30"/>
          <w:lang w:val="en-US" w:eastAsia="zh-CN"/>
        </w:rPr>
        <w:t>53</w:t>
      </w:r>
      <w:r>
        <w:rPr>
          <w:rFonts w:hint="eastAsia" w:ascii="仿宋" w:hAnsi="仿宋" w:eastAsia="仿宋"/>
          <w:sz w:val="30"/>
          <w:szCs w:val="30"/>
        </w:rPr>
        <w:t>%</w:t>
      </w:r>
      <w:r>
        <w:rPr>
          <w:rFonts w:hint="eastAsia" w:ascii="仿宋" w:hAnsi="仿宋" w:eastAsia="仿宋"/>
          <w:sz w:val="30"/>
          <w:szCs w:val="30"/>
          <w:lang w:eastAsia="zh-CN"/>
        </w:rPr>
        <w:t>，项目支出</w:t>
      </w:r>
      <w:r>
        <w:rPr>
          <w:rFonts w:hint="eastAsia" w:ascii="仿宋" w:hAnsi="仿宋" w:eastAsia="仿宋"/>
          <w:sz w:val="30"/>
          <w:szCs w:val="30"/>
          <w:lang w:val="en-US" w:eastAsia="zh-CN"/>
        </w:rPr>
        <w:t>486.05万元，</w:t>
      </w:r>
      <w:r>
        <w:rPr>
          <w:rFonts w:hint="eastAsia" w:ascii="仿宋" w:hAnsi="仿宋" w:eastAsia="仿宋"/>
          <w:sz w:val="30"/>
          <w:szCs w:val="30"/>
        </w:rPr>
        <w:t>占本年总支出的</w:t>
      </w:r>
      <w:r>
        <w:rPr>
          <w:rFonts w:hint="eastAsia" w:ascii="仿宋" w:hAnsi="仿宋" w:eastAsia="仿宋"/>
          <w:sz w:val="30"/>
          <w:szCs w:val="30"/>
          <w:lang w:val="en-US" w:eastAsia="zh-CN"/>
        </w:rPr>
        <w:t>47</w:t>
      </w:r>
      <w:r>
        <w:rPr>
          <w:rFonts w:hint="eastAsia" w:ascii="仿宋" w:hAnsi="仿宋" w:eastAsia="仿宋"/>
          <w:sz w:val="30"/>
          <w:szCs w:val="30"/>
        </w:rPr>
        <w:t>%</w:t>
      </w:r>
      <w:r>
        <w:rPr>
          <w:rFonts w:hint="eastAsia" w:ascii="仿宋" w:hAnsi="仿宋" w:eastAsia="仿宋"/>
          <w:sz w:val="30"/>
          <w:szCs w:val="30"/>
          <w:lang w:val="en-US" w:eastAsia="zh-CN"/>
        </w:rPr>
        <w:t>，</w:t>
      </w:r>
      <w:r>
        <w:rPr>
          <w:rFonts w:hint="eastAsia" w:ascii="仿宋" w:hAnsi="仿宋" w:eastAsia="仿宋"/>
          <w:sz w:val="30"/>
          <w:szCs w:val="30"/>
        </w:rPr>
        <w:t>按支出经济分类：工资福利支出</w:t>
      </w:r>
      <w:r>
        <w:rPr>
          <w:rFonts w:hint="eastAsia" w:ascii="仿宋" w:hAnsi="仿宋" w:eastAsia="仿宋"/>
          <w:sz w:val="30"/>
          <w:szCs w:val="30"/>
          <w:lang w:val="en-US" w:eastAsia="zh-CN"/>
        </w:rPr>
        <w:t>406.63</w:t>
      </w:r>
      <w:r>
        <w:rPr>
          <w:rFonts w:hint="eastAsia" w:ascii="仿宋" w:hAnsi="仿宋" w:eastAsia="仿宋"/>
          <w:sz w:val="30"/>
          <w:szCs w:val="30"/>
        </w:rPr>
        <w:t>万元，占本年支出</w:t>
      </w:r>
      <w:r>
        <w:rPr>
          <w:rFonts w:hint="eastAsia" w:ascii="仿宋" w:hAnsi="仿宋" w:eastAsia="仿宋"/>
          <w:sz w:val="30"/>
          <w:szCs w:val="30"/>
          <w:lang w:val="en-US" w:eastAsia="zh-CN"/>
        </w:rPr>
        <w:t>39.39</w:t>
      </w:r>
      <w:r>
        <w:rPr>
          <w:rFonts w:hint="eastAsia" w:ascii="仿宋" w:hAnsi="仿宋" w:eastAsia="仿宋"/>
          <w:sz w:val="30"/>
          <w:szCs w:val="30"/>
        </w:rPr>
        <w:t>%，商品和服务支出</w:t>
      </w:r>
      <w:r>
        <w:rPr>
          <w:rFonts w:hint="eastAsia" w:ascii="仿宋" w:hAnsi="仿宋" w:eastAsia="仿宋"/>
          <w:sz w:val="30"/>
          <w:szCs w:val="30"/>
          <w:lang w:val="en-US" w:eastAsia="zh-CN"/>
        </w:rPr>
        <w:t>212.36</w:t>
      </w:r>
      <w:r>
        <w:rPr>
          <w:rFonts w:hint="eastAsia" w:ascii="仿宋" w:hAnsi="仿宋" w:eastAsia="仿宋"/>
          <w:sz w:val="30"/>
          <w:szCs w:val="30"/>
        </w:rPr>
        <w:t>万元，占本年支出</w:t>
      </w:r>
      <w:r>
        <w:rPr>
          <w:rFonts w:hint="eastAsia" w:ascii="仿宋" w:hAnsi="仿宋" w:eastAsia="仿宋"/>
          <w:sz w:val="30"/>
          <w:szCs w:val="30"/>
          <w:lang w:val="en-US" w:eastAsia="zh-CN"/>
        </w:rPr>
        <w:t>20.57</w:t>
      </w:r>
      <w:r>
        <w:rPr>
          <w:rFonts w:hint="eastAsia" w:ascii="仿宋" w:hAnsi="仿宋" w:eastAsia="仿宋"/>
          <w:sz w:val="30"/>
          <w:szCs w:val="30"/>
        </w:rPr>
        <w:t>%，对个人和家庭的补助</w:t>
      </w:r>
      <w:r>
        <w:rPr>
          <w:rFonts w:hint="eastAsia" w:ascii="仿宋" w:hAnsi="仿宋" w:eastAsia="仿宋"/>
          <w:sz w:val="30"/>
          <w:szCs w:val="30"/>
          <w:lang w:val="en-US" w:eastAsia="zh-CN"/>
        </w:rPr>
        <w:t>127.71</w:t>
      </w:r>
      <w:r>
        <w:rPr>
          <w:rFonts w:hint="eastAsia" w:ascii="仿宋" w:hAnsi="仿宋" w:eastAsia="仿宋"/>
          <w:sz w:val="30"/>
          <w:szCs w:val="30"/>
        </w:rPr>
        <w:t>万元，占本年支</w:t>
      </w:r>
      <w:r>
        <w:rPr>
          <w:rFonts w:hint="eastAsia" w:ascii="仿宋" w:hAnsi="仿宋" w:eastAsia="仿宋"/>
          <w:sz w:val="30"/>
          <w:szCs w:val="30"/>
          <w:lang w:eastAsia="zh-CN"/>
        </w:rPr>
        <w:t>出</w:t>
      </w:r>
      <w:r>
        <w:rPr>
          <w:rFonts w:hint="eastAsia" w:ascii="仿宋" w:hAnsi="仿宋" w:eastAsia="仿宋"/>
          <w:sz w:val="30"/>
          <w:szCs w:val="30"/>
          <w:lang w:val="en-US" w:eastAsia="zh-CN"/>
        </w:rPr>
        <w:t>12.37</w:t>
      </w:r>
      <w:r>
        <w:rPr>
          <w:rFonts w:hint="eastAsia" w:ascii="仿宋" w:hAnsi="仿宋" w:eastAsia="仿宋"/>
          <w:sz w:val="30"/>
          <w:szCs w:val="30"/>
        </w:rPr>
        <w:t>%</w:t>
      </w:r>
      <w:r>
        <w:rPr>
          <w:rFonts w:hint="eastAsia" w:ascii="仿宋" w:hAnsi="仿宋" w:eastAsia="仿宋"/>
          <w:sz w:val="30"/>
          <w:szCs w:val="30"/>
          <w:lang w:eastAsia="zh-CN"/>
        </w:rPr>
        <w:t>，资本性支出</w:t>
      </w:r>
      <w:r>
        <w:rPr>
          <w:rFonts w:hint="eastAsia" w:ascii="仿宋" w:hAnsi="仿宋" w:eastAsia="仿宋"/>
          <w:sz w:val="30"/>
          <w:szCs w:val="30"/>
          <w:lang w:val="en-US" w:eastAsia="zh-CN"/>
        </w:rPr>
        <w:t>285.5万元，占本年支出27.66%</w:t>
      </w:r>
      <w:r>
        <w:rPr>
          <w:rFonts w:hint="eastAsia" w:ascii="仿宋" w:hAnsi="仿宋" w:eastAsia="仿宋"/>
          <w:sz w:val="30"/>
          <w:szCs w:val="30"/>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00" w:firstLineChars="200"/>
        <w:rPr>
          <w:rFonts w:ascii="仿宋_GB2312" w:hAnsi="仿宋" w:eastAsia="仿宋_GB2312" w:cs="仿宋_GB2312"/>
          <w:sz w:val="30"/>
          <w:szCs w:val="30"/>
        </w:rPr>
      </w:pPr>
      <w:r>
        <w:rPr>
          <w:rFonts w:hint="eastAsia" w:ascii="仿宋" w:hAnsi="仿宋" w:eastAsia="仿宋"/>
          <w:color w:val="000000"/>
          <w:sz w:val="30"/>
          <w:szCs w:val="30"/>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 w:hAnsi="仿宋" w:eastAsia="仿宋"/>
          <w:sz w:val="30"/>
          <w:szCs w:val="30"/>
        </w:rPr>
        <w:t>本单位201</w:t>
      </w:r>
      <w:r>
        <w:rPr>
          <w:rFonts w:hint="eastAsia" w:ascii="仿宋" w:hAnsi="仿宋" w:eastAsia="仿宋"/>
          <w:sz w:val="30"/>
          <w:szCs w:val="30"/>
          <w:lang w:val="en-US" w:eastAsia="zh-CN"/>
        </w:rPr>
        <w:t>9</w:t>
      </w:r>
      <w:r>
        <w:rPr>
          <w:rFonts w:hint="eastAsia" w:ascii="仿宋" w:hAnsi="仿宋" w:eastAsia="仿宋"/>
          <w:sz w:val="30"/>
          <w:szCs w:val="30"/>
        </w:rPr>
        <w:t>年年初预算安排收入</w:t>
      </w:r>
      <w:r>
        <w:rPr>
          <w:rFonts w:hint="eastAsia" w:ascii="仿宋" w:hAnsi="仿宋" w:eastAsia="仿宋"/>
          <w:sz w:val="30"/>
          <w:szCs w:val="30"/>
          <w:lang w:val="en-US" w:eastAsia="zh-CN"/>
        </w:rPr>
        <w:t>522.5</w:t>
      </w:r>
      <w:r>
        <w:rPr>
          <w:rFonts w:hint="eastAsia" w:ascii="仿宋" w:hAnsi="仿宋" w:eastAsia="仿宋"/>
          <w:sz w:val="30"/>
          <w:szCs w:val="30"/>
        </w:rPr>
        <w:t>万元, 本年预算支出</w:t>
      </w:r>
      <w:r>
        <w:rPr>
          <w:rFonts w:hint="eastAsia" w:ascii="仿宋" w:hAnsi="仿宋" w:eastAsia="仿宋"/>
          <w:sz w:val="30"/>
          <w:szCs w:val="30"/>
          <w:lang w:val="en-US" w:eastAsia="zh-CN"/>
        </w:rPr>
        <w:t>522.5</w:t>
      </w:r>
      <w:r>
        <w:rPr>
          <w:rFonts w:hint="eastAsia" w:ascii="仿宋" w:hAnsi="仿宋" w:eastAsia="仿宋"/>
          <w:sz w:val="30"/>
          <w:szCs w:val="30"/>
        </w:rPr>
        <w:t>万元。</w:t>
      </w:r>
    </w:p>
    <w:p>
      <w:pPr>
        <w:pStyle w:val="6"/>
        <w:shd w:val="clear" w:color="auto" w:fill="FFFFFF"/>
        <w:spacing w:before="0" w:beforeAutospacing="0" w:after="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（二）执行管理情况</w:t>
      </w:r>
    </w:p>
    <w:p>
      <w:pPr>
        <w:spacing w:line="580" w:lineRule="exact"/>
        <w:ind w:firstLine="640" w:firstLineChars="200"/>
        <w:rPr>
          <w:rFonts w:hint="eastAsia" w:ascii="仿宋_GB2312" w:hAnsi="仿宋" w:eastAsia="仿宋_GB2312" w:cs="仿宋_GB2312"/>
          <w:sz w:val="32"/>
          <w:szCs w:val="32"/>
        </w:rPr>
      </w:pPr>
      <w:r>
        <w:rPr>
          <w:rFonts w:hint="eastAsia" w:ascii="仿宋" w:hAnsi="仿宋" w:eastAsia="仿宋"/>
          <w:color w:val="000000"/>
          <w:sz w:val="32"/>
          <w:szCs w:val="32"/>
        </w:rPr>
        <w:t>　　严格执行“厉行节约、反对浪费”的规定，严格控制“三公”经费支出，加强公务用车管理，努力降低燃修费用，“三公”经费较上年有所下降。</w:t>
      </w:r>
      <w:r>
        <w:rPr>
          <w:rFonts w:hint="eastAsia" w:ascii="仿宋" w:hAnsi="仿宋" w:eastAsia="仿宋"/>
          <w:sz w:val="32"/>
          <w:szCs w:val="32"/>
        </w:rPr>
        <w:t>本年支出</w:t>
      </w:r>
      <w:r>
        <w:rPr>
          <w:rFonts w:hint="eastAsia" w:ascii="仿宋" w:hAnsi="仿宋" w:eastAsia="仿宋"/>
          <w:sz w:val="32"/>
          <w:szCs w:val="32"/>
          <w:lang w:val="en-US" w:eastAsia="zh-CN"/>
        </w:rPr>
        <w:t>105.24</w:t>
      </w:r>
      <w:r>
        <w:rPr>
          <w:rFonts w:hint="eastAsia" w:ascii="仿宋" w:hAnsi="仿宋" w:eastAsia="仿宋"/>
          <w:sz w:val="32"/>
          <w:szCs w:val="32"/>
        </w:rPr>
        <w:t>万元，按支出性质分析：</w:t>
      </w:r>
      <w:r>
        <w:rPr>
          <w:rFonts w:hint="eastAsia" w:ascii="仿宋" w:hAnsi="仿宋" w:eastAsia="仿宋"/>
          <w:sz w:val="30"/>
          <w:szCs w:val="30"/>
        </w:rPr>
        <w:t>基本支出</w:t>
      </w:r>
      <w:r>
        <w:rPr>
          <w:rFonts w:hint="eastAsia" w:ascii="仿宋" w:hAnsi="仿宋" w:eastAsia="仿宋"/>
          <w:sz w:val="30"/>
          <w:szCs w:val="30"/>
          <w:lang w:val="en-US" w:eastAsia="zh-CN"/>
        </w:rPr>
        <w:t>546.14</w:t>
      </w:r>
      <w:r>
        <w:rPr>
          <w:rFonts w:hint="eastAsia" w:ascii="仿宋" w:hAnsi="仿宋" w:eastAsia="仿宋"/>
          <w:sz w:val="30"/>
          <w:szCs w:val="30"/>
        </w:rPr>
        <w:t>万元，占本年总支出的</w:t>
      </w:r>
      <w:r>
        <w:rPr>
          <w:rFonts w:hint="eastAsia" w:ascii="仿宋" w:hAnsi="仿宋" w:eastAsia="仿宋"/>
          <w:sz w:val="30"/>
          <w:szCs w:val="30"/>
          <w:lang w:val="en-US" w:eastAsia="zh-CN"/>
        </w:rPr>
        <w:t>53</w:t>
      </w:r>
      <w:r>
        <w:rPr>
          <w:rFonts w:hint="eastAsia" w:ascii="仿宋" w:hAnsi="仿宋" w:eastAsia="仿宋"/>
          <w:sz w:val="30"/>
          <w:szCs w:val="30"/>
        </w:rPr>
        <w:t>%</w:t>
      </w:r>
      <w:r>
        <w:rPr>
          <w:rFonts w:hint="eastAsia" w:ascii="仿宋" w:hAnsi="仿宋" w:eastAsia="仿宋"/>
          <w:sz w:val="30"/>
          <w:szCs w:val="30"/>
          <w:lang w:eastAsia="zh-CN"/>
        </w:rPr>
        <w:t>，项目支出</w:t>
      </w:r>
      <w:r>
        <w:rPr>
          <w:rFonts w:hint="eastAsia" w:ascii="仿宋" w:hAnsi="仿宋" w:eastAsia="仿宋"/>
          <w:sz w:val="30"/>
          <w:szCs w:val="30"/>
          <w:lang w:val="en-US" w:eastAsia="zh-CN"/>
        </w:rPr>
        <w:t>486.05万元，</w:t>
      </w:r>
      <w:r>
        <w:rPr>
          <w:rFonts w:hint="eastAsia" w:ascii="仿宋" w:hAnsi="仿宋" w:eastAsia="仿宋"/>
          <w:sz w:val="30"/>
          <w:szCs w:val="30"/>
        </w:rPr>
        <w:t>占本年总支出的</w:t>
      </w:r>
      <w:r>
        <w:rPr>
          <w:rFonts w:hint="eastAsia" w:ascii="仿宋" w:hAnsi="仿宋" w:eastAsia="仿宋"/>
          <w:sz w:val="30"/>
          <w:szCs w:val="30"/>
          <w:lang w:val="en-US" w:eastAsia="zh-CN"/>
        </w:rPr>
        <w:t>47</w:t>
      </w:r>
      <w:r>
        <w:rPr>
          <w:rFonts w:hint="eastAsia" w:ascii="仿宋" w:hAnsi="仿宋" w:eastAsia="仿宋"/>
          <w:sz w:val="30"/>
          <w:szCs w:val="30"/>
        </w:rPr>
        <w:t>%</w:t>
      </w:r>
      <w:r>
        <w:rPr>
          <w:rFonts w:hint="eastAsia" w:ascii="仿宋" w:hAnsi="仿宋" w:eastAsia="仿宋"/>
          <w:sz w:val="30"/>
          <w:szCs w:val="30"/>
          <w:lang w:val="en-US" w:eastAsia="zh-CN"/>
        </w:rPr>
        <w:t>，</w:t>
      </w:r>
      <w:r>
        <w:rPr>
          <w:rFonts w:hint="eastAsia" w:ascii="仿宋" w:hAnsi="仿宋" w:eastAsia="仿宋"/>
          <w:sz w:val="30"/>
          <w:szCs w:val="30"/>
        </w:rPr>
        <w:t>按支出经济分类：工资福利支出</w:t>
      </w:r>
      <w:r>
        <w:rPr>
          <w:rFonts w:hint="eastAsia" w:ascii="仿宋" w:hAnsi="仿宋" w:eastAsia="仿宋"/>
          <w:sz w:val="30"/>
          <w:szCs w:val="30"/>
          <w:lang w:val="en-US" w:eastAsia="zh-CN"/>
        </w:rPr>
        <w:t>406.63</w:t>
      </w:r>
      <w:r>
        <w:rPr>
          <w:rFonts w:hint="eastAsia" w:ascii="仿宋" w:hAnsi="仿宋" w:eastAsia="仿宋"/>
          <w:sz w:val="30"/>
          <w:szCs w:val="30"/>
        </w:rPr>
        <w:t>万元，占本年支出</w:t>
      </w:r>
      <w:r>
        <w:rPr>
          <w:rFonts w:hint="eastAsia" w:ascii="仿宋" w:hAnsi="仿宋" w:eastAsia="仿宋"/>
          <w:sz w:val="30"/>
          <w:szCs w:val="30"/>
          <w:lang w:val="en-US" w:eastAsia="zh-CN"/>
        </w:rPr>
        <w:t>39.39</w:t>
      </w:r>
      <w:r>
        <w:rPr>
          <w:rFonts w:hint="eastAsia" w:ascii="仿宋" w:hAnsi="仿宋" w:eastAsia="仿宋"/>
          <w:sz w:val="30"/>
          <w:szCs w:val="30"/>
        </w:rPr>
        <w:t>%，商品和服务支出</w:t>
      </w:r>
      <w:r>
        <w:rPr>
          <w:rFonts w:hint="eastAsia" w:ascii="仿宋" w:hAnsi="仿宋" w:eastAsia="仿宋"/>
          <w:sz w:val="30"/>
          <w:szCs w:val="30"/>
          <w:lang w:val="en-US" w:eastAsia="zh-CN"/>
        </w:rPr>
        <w:t>212.36</w:t>
      </w:r>
      <w:r>
        <w:rPr>
          <w:rFonts w:hint="eastAsia" w:ascii="仿宋" w:hAnsi="仿宋" w:eastAsia="仿宋"/>
          <w:sz w:val="30"/>
          <w:szCs w:val="30"/>
        </w:rPr>
        <w:t>万元，占本年支出</w:t>
      </w:r>
      <w:r>
        <w:rPr>
          <w:rFonts w:hint="eastAsia" w:ascii="仿宋" w:hAnsi="仿宋" w:eastAsia="仿宋"/>
          <w:sz w:val="30"/>
          <w:szCs w:val="30"/>
          <w:lang w:val="en-US" w:eastAsia="zh-CN"/>
        </w:rPr>
        <w:t>20.57</w:t>
      </w:r>
      <w:r>
        <w:rPr>
          <w:rFonts w:hint="eastAsia" w:ascii="仿宋" w:hAnsi="仿宋" w:eastAsia="仿宋"/>
          <w:sz w:val="30"/>
          <w:szCs w:val="30"/>
        </w:rPr>
        <w:t>%，对个人和家庭的补助</w:t>
      </w:r>
      <w:r>
        <w:rPr>
          <w:rFonts w:hint="eastAsia" w:ascii="仿宋" w:hAnsi="仿宋" w:eastAsia="仿宋"/>
          <w:sz w:val="30"/>
          <w:szCs w:val="30"/>
          <w:lang w:val="en-US" w:eastAsia="zh-CN"/>
        </w:rPr>
        <w:t>127.71</w:t>
      </w:r>
      <w:r>
        <w:rPr>
          <w:rFonts w:hint="eastAsia" w:ascii="仿宋" w:hAnsi="仿宋" w:eastAsia="仿宋"/>
          <w:sz w:val="30"/>
          <w:szCs w:val="30"/>
        </w:rPr>
        <w:t>万元，占本年支</w:t>
      </w:r>
      <w:r>
        <w:rPr>
          <w:rFonts w:hint="eastAsia" w:ascii="仿宋" w:hAnsi="仿宋" w:eastAsia="仿宋"/>
          <w:sz w:val="30"/>
          <w:szCs w:val="30"/>
          <w:lang w:eastAsia="zh-CN"/>
        </w:rPr>
        <w:t>出</w:t>
      </w:r>
      <w:r>
        <w:rPr>
          <w:rFonts w:hint="eastAsia" w:ascii="仿宋" w:hAnsi="仿宋" w:eastAsia="仿宋"/>
          <w:sz w:val="30"/>
          <w:szCs w:val="30"/>
          <w:lang w:val="en-US" w:eastAsia="zh-CN"/>
        </w:rPr>
        <w:t>12.37</w:t>
      </w:r>
      <w:r>
        <w:rPr>
          <w:rFonts w:hint="eastAsia" w:ascii="仿宋" w:hAnsi="仿宋" w:eastAsia="仿宋"/>
          <w:sz w:val="30"/>
          <w:szCs w:val="30"/>
        </w:rPr>
        <w:t>%</w:t>
      </w:r>
      <w:r>
        <w:rPr>
          <w:rFonts w:hint="eastAsia" w:ascii="仿宋" w:hAnsi="仿宋" w:eastAsia="仿宋"/>
          <w:sz w:val="30"/>
          <w:szCs w:val="30"/>
          <w:lang w:eastAsia="zh-CN"/>
        </w:rPr>
        <w:t>，资本性支出</w:t>
      </w:r>
      <w:r>
        <w:rPr>
          <w:rFonts w:hint="eastAsia" w:ascii="仿宋" w:hAnsi="仿宋" w:eastAsia="仿宋"/>
          <w:sz w:val="30"/>
          <w:szCs w:val="30"/>
          <w:lang w:val="en-US" w:eastAsia="zh-CN"/>
        </w:rPr>
        <w:t>285.5万元，占本年支出27.66%</w:t>
      </w:r>
      <w:r>
        <w:rPr>
          <w:rFonts w:hint="eastAsia" w:ascii="仿宋" w:hAnsi="仿宋" w:eastAsia="仿宋"/>
          <w:sz w:val="30"/>
          <w:szCs w:val="30"/>
        </w:rPr>
        <w:t>。</w:t>
      </w:r>
    </w:p>
    <w:p>
      <w:pPr>
        <w:pStyle w:val="6"/>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　　（三）综合管理情况</w:t>
      </w:r>
      <w:r>
        <w:rPr>
          <w:rFonts w:hint="eastAsia" w:eastAsia="仿宋"/>
          <w:color w:val="000000"/>
          <w:sz w:val="32"/>
          <w:szCs w:val="32"/>
        </w:rPr>
        <w:t> </w:t>
      </w:r>
    </w:p>
    <w:p>
      <w:pPr>
        <w:snapToGrid w:val="0"/>
        <w:spacing w:line="360" w:lineRule="auto"/>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6"/>
        <w:shd w:val="clear" w:color="auto" w:fill="FFFFFF"/>
        <w:spacing w:before="0" w:beforeAutospacing="0" w:after="0" w:afterAutospacing="0" w:line="360" w:lineRule="auto"/>
        <w:rPr>
          <w:rFonts w:hint="eastAsia" w:ascii="仿宋" w:hAnsi="仿宋" w:eastAsia="仿宋"/>
          <w:color w:val="000000"/>
          <w:sz w:val="32"/>
          <w:szCs w:val="32"/>
        </w:rPr>
      </w:pPr>
      <w:r>
        <w:rPr>
          <w:rFonts w:hint="eastAsia" w:eastAsia="仿宋"/>
          <w:color w:val="000000"/>
          <w:sz w:val="32"/>
          <w:szCs w:val="32"/>
        </w:rPr>
        <w:t> </w:t>
      </w:r>
      <w:r>
        <w:rPr>
          <w:rFonts w:hint="eastAsia" w:ascii="仿宋" w:hAnsi="仿宋" w:eastAsia="仿宋"/>
          <w:color w:val="000000"/>
          <w:sz w:val="32"/>
          <w:szCs w:val="32"/>
        </w:rPr>
        <w:t xml:space="preserve">  （四）整体绩效</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预算支出在保障本局工作运转、履行职能职责上整体情况良好。具体有：201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按照国家政策法规规定，结合本部门的实际情况，建立健全了财务管理制度和约束机制，依法、有效地使用财政资金，提高财政资金使用效率，合理分配人、财、物，完成了部门职能目标，实现了较高的工作效率和支出绩效。</w:t>
      </w:r>
    </w:p>
    <w:p>
      <w:pPr>
        <w:spacing w:line="360" w:lineRule="auto"/>
        <w:ind w:firstLine="645"/>
        <w:jc w:val="left"/>
        <w:rPr>
          <w:rFonts w:hint="eastAsia" w:ascii="仿宋" w:hAnsi="仿宋" w:eastAsia="仿宋"/>
          <w:color w:val="000000"/>
          <w:sz w:val="30"/>
          <w:szCs w:val="30"/>
        </w:rPr>
      </w:pPr>
      <w:r>
        <w:rPr>
          <w:rFonts w:hint="eastAsia" w:ascii="仿宋" w:hAnsi="仿宋" w:eastAsia="仿宋"/>
          <w:color w:val="000000"/>
          <w:sz w:val="30"/>
          <w:szCs w:val="30"/>
        </w:rPr>
        <w:t>结合评价得分评价结果为良好。</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ind w:firstLine="600" w:firstLineChars="200"/>
        <w:rPr>
          <w:rFonts w:hint="eastAsia" w:ascii="仿宋" w:hAnsi="仿宋" w:eastAsia="仿宋" w:cs="仿宋"/>
          <w:lang w:val="zh-CN"/>
        </w:rPr>
      </w:pPr>
      <w:r>
        <w:rPr>
          <w:rFonts w:hint="eastAsia" w:ascii="仿宋" w:hAnsi="仿宋" w:eastAsia="仿宋" w:cs="仿宋"/>
          <w:sz w:val="30"/>
          <w:szCs w:val="30"/>
        </w:rPr>
        <w:t>从绩效评价看，部门支出预算和绩效评价工作还存在部分项目无法用量化指标来进行考评的问题。</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numPr>
          <w:ilvl w:val="0"/>
          <w:numId w:val="0"/>
        </w:numPr>
        <w:spacing w:line="580" w:lineRule="exact"/>
        <w:ind w:leftChars="200"/>
        <w:rPr>
          <w:rFonts w:hint="eastAsia" w:ascii="仿宋_GB2312" w:hAnsi="仿宋" w:eastAsia="仿宋_GB2312" w:cs="仿宋_GB2312"/>
          <w:sz w:val="32"/>
          <w:szCs w:val="32"/>
        </w:rPr>
      </w:pPr>
      <w:r>
        <w:rPr>
          <w:rFonts w:hint="eastAsia" w:ascii="仿宋" w:hAnsi="仿宋" w:eastAsia="仿宋"/>
          <w:color w:val="000000"/>
          <w:sz w:val="32"/>
          <w:szCs w:val="32"/>
        </w:rPr>
        <w:t>　我们将进一步重视预算的编制工作，提高预算编制的精确度，提高财政资金使用效率，尽量减少预算执行调整、结转和结余注销的情形。</w:t>
      </w:r>
      <w:r>
        <w:rPr>
          <w:rFonts w:hint="eastAsia" w:eastAsia="仿宋"/>
          <w:color w:val="000000"/>
          <w:sz w:val="32"/>
          <w:szCs w:val="32"/>
        </w:rPr>
        <w:t> </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9062"/>
    <w:multiLevelType w:val="singleLevel"/>
    <w:tmpl w:val="B3ED9062"/>
    <w:lvl w:ilvl="0" w:tentative="0">
      <w:start w:val="2"/>
      <w:numFmt w:val="chineseCounting"/>
      <w:suff w:val="nothing"/>
      <w:lvlText w:val="（%1）"/>
      <w:lvlJc w:val="left"/>
      <w:rPr>
        <w:rFonts w:hint="eastAsia"/>
      </w:rPr>
    </w:lvl>
  </w:abstractNum>
  <w:abstractNum w:abstractNumId="1">
    <w:nsid w:val="399999C0"/>
    <w:multiLevelType w:val="singleLevel"/>
    <w:tmpl w:val="399999C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109406E4"/>
    <w:rsid w:val="2EE675B5"/>
    <w:rsid w:val="36435EC2"/>
    <w:rsid w:val="516B625C"/>
    <w:rsid w:val="59DD019E"/>
    <w:rsid w:val="65A5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99"/>
    <w:pPr>
      <w:spacing w:beforeLines="30"/>
    </w:pPr>
    <w:rPr>
      <w:rFonts w:ascii="仿宋_GB2312" w:eastAsia="仿宋_GB2312"/>
      <w:kern w:val="0"/>
      <w:sz w:val="3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customStyle="1" w:styleId="11">
    <w:name w:val="p0"/>
    <w:basedOn w:val="1"/>
    <w:qFormat/>
    <w:uiPriority w:val="0"/>
    <w:pPr>
      <w:widowControl/>
    </w:pPr>
    <w:rPr>
      <w:rFonts w:ascii="Calibri" w:hAnsi="Calibri" w:eastAsia="仿宋_GB2312" w:cs="Calibri"/>
      <w:kern w:val="0"/>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0</TotalTime>
  <ScaleCrop>false</ScaleCrop>
  <LinksUpToDate>false</LinksUpToDate>
  <CharactersWithSpaces>359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2020-09-15T08:37:54Z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