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3E4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outlineLvl w:val="0"/>
        <w:rPr>
          <w:rFonts w:hint="eastAsia" w:ascii="Times New Roman" w:hAnsi="Times New Roman" w:eastAsia="方正小标宋_GBK" w:cs="方正小标宋_GBK"/>
          <w:b w:val="0"/>
          <w:bCs/>
          <w:sz w:val="44"/>
          <w:szCs w:val="44"/>
          <w:lang w:val="en-US" w:eastAsia="zh-CN"/>
        </w:rPr>
      </w:pPr>
      <w:bookmarkStart w:id="0" w:name="_Toc15396616"/>
      <w:r>
        <w:rPr>
          <w:rFonts w:hint="eastAsia" w:ascii="Times New Roman" w:hAnsi="Times New Roman" w:eastAsia="方正小标宋_GBK" w:cs="方正小标宋_GBK"/>
          <w:b w:val="0"/>
          <w:bCs/>
          <w:sz w:val="44"/>
          <w:szCs w:val="44"/>
          <w:lang w:val="en-US" w:eastAsia="zh-CN"/>
        </w:rPr>
        <w:t>黑水县沙石多镇人民政府（行政及参公）</w:t>
      </w:r>
    </w:p>
    <w:p w14:paraId="791E6A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outlineLvl w:val="0"/>
        <w:rPr>
          <w:rFonts w:hint="eastAsia" w:ascii="Times New Roman" w:hAnsi="Times New Roman" w:eastAsia="方正小标宋_GBK" w:cs="方正小标宋_GBK"/>
          <w:b w:val="0"/>
          <w:bCs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b w:val="0"/>
          <w:bCs/>
          <w:sz w:val="44"/>
          <w:szCs w:val="44"/>
          <w:lang w:eastAsia="zh-CN"/>
        </w:rPr>
        <w:t>202</w:t>
      </w:r>
      <w:r>
        <w:rPr>
          <w:rFonts w:hint="eastAsia" w:ascii="Times New Roman" w:hAnsi="Times New Roman" w:eastAsia="方正小标宋_GBK" w:cs="方正小标宋_GBK"/>
          <w:b w:val="0"/>
          <w:bCs/>
          <w:sz w:val="44"/>
          <w:szCs w:val="44"/>
          <w:lang w:val="en-US" w:eastAsia="zh-CN"/>
        </w:rPr>
        <w:t>4</w:t>
      </w:r>
      <w:r>
        <w:rPr>
          <w:rFonts w:hint="eastAsia" w:ascii="Times New Roman" w:hAnsi="Times New Roman" w:eastAsia="方正小标宋_GBK" w:cs="方正小标宋_GBK"/>
          <w:b w:val="0"/>
          <w:bCs/>
          <w:sz w:val="44"/>
          <w:szCs w:val="44"/>
        </w:rPr>
        <w:t>年部门整体支出绩效评价报告</w:t>
      </w:r>
      <w:bookmarkEnd w:id="0"/>
    </w:p>
    <w:p w14:paraId="64C460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 w:cs="仿宋_GB2312"/>
          <w:b/>
          <w:sz w:val="32"/>
          <w:szCs w:val="32"/>
        </w:rPr>
      </w:pPr>
    </w:p>
    <w:p w14:paraId="581343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黑体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黑体" w:cs="黑体"/>
          <w:b w:val="0"/>
          <w:bCs w:val="0"/>
          <w:sz w:val="32"/>
          <w:szCs w:val="32"/>
        </w:rPr>
        <w:t>一、部门（单位）概况</w:t>
      </w:r>
    </w:p>
    <w:p w14:paraId="1BD16C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outlineLvl w:val="0"/>
        <w:rPr>
          <w:rFonts w:hint="eastAsia" w:ascii="Times New Roman" w:hAnsi="Times New Roman" w:eastAsia="楷体_GB2312" w:cs="楷体_GB2312"/>
          <w:b/>
          <w:kern w:val="0"/>
          <w:sz w:val="32"/>
          <w:szCs w:val="32"/>
        </w:rPr>
      </w:pPr>
      <w:r>
        <w:rPr>
          <w:rFonts w:hint="eastAsia" w:ascii="Times New Roman" w:hAnsi="Times New Roman" w:eastAsia="楷体_GB2312" w:cs="楷体_GB2312"/>
          <w:b/>
          <w:kern w:val="0"/>
          <w:sz w:val="32"/>
          <w:szCs w:val="32"/>
        </w:rPr>
        <w:t>（一）机构组成</w:t>
      </w:r>
    </w:p>
    <w:p w14:paraId="07A11CEC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黑水县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eastAsia="zh-CN"/>
        </w:rPr>
        <w:t>沙石多镇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人民政府，取得黑水县机构编制委员会办公室颁发的统一社会信用代码：11513228008943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val="en-US" w:eastAsia="zh-CN"/>
        </w:rPr>
        <w:t>10XG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，机构地址：四川省阿坝州黑水县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eastAsia="zh-CN"/>
        </w:rPr>
        <w:t>沙石多镇杨柳秋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村，法定代表人：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eastAsia="zh-CN"/>
        </w:rPr>
        <w:t>石孝磊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，机构性质：机关。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eastAsia="zh-CN"/>
        </w:rPr>
        <w:t>沙石多镇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属于乡财县管的乡镇，全镇共辖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个行政村。本单位内设行政机构6个：</w:t>
      </w:r>
    </w:p>
    <w:p w14:paraId="3E0DD04E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1.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党政综合办公室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，负责镇党委、人大主席团、政府、政协的日常事务性工作，机关各方面综合协调等工作。</w:t>
      </w:r>
    </w:p>
    <w:p w14:paraId="28BB5C92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2.党建工作办公室，负责基层党组织建设、流动党支部建设、党风廉政建设、反腐败、意识形态建设等工作。</w:t>
      </w:r>
    </w:p>
    <w:p w14:paraId="40F8640B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3.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应急管理和综合行政执法办公室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，负责公共事务综合管理，协调安全生产、自然灾害等工作。</w:t>
      </w:r>
    </w:p>
    <w:p w14:paraId="070D7AB2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4.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社会事务和社会治理办公室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，负责社会治安综合治理工作，组织开展人武、政法、统战、信访、稳定、民宗、群众、防邪和网格化管理等相关工作。</w:t>
      </w:r>
    </w:p>
    <w:p w14:paraId="409A914E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5.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经济发展和乡村振兴办公室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，负责参与拟定镇经济发展规划并组织实施，对辖区重大基础设施建设，重大公共服务资源布局，重大决策提出意见及建议，优化营商环境建设等工作。</w:t>
      </w:r>
    </w:p>
    <w:p w14:paraId="7443BA28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6.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生态环境和村镇管理办公室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，负责辖区内自然资源保护、生态环境保护等工作。</w:t>
      </w:r>
    </w:p>
    <w:p w14:paraId="43E84E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outlineLvl w:val="0"/>
        <w:rPr>
          <w:rFonts w:hint="eastAsia" w:ascii="Times New Roman" w:hAnsi="Times New Roman" w:eastAsia="楷体_GB2312" w:cs="楷体_GB2312"/>
          <w:b/>
          <w:kern w:val="0"/>
          <w:sz w:val="32"/>
          <w:szCs w:val="32"/>
        </w:rPr>
      </w:pPr>
      <w:r>
        <w:rPr>
          <w:rFonts w:hint="eastAsia" w:ascii="Times New Roman" w:hAnsi="Times New Roman" w:eastAsia="楷体_GB2312" w:cs="楷体_GB2312"/>
          <w:b/>
          <w:kern w:val="0"/>
          <w:sz w:val="32"/>
          <w:szCs w:val="32"/>
        </w:rPr>
        <w:t>（二）机构职能</w:t>
      </w:r>
    </w:p>
    <w:p w14:paraId="2915F597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  <w:lang w:val="zh-CN" w:eastAsia="zh-CN"/>
        </w:rPr>
        <w:t>黑水县沙石多镇人民政府是基层国家行政机关，行使本行政区域的政府行政职能，根据有关文件规定，主要职责是：宣传和贯彻执行上级各部门及本镇的各项政策、法规、决议等；讨论决定全镇经济建设和社会发展中的重大问题；加强党委自身建设和以党支部为核心的村级组织建设；按照干部管理权限，负责对本级镇村干部的教育、管理、培训、选拔和监督工作，并实现村级财务统一由镇代管；认真做好全镇社会治安综合治理及计划生育，环境、国土等管理工作。</w:t>
      </w:r>
    </w:p>
    <w:p w14:paraId="02532D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outlineLvl w:val="0"/>
        <w:rPr>
          <w:rFonts w:hint="eastAsia" w:ascii="Times New Roman" w:hAnsi="Times New Roman" w:eastAsia="楷体_GB2312" w:cs="楷体_GB2312"/>
          <w:b/>
          <w:kern w:val="0"/>
          <w:sz w:val="32"/>
          <w:szCs w:val="32"/>
        </w:rPr>
      </w:pPr>
      <w:r>
        <w:rPr>
          <w:rFonts w:hint="eastAsia" w:ascii="Times New Roman" w:hAnsi="Times New Roman" w:eastAsia="楷体_GB2312" w:cs="楷体_GB2312"/>
          <w:b/>
          <w:kern w:val="0"/>
          <w:sz w:val="32"/>
          <w:szCs w:val="32"/>
        </w:rPr>
        <w:t>（三）人员概况</w:t>
      </w:r>
    </w:p>
    <w:p w14:paraId="46F9975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黑水县</w:t>
      </w:r>
      <w:r>
        <w:rPr>
          <w:rFonts w:hint="eastAsia" w:ascii="Times New Roman" w:hAnsi="Times New Roman" w:cs="仿宋_GB2312"/>
          <w:sz w:val="32"/>
          <w:szCs w:val="32"/>
          <w:lang w:val="en-US" w:eastAsia="zh-CN"/>
        </w:rPr>
        <w:t>沙石多镇</w:t>
      </w:r>
      <w:r>
        <w:rPr>
          <w:rFonts w:hint="eastAsia" w:ascii="Times New Roman" w:hAnsi="Times New Roman" w:eastAsia="仿宋_GB2312" w:cs="仿宋_GB2312"/>
          <w:sz w:val="32"/>
          <w:szCs w:val="32"/>
        </w:rPr>
        <w:t>人民政府无下属二级核算单位。</w:t>
      </w:r>
    </w:p>
    <w:p w14:paraId="43D90B4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cs="仿宋_GB2312"/>
          <w:sz w:val="32"/>
          <w:szCs w:val="32"/>
          <w:lang w:eastAsia="zh-CN"/>
        </w:rPr>
        <w:t>沙石多镇</w:t>
      </w:r>
      <w:r>
        <w:rPr>
          <w:rFonts w:hint="eastAsia" w:ascii="Times New Roman" w:hAnsi="Times New Roman" w:cs="仿宋_GB2312"/>
          <w:sz w:val="32"/>
          <w:szCs w:val="32"/>
          <w:lang w:val="en-US" w:eastAsia="zh-CN"/>
        </w:rPr>
        <w:t>行政</w:t>
      </w:r>
      <w:r>
        <w:rPr>
          <w:rFonts w:hint="eastAsia" w:ascii="Times New Roman" w:hAnsi="Times New Roman" w:eastAsia="仿宋_GB2312" w:cs="仿宋_GB2312"/>
          <w:sz w:val="32"/>
          <w:szCs w:val="32"/>
        </w:rPr>
        <w:t>总编制</w:t>
      </w:r>
      <w:r>
        <w:rPr>
          <w:rFonts w:hint="eastAsia" w:ascii="Times New Roman" w:hAnsi="Times New Roman" w:cs="仿宋_GB2312"/>
          <w:sz w:val="32"/>
          <w:szCs w:val="32"/>
          <w:lang w:val="en-US" w:eastAsia="zh-CN"/>
        </w:rPr>
        <w:t>21</w:t>
      </w:r>
      <w:r>
        <w:rPr>
          <w:rFonts w:hint="eastAsia" w:ascii="Times New Roman" w:hAnsi="Times New Roman" w:eastAsia="仿宋_GB2312" w:cs="仿宋_GB2312"/>
          <w:sz w:val="32"/>
          <w:szCs w:val="32"/>
        </w:rPr>
        <w:t>名，在职人员</w:t>
      </w:r>
      <w:r>
        <w:rPr>
          <w:rFonts w:hint="eastAsia" w:ascii="Times New Roman" w:hAnsi="Times New Roman" w:cs="仿宋_GB2312"/>
          <w:sz w:val="32"/>
          <w:szCs w:val="32"/>
          <w:lang w:val="en-US" w:eastAsia="zh-CN"/>
        </w:rPr>
        <w:t>21</w:t>
      </w:r>
      <w:r>
        <w:rPr>
          <w:rFonts w:hint="eastAsia" w:ascii="Times New Roman" w:hAnsi="Times New Roman" w:eastAsia="仿宋_GB2312" w:cs="仿宋_GB2312"/>
          <w:sz w:val="32"/>
          <w:szCs w:val="32"/>
        </w:rPr>
        <w:t>人</w:t>
      </w:r>
      <w:r>
        <w:rPr>
          <w:rFonts w:hint="eastAsia" w:ascii="Times New Roman" w:hAnsi="Times New Roman" w:cs="仿宋_GB2312"/>
          <w:sz w:val="32"/>
          <w:szCs w:val="32"/>
          <w:lang w:eastAsia="zh-CN"/>
        </w:rPr>
        <w:t>。</w:t>
      </w:r>
    </w:p>
    <w:p w14:paraId="3590B8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黑体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黑体" w:cs="黑体"/>
          <w:b w:val="0"/>
          <w:bCs w:val="0"/>
          <w:sz w:val="32"/>
          <w:szCs w:val="32"/>
        </w:rPr>
        <w:t>二、部门财政资金收支情况</w:t>
      </w:r>
    </w:p>
    <w:p w14:paraId="3485E8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outlineLvl w:val="0"/>
        <w:rPr>
          <w:rFonts w:hint="eastAsia" w:ascii="Times New Roman" w:hAnsi="Times New Roman" w:eastAsia="楷体_GB2312" w:cs="楷体_GB2312"/>
          <w:b/>
          <w:kern w:val="0"/>
          <w:sz w:val="32"/>
          <w:szCs w:val="32"/>
        </w:rPr>
      </w:pPr>
      <w:r>
        <w:rPr>
          <w:rFonts w:hint="eastAsia" w:ascii="Times New Roman" w:hAnsi="Times New Roman" w:eastAsia="楷体_GB2312" w:cs="楷体_GB2312"/>
          <w:b/>
          <w:kern w:val="0"/>
          <w:sz w:val="32"/>
          <w:szCs w:val="32"/>
        </w:rPr>
        <w:t>（一）部门财政资金收入情况</w:t>
      </w:r>
    </w:p>
    <w:p w14:paraId="67946C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仿宋_GB2312" w:cs="仿宋_GB2312"/>
          <w:sz w:val="32"/>
          <w:szCs w:val="32"/>
        </w:rPr>
        <w:t>度部门财政资金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行政</w:t>
      </w:r>
      <w:r>
        <w:rPr>
          <w:rFonts w:hint="eastAsia" w:ascii="Times New Roman" w:hAnsi="Times New Roman" w:eastAsia="仿宋_GB2312" w:cs="仿宋_GB2312"/>
          <w:sz w:val="32"/>
          <w:szCs w:val="32"/>
        </w:rPr>
        <w:t>总收入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1729.73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。</w:t>
      </w:r>
    </w:p>
    <w:p w14:paraId="30F766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outlineLvl w:val="0"/>
        <w:rPr>
          <w:rFonts w:hint="eastAsia" w:ascii="Times New Roman" w:hAnsi="Times New Roman" w:eastAsia="楷体_GB2312" w:cs="楷体_GB2312"/>
          <w:b/>
          <w:kern w:val="0"/>
          <w:sz w:val="32"/>
          <w:szCs w:val="32"/>
        </w:rPr>
      </w:pPr>
      <w:r>
        <w:rPr>
          <w:rFonts w:hint="eastAsia" w:ascii="Times New Roman" w:hAnsi="Times New Roman" w:eastAsia="楷体_GB2312" w:cs="楷体_GB2312"/>
          <w:b/>
          <w:kern w:val="0"/>
          <w:sz w:val="32"/>
          <w:szCs w:val="32"/>
        </w:rPr>
        <w:t>（</w:t>
      </w:r>
      <w:r>
        <w:rPr>
          <w:rFonts w:hint="eastAsia" w:ascii="Times New Roman" w:hAnsi="Times New Roman" w:eastAsia="楷体_GB2312" w:cs="楷体_GB2312"/>
          <w:b/>
          <w:kern w:val="0"/>
          <w:sz w:val="32"/>
          <w:szCs w:val="32"/>
          <w:lang w:val="en-US" w:eastAsia="zh-CN"/>
        </w:rPr>
        <w:t>二</w:t>
      </w:r>
      <w:r>
        <w:rPr>
          <w:rFonts w:hint="eastAsia" w:ascii="Times New Roman" w:hAnsi="Times New Roman" w:eastAsia="楷体_GB2312" w:cs="楷体_GB2312"/>
          <w:b/>
          <w:kern w:val="0"/>
          <w:sz w:val="32"/>
          <w:szCs w:val="32"/>
        </w:rPr>
        <w:t>）部门财政资金支出情况</w:t>
      </w:r>
    </w:p>
    <w:p w14:paraId="7E67A9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仿宋_GB2312" w:cs="仿宋_GB2312"/>
          <w:sz w:val="32"/>
          <w:szCs w:val="32"/>
        </w:rPr>
        <w:t>度部门财政资金总支出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1729.73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万元。其中：工资福利支出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485.21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万元，占总支出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28.05</w:t>
      </w:r>
      <w:r>
        <w:rPr>
          <w:rFonts w:hint="eastAsia" w:ascii="Times New Roman" w:hAnsi="Times New Roman" w:eastAsia="仿宋_GB2312" w:cs="仿宋_GB2312"/>
          <w:sz w:val="32"/>
          <w:szCs w:val="32"/>
        </w:rPr>
        <w:t>%，商品服务支出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146.95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万元，占总支出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8.50</w:t>
      </w:r>
      <w:r>
        <w:rPr>
          <w:rFonts w:hint="eastAsia" w:ascii="Times New Roman" w:hAnsi="Times New Roman" w:eastAsia="仿宋_GB2312" w:cs="仿宋_GB2312"/>
          <w:sz w:val="32"/>
          <w:szCs w:val="32"/>
        </w:rPr>
        <w:t>%，对个人家庭补助支出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168.69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万元，占总支出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9.75</w:t>
      </w:r>
      <w:r>
        <w:rPr>
          <w:rFonts w:hint="eastAsia" w:ascii="Times New Roman" w:hAnsi="Times New Roman" w:eastAsia="仿宋_GB2312" w:cs="仿宋_GB2312"/>
          <w:sz w:val="32"/>
          <w:szCs w:val="32"/>
        </w:rPr>
        <w:t>%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资本性支出928.88万元，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占总支出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53.70</w:t>
      </w:r>
      <w:r>
        <w:rPr>
          <w:rFonts w:hint="eastAsia" w:ascii="Times New Roman" w:hAnsi="Times New Roman" w:eastAsia="仿宋_GB2312" w:cs="仿宋_GB2312"/>
          <w:sz w:val="32"/>
          <w:szCs w:val="32"/>
        </w:rPr>
        <w:t>%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。</w:t>
      </w:r>
    </w:p>
    <w:p w14:paraId="4E614F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黑体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黑体" w:cs="黑体"/>
          <w:b w:val="0"/>
          <w:bCs w:val="0"/>
          <w:sz w:val="32"/>
          <w:szCs w:val="32"/>
        </w:rPr>
        <w:t>三、部门整体预算绩效管理情况</w:t>
      </w:r>
    </w:p>
    <w:p w14:paraId="3E7E52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outlineLvl w:val="0"/>
        <w:rPr>
          <w:rFonts w:hint="eastAsia" w:ascii="Times New Roman" w:hAnsi="Times New Roman" w:eastAsia="楷体_GB2312" w:cs="楷体_GB2312"/>
          <w:b/>
          <w:kern w:val="0"/>
          <w:sz w:val="32"/>
          <w:szCs w:val="32"/>
          <w:lang w:val="zh-CN"/>
        </w:rPr>
      </w:pPr>
      <w:r>
        <w:rPr>
          <w:rFonts w:hint="eastAsia" w:ascii="Times New Roman" w:hAnsi="Times New Roman" w:eastAsia="楷体_GB2312" w:cs="楷体_GB2312"/>
          <w:b/>
          <w:kern w:val="0"/>
          <w:sz w:val="32"/>
          <w:szCs w:val="32"/>
          <w:lang w:val="zh-CN"/>
        </w:rPr>
        <w:t>（一）部门预算管理</w:t>
      </w:r>
    </w:p>
    <w:p w14:paraId="796CFD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shd w:val="clear" w:color="auto" w:fill="FFFFFF"/>
          <w:lang w:val="en-US" w:eastAsia="zh-CN" w:bidi="ar-SA"/>
        </w:rPr>
        <w:t>2024年度收入、支出总计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1729.73万元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shd w:val="clear" w:color="auto" w:fill="FFFFFF"/>
          <w:lang w:val="en-US" w:eastAsia="zh-CN" w:bidi="ar-SA"/>
        </w:rPr>
        <w:t>，与2023年相比，减少421.46万元，下降19.59%。主要变动原因：项目支出减少。</w:t>
      </w:r>
    </w:p>
    <w:p w14:paraId="1326CD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楷体_GB2312" w:cs="楷体_GB2312"/>
          <w:b/>
          <w:kern w:val="0"/>
          <w:sz w:val="32"/>
          <w:szCs w:val="32"/>
          <w:lang w:val="zh-CN"/>
        </w:rPr>
      </w:pPr>
      <w:r>
        <w:rPr>
          <w:rFonts w:hint="eastAsia" w:ascii="Times New Roman" w:hAnsi="Times New Roman" w:eastAsia="楷体_GB2312" w:cs="楷体_GB2312"/>
          <w:b/>
          <w:kern w:val="0"/>
          <w:sz w:val="32"/>
          <w:szCs w:val="32"/>
          <w:lang w:val="zh-CN"/>
        </w:rPr>
        <w:t>（二）专项预算管理</w:t>
      </w:r>
    </w:p>
    <w:p w14:paraId="2A33D4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仿宋_GB2312" w:cs="仿宋_GB2312"/>
          <w:sz w:val="32"/>
          <w:szCs w:val="32"/>
        </w:rPr>
        <w:t>总支出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1729.73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万元（基本支出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565.84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万元，项目支出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1163.89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万元）。其中：工资福利支出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485.21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万元，占总支出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28.05</w:t>
      </w:r>
      <w:r>
        <w:rPr>
          <w:rFonts w:hint="eastAsia" w:ascii="Times New Roman" w:hAnsi="Times New Roman" w:eastAsia="仿宋_GB2312" w:cs="仿宋_GB2312"/>
          <w:sz w:val="32"/>
          <w:szCs w:val="32"/>
        </w:rPr>
        <w:t>%，商品服务支出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146.95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万元，占总支出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8.50</w:t>
      </w:r>
      <w:r>
        <w:rPr>
          <w:rFonts w:hint="eastAsia" w:ascii="Times New Roman" w:hAnsi="Times New Roman" w:eastAsia="仿宋_GB2312" w:cs="仿宋_GB2312"/>
          <w:sz w:val="32"/>
          <w:szCs w:val="32"/>
        </w:rPr>
        <w:t>%，对个人家庭补助支出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168.69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万元，占总支出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9.75</w:t>
      </w:r>
      <w:r>
        <w:rPr>
          <w:rFonts w:hint="eastAsia" w:ascii="Times New Roman" w:hAnsi="Times New Roman" w:eastAsia="仿宋_GB2312" w:cs="仿宋_GB2312"/>
          <w:sz w:val="32"/>
          <w:szCs w:val="32"/>
        </w:rPr>
        <w:t>%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资本性支出928.88万元，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占总支出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53.70</w:t>
      </w:r>
      <w:r>
        <w:rPr>
          <w:rFonts w:hint="eastAsia" w:ascii="Times New Roman" w:hAnsi="Times New Roman" w:eastAsia="仿宋_GB2312" w:cs="仿宋_GB2312"/>
          <w:sz w:val="32"/>
          <w:szCs w:val="32"/>
        </w:rPr>
        <w:t>%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。</w:t>
      </w:r>
    </w:p>
    <w:p w14:paraId="6715E6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outlineLvl w:val="0"/>
        <w:rPr>
          <w:rFonts w:hint="eastAsia" w:ascii="Times New Roman" w:hAnsi="Times New Roman" w:eastAsia="楷体_GB2312" w:cs="楷体_GB2312"/>
          <w:b/>
          <w:kern w:val="0"/>
          <w:sz w:val="32"/>
          <w:szCs w:val="32"/>
          <w:lang w:val="zh-CN"/>
        </w:rPr>
      </w:pPr>
      <w:r>
        <w:rPr>
          <w:rFonts w:hint="eastAsia" w:ascii="Times New Roman" w:hAnsi="Times New Roman" w:eastAsia="楷体_GB2312" w:cs="楷体_GB2312"/>
          <w:b/>
          <w:kern w:val="0"/>
          <w:sz w:val="32"/>
          <w:szCs w:val="32"/>
          <w:lang w:val="zh-CN"/>
        </w:rPr>
        <w:t>（三）结果应用情况</w:t>
      </w:r>
    </w:p>
    <w:p w14:paraId="309C7A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我单位依据财政编审要求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在年度终了后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结合本单位当年全部预算收入、财政拨款收入及支出等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对全口径的资金收入、支出和预算管理、资产管理等工作进行的全面总结。通过编制部门决算报表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对本单位全年的资金管理、单位履行机构职能和受托责任等进行系统的思考检查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分析预算执行中的得失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以推动单位加强内部管理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制定适应本单位的内控制度以促进发展。</w:t>
      </w:r>
    </w:p>
    <w:p w14:paraId="36DA1E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黑体"/>
          <w:b w:val="0"/>
          <w:bCs w:val="0"/>
          <w:sz w:val="32"/>
          <w:szCs w:val="32"/>
          <w:lang w:val="zh-CN"/>
        </w:rPr>
      </w:pPr>
      <w:r>
        <w:rPr>
          <w:rFonts w:hint="eastAsia" w:ascii="Times New Roman" w:hAnsi="Times New Roman" w:eastAsia="黑体" w:cs="黑体"/>
          <w:b w:val="0"/>
          <w:bCs w:val="0"/>
          <w:sz w:val="32"/>
          <w:szCs w:val="32"/>
          <w:lang w:val="zh-CN"/>
        </w:rPr>
        <w:t>四、评价结论及建议</w:t>
      </w:r>
    </w:p>
    <w:p w14:paraId="7224D9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outlineLvl w:val="0"/>
        <w:rPr>
          <w:rFonts w:hint="eastAsia" w:ascii="Times New Roman" w:hAnsi="Times New Roman" w:eastAsia="楷体_GB2312" w:cs="楷体_GB2312"/>
          <w:b/>
          <w:kern w:val="0"/>
          <w:sz w:val="32"/>
          <w:szCs w:val="32"/>
          <w:lang w:val="zh-CN"/>
        </w:rPr>
      </w:pPr>
      <w:r>
        <w:rPr>
          <w:rFonts w:hint="eastAsia" w:ascii="Times New Roman" w:hAnsi="Times New Roman" w:eastAsia="楷体_GB2312" w:cs="楷体_GB2312"/>
          <w:b/>
          <w:kern w:val="0"/>
          <w:sz w:val="32"/>
          <w:szCs w:val="32"/>
          <w:lang w:val="zh-CN"/>
        </w:rPr>
        <w:t>（一）评价结论</w:t>
      </w:r>
    </w:p>
    <w:p w14:paraId="123486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仿宋_GB2312" w:cs="仿宋_GB2312"/>
          <w:sz w:val="32"/>
          <w:szCs w:val="32"/>
        </w:rPr>
        <w:t>总支出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1729.73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万元（基本支出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565.84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万元，项目支出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1163.89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万元）。其中：工资福利支出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485.21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万元，占总支出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28.05</w:t>
      </w:r>
      <w:r>
        <w:rPr>
          <w:rFonts w:hint="eastAsia" w:ascii="Times New Roman" w:hAnsi="Times New Roman" w:eastAsia="仿宋_GB2312" w:cs="仿宋_GB2312"/>
          <w:sz w:val="32"/>
          <w:szCs w:val="32"/>
        </w:rPr>
        <w:t>%，商品服务支出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146.95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万元，占总支出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8.50</w:t>
      </w:r>
      <w:r>
        <w:rPr>
          <w:rFonts w:hint="eastAsia" w:ascii="Times New Roman" w:hAnsi="Times New Roman" w:eastAsia="仿宋_GB2312" w:cs="仿宋_GB2312"/>
          <w:sz w:val="32"/>
          <w:szCs w:val="32"/>
        </w:rPr>
        <w:t>%，对个人家庭补助支出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168.69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万元，占总支出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9.75</w:t>
      </w:r>
      <w:r>
        <w:rPr>
          <w:rFonts w:hint="eastAsia" w:ascii="Times New Roman" w:hAnsi="Times New Roman" w:eastAsia="仿宋_GB2312" w:cs="仿宋_GB2312"/>
          <w:sz w:val="32"/>
          <w:szCs w:val="32"/>
        </w:rPr>
        <w:t>%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资本性支出928.88万元，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占总支出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53.70</w:t>
      </w:r>
      <w:r>
        <w:rPr>
          <w:rFonts w:hint="eastAsia" w:ascii="Times New Roman" w:hAnsi="Times New Roman" w:eastAsia="仿宋_GB2312" w:cs="仿宋_GB2312"/>
          <w:sz w:val="32"/>
          <w:szCs w:val="32"/>
        </w:rPr>
        <w:t>%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。</w:t>
      </w:r>
    </w:p>
    <w:p w14:paraId="6F9E7D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本年度财政拨款为我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镇</w:t>
      </w:r>
      <w:r>
        <w:rPr>
          <w:rFonts w:hint="eastAsia" w:ascii="Times New Roman" w:hAnsi="Times New Roman" w:eastAsia="仿宋_GB2312" w:cs="仿宋_GB2312"/>
          <w:sz w:val="32"/>
          <w:szCs w:val="32"/>
        </w:rPr>
        <w:t>工作的开展提供了有力的保障，使我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镇</w:t>
      </w:r>
      <w:r>
        <w:rPr>
          <w:rFonts w:hint="eastAsia" w:ascii="Times New Roman" w:hAnsi="Times New Roman" w:eastAsia="仿宋_GB2312" w:cs="仿宋_GB2312"/>
          <w:sz w:val="32"/>
          <w:szCs w:val="32"/>
        </w:rPr>
        <w:t>顺利完成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仿宋_GB2312" w:cs="仿宋_GB2312"/>
          <w:sz w:val="32"/>
          <w:szCs w:val="32"/>
        </w:rPr>
        <w:t>度基层运行工作。</w:t>
      </w:r>
    </w:p>
    <w:p w14:paraId="0B5491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outlineLvl w:val="0"/>
        <w:rPr>
          <w:rFonts w:hint="eastAsia" w:ascii="Times New Roman" w:hAnsi="Times New Roman" w:eastAsia="楷体_GB2312" w:cs="楷体_GB2312"/>
          <w:b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楷体_GB2312" w:cs="楷体_GB2312"/>
          <w:b/>
          <w:kern w:val="0"/>
          <w:sz w:val="32"/>
          <w:szCs w:val="32"/>
        </w:rPr>
        <w:t>（二）</w:t>
      </w:r>
      <w:r>
        <w:rPr>
          <w:rFonts w:hint="eastAsia" w:ascii="Times New Roman" w:hAnsi="Times New Roman" w:eastAsia="楷体_GB2312" w:cs="楷体_GB2312"/>
          <w:b/>
          <w:kern w:val="0"/>
          <w:sz w:val="32"/>
          <w:szCs w:val="32"/>
          <w:lang w:val="zh-CN"/>
        </w:rPr>
        <w:t>存在问题</w:t>
      </w:r>
      <w:bookmarkStart w:id="1" w:name="_GoBack"/>
      <w:bookmarkEnd w:id="1"/>
    </w:p>
    <w:p w14:paraId="21158B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无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。</w:t>
      </w:r>
    </w:p>
    <w:p w14:paraId="525028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outlineLvl w:val="0"/>
        <w:rPr>
          <w:rFonts w:hint="eastAsia" w:ascii="Times New Roman" w:hAnsi="Times New Roman" w:eastAsia="楷体_GB2312" w:cs="楷体_GB2312"/>
          <w:b/>
          <w:kern w:val="0"/>
          <w:sz w:val="32"/>
          <w:szCs w:val="32"/>
        </w:rPr>
      </w:pPr>
      <w:r>
        <w:rPr>
          <w:rFonts w:hint="eastAsia" w:ascii="Times New Roman" w:hAnsi="Times New Roman" w:eastAsia="楷体_GB2312" w:cs="楷体_GB2312"/>
          <w:b/>
          <w:kern w:val="0"/>
          <w:sz w:val="32"/>
          <w:szCs w:val="32"/>
        </w:rPr>
        <w:t>（三）改进建议</w:t>
      </w:r>
    </w:p>
    <w:p w14:paraId="083902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无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。</w:t>
      </w:r>
    </w:p>
    <w:p w14:paraId="5047C0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ascii="Times New Roman" w:hAnsi="Times New Roma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NkYWIxNmZiNGUyMTMwNjYzZTBmZTUxYWMyOGVjYzUifQ=="/>
  </w:docVars>
  <w:rsids>
    <w:rsidRoot w:val="00491B22"/>
    <w:rsid w:val="00291808"/>
    <w:rsid w:val="00491B22"/>
    <w:rsid w:val="0052390C"/>
    <w:rsid w:val="04012B21"/>
    <w:rsid w:val="1167461D"/>
    <w:rsid w:val="26196920"/>
    <w:rsid w:val="34EB1F43"/>
    <w:rsid w:val="35A321DF"/>
    <w:rsid w:val="36435EC2"/>
    <w:rsid w:val="3B5B6B6E"/>
    <w:rsid w:val="4B8B39F2"/>
    <w:rsid w:val="4B936091"/>
    <w:rsid w:val="4FFC2FB7"/>
    <w:rsid w:val="5A9C57D7"/>
    <w:rsid w:val="60D032A5"/>
    <w:rsid w:val="6D2B7163"/>
    <w:rsid w:val="74BE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beforeLines="30"/>
    </w:pPr>
    <w:rPr>
      <w:rFonts w:ascii="仿宋_GB2312" w:eastAsia="仿宋_GB2312"/>
      <w:kern w:val="0"/>
      <w:sz w:val="30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4</Pages>
  <Words>1404</Words>
  <Characters>1629</Characters>
  <Lines>2</Lines>
  <Paragraphs>1</Paragraphs>
  <TotalTime>8</TotalTime>
  <ScaleCrop>false</ScaleCrop>
  <LinksUpToDate>false</LinksUpToDate>
  <CharactersWithSpaces>1629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白玛</cp:lastModifiedBy>
  <dcterms:modified xsi:type="dcterms:W3CDTF">2025-08-27T09:52:02Z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62C1DBF7254240F3A36D7C17ABD4121A_13</vt:lpwstr>
  </property>
  <property fmtid="{D5CDD505-2E9C-101B-9397-08002B2CF9AE}" pid="4" name="KSOTemplateDocerSaveRecord">
    <vt:lpwstr>eyJoZGlkIjoiYjFhNWMxNzQyM2Y4MjcxOGYyYzAzNDZmNmFkZTU4ZTIiLCJ1c2VySWQiOiI0MDEwODQ1OTEifQ==</vt:lpwstr>
  </property>
</Properties>
</file>