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8F3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Unicode MS" w:hAnsi="Arial Unicode MS" w:eastAsia="Arial Unicode MS" w:cs="Arial Unicode MS"/>
          <w:b w:val="0"/>
          <w:bCs w:val="0"/>
          <w:sz w:val="44"/>
          <w:szCs w:val="44"/>
          <w:lang w:eastAsia="zh-CN"/>
        </w:rPr>
      </w:pPr>
      <w:r>
        <w:rPr>
          <w:rFonts w:hint="eastAsia" w:ascii="仿宋_GB2312" w:eastAsia="仿宋_GB2312"/>
          <w:sz w:val="32"/>
          <w:szCs w:val="32"/>
          <w:lang w:bidi="bo-CN"/>
        </w:rPr>
        <w:drawing>
          <wp:inline distT="0" distB="0" distL="114300" distR="114300">
            <wp:extent cx="5723890" cy="1178560"/>
            <wp:effectExtent l="0" t="0" r="10160"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5723890" cy="1178560"/>
                    </a:xfrm>
                    <a:prstGeom prst="rect">
                      <a:avLst/>
                    </a:prstGeom>
                    <a:noFill/>
                    <a:ln>
                      <a:noFill/>
                    </a:ln>
                  </pic:spPr>
                </pic:pic>
              </a:graphicData>
            </a:graphic>
          </wp:inline>
        </w:drawing>
      </w:r>
    </w:p>
    <w:p w14:paraId="592E4E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Arial Unicode MS" w:hAnsi="Arial Unicode MS" w:eastAsia="Arial Unicode MS" w:cs="Arial Unicode MS"/>
          <w:b w:val="0"/>
          <w:bCs w:val="0"/>
          <w:sz w:val="44"/>
          <w:szCs w:val="44"/>
          <w:lang w:eastAsia="zh-CN"/>
        </w:rPr>
      </w:pPr>
    </w:p>
    <w:p w14:paraId="297AC8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Arial Unicode MS" w:hAnsi="Arial Unicode MS" w:eastAsia="Arial Unicode MS" w:cs="Arial Unicode MS"/>
          <w:b w:val="0"/>
          <w:bCs w:val="0"/>
          <w:sz w:val="44"/>
          <w:szCs w:val="44"/>
          <w:lang w:eastAsia="zh-CN"/>
        </w:rPr>
      </w:pPr>
    </w:p>
    <w:p w14:paraId="3267FB32">
      <w:pPr>
        <w:ind w:firstLine="320" w:firstLineChars="100"/>
        <w:jc w:val="left"/>
        <w:rPr>
          <w:rFonts w:hint="eastAsia" w:ascii="楷体_GB2312" w:hAnsi="楷体_GB2312" w:eastAsia="楷体_GB2312" w:cs="楷体_GB2312"/>
          <w:b w:val="0"/>
          <w:bCs/>
          <w:sz w:val="32"/>
          <w:szCs w:val="32"/>
          <w:lang w:eastAsia="zh-CN"/>
        </w:rPr>
      </w:pPr>
      <w:r>
        <w:rPr>
          <w:rFonts w:ascii="Times New Roman" w:hAnsi="Times New Roman" w:eastAsia="仿宋_GB2312" w:cs="Times New Roman"/>
          <w:sz w:val="32"/>
          <w:szCs w:val="32"/>
        </w:rPr>
        <w:t>黑沙府〔202</w:t>
      </w:r>
      <w:r>
        <w:rPr>
          <w:rFonts w:hint="eastAsia" w:ascii="Times New Roman" w:hAnsi="Times New Roman" w:cs="Times New Roman"/>
          <w:sz w:val="32"/>
          <w:szCs w:val="32"/>
          <w:lang w:val="en-US" w:eastAsia="zh-CN"/>
        </w:rPr>
        <w:t>5</w:t>
      </w:r>
      <w:r>
        <w:rPr>
          <w:rFonts w:ascii="Times New Roman" w:hAnsi="Times New Roman" w:eastAsia="仿宋_GB2312" w:cs="Times New Roman"/>
          <w:sz w:val="32"/>
          <w:szCs w:val="32"/>
        </w:rPr>
        <w:t>〕</w:t>
      </w:r>
      <w:r>
        <w:rPr>
          <w:rFonts w:hint="eastAsia" w:cs="Times New Roman"/>
          <w:sz w:val="32"/>
          <w:szCs w:val="32"/>
          <w:lang w:val="en-US" w:eastAsia="zh-CN"/>
        </w:rPr>
        <w:t>14</w:t>
      </w:r>
      <w:r>
        <w:rPr>
          <w:rFonts w:ascii="Times New Roman" w:hAnsi="Times New Roman" w:eastAsia="仿宋_GB2312" w:cs="Times New Roman"/>
          <w:sz w:val="32"/>
          <w:szCs w:val="32"/>
        </w:rPr>
        <w:t xml:space="preserve">号            </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签发人：</w:t>
      </w:r>
      <w:r>
        <w:rPr>
          <w:rFonts w:hint="eastAsia" w:ascii="Times New Roman" w:hAnsi="Times New Roman" w:eastAsia="仿宋_GB2312" w:cs="Times New Roman"/>
          <w:sz w:val="32"/>
          <w:szCs w:val="32"/>
          <w:lang w:eastAsia="zh-CN"/>
        </w:rPr>
        <w:t>石孝磊</w:t>
      </w:r>
    </w:p>
    <w:p w14:paraId="76CA85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b w:val="0"/>
          <w:bCs/>
          <w:sz w:val="28"/>
          <w:szCs w:val="28"/>
          <w:lang w:val="en-US" w:eastAsia="zh-CN"/>
        </w:rPr>
      </w:pPr>
      <w:r>
        <w:rPr>
          <w:rFonts w:hint="eastAsia" w:ascii="BZDHT" w:eastAsia="BZDHT"/>
          <w:color w:val="FF0000"/>
          <w:sz w:val="30"/>
          <w:szCs w:val="30"/>
          <w:lang w:bidi="bo-CN"/>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60960</wp:posOffset>
                </wp:positionV>
                <wp:extent cx="5724525" cy="0"/>
                <wp:effectExtent l="0" t="12700" r="9525" b="1587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1000125" y="5102225"/>
                          <a:ext cx="5724525" cy="0"/>
                        </a:xfrm>
                        <a:prstGeom prst="straightConnector1">
                          <a:avLst/>
                        </a:prstGeom>
                        <a:noFill/>
                        <a:ln w="25400">
                          <a:solidFill>
                            <a:srgbClr val="FF0000"/>
                          </a:solidFill>
                          <a:round/>
                          <a:headEnd type="none" w="med" len="med"/>
                          <a:tailEnd type="none" w="med" len="med"/>
                        </a:ln>
                        <a:effectLst/>
                      </wps:spPr>
                      <wps:bodyPr/>
                    </wps:wsp>
                  </a:graphicData>
                </a:graphic>
              </wp:anchor>
            </w:drawing>
          </mc:Choice>
          <mc:Fallback>
            <w:pict>
              <v:shape id="_x0000_s1026" o:spid="_x0000_s1026" o:spt="32" type="#_x0000_t32" style="position:absolute;left:0pt;margin-left:-0.65pt;margin-top:4.8pt;height:0pt;width:450.75pt;z-index:251659264;mso-width-relative:page;mso-height-relative:page;" filled="f" stroked="t" coordsize="21600,21600" o:gfxdata="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ntRQNQA&#10;AAAGAQAADwAAAAAAAAABACAAAAAiAAAAZHJzL2Rvd25yZXYueG1sUEsBAhQAFAAAAAgAh07iQOmU&#10;62cjAgAALQQAAA4AAAAAAAAAAQAgAAAAIwEAAGRycy9lMm9Eb2MueG1sUEsFBgAAAAAGAAYAWQEA&#10;ALgFAAAAAA==&#10;">
                <v:fill on="f" focussize="0,0"/>
                <v:stroke weight="2pt" color="#FF0000" joinstyle="round"/>
                <v:imagedata o:title=""/>
                <o:lock v:ext="edit" aspectratio="f"/>
              </v:shape>
            </w:pict>
          </mc:Fallback>
        </mc:AlternateContent>
      </w:r>
    </w:p>
    <w:p w14:paraId="33FDE344">
      <w:pPr>
        <w:snapToGrid w:val="0"/>
        <w:jc w:val="center"/>
        <w:rPr>
          <w:rFonts w:hint="eastAsia" w:ascii="方正小标宋_GBK" w:hAnsi="方正小标宋_GBK" w:eastAsia="方正小标宋_GBK" w:cs="方正小标宋_GBK"/>
          <w:b/>
          <w:sz w:val="44"/>
          <w:szCs w:val="44"/>
          <w:highlight w:val="none"/>
          <w:shd w:val="clear" w:color="auto" w:fill="FFFFFF"/>
        </w:rPr>
      </w:pPr>
      <w:r>
        <w:rPr>
          <w:rFonts w:hint="eastAsia" w:ascii="方正小标宋_GBK" w:hAnsi="方正小标宋_GBK" w:eastAsia="方正小标宋_GBK" w:cs="方正小标宋_GBK"/>
          <w:b w:val="0"/>
          <w:bCs/>
          <w:sz w:val="44"/>
          <w:szCs w:val="44"/>
        </w:rPr>
        <w:t>黑水县沙石多镇人民政府</w:t>
      </w:r>
    </w:p>
    <w:p w14:paraId="6A38852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Arial Unicode MS" w:cs="Times New Roman"/>
          <w:b w:val="0"/>
          <w:bCs/>
          <w:sz w:val="44"/>
          <w:szCs w:val="44"/>
          <w:highlight w:val="none"/>
          <w:shd w:val="clear" w:color="auto" w:fill="FFFFFF"/>
        </w:rPr>
      </w:pPr>
      <w:r>
        <w:rPr>
          <w:rFonts w:hint="eastAsia" w:ascii="方正小标宋_GBK" w:hAnsi="方正小标宋_GBK" w:eastAsia="方正小标宋_GBK" w:cs="方正小标宋_GBK"/>
          <w:b w:val="0"/>
          <w:bCs/>
          <w:sz w:val="44"/>
          <w:szCs w:val="44"/>
          <w:highlight w:val="none"/>
          <w:shd w:val="clear" w:color="auto" w:fill="FFFFFF"/>
          <w:lang w:val="en-US" w:eastAsia="zh-CN"/>
        </w:rPr>
        <w:t>2024年</w:t>
      </w:r>
      <w:r>
        <w:rPr>
          <w:rFonts w:hint="eastAsia" w:ascii="方正小标宋_GBK" w:hAnsi="方正小标宋_GBK" w:eastAsia="方正小标宋_GBK" w:cs="方正小标宋_GBK"/>
          <w:b w:val="0"/>
          <w:bCs/>
          <w:sz w:val="44"/>
          <w:szCs w:val="44"/>
          <w:highlight w:val="none"/>
          <w:shd w:val="clear" w:color="auto" w:fill="FFFFFF"/>
        </w:rPr>
        <w:t>部门</w:t>
      </w:r>
      <w:r>
        <w:rPr>
          <w:rFonts w:hint="eastAsia" w:ascii="方正小标宋_GBK" w:hAnsi="方正小标宋_GBK" w:eastAsia="方正小标宋_GBK" w:cs="方正小标宋_GBK"/>
          <w:b w:val="0"/>
          <w:bCs/>
          <w:sz w:val="44"/>
          <w:szCs w:val="44"/>
          <w:highlight w:val="none"/>
          <w:shd w:val="clear" w:color="auto" w:fill="FFFFFF"/>
          <w:lang w:val="en-US" w:eastAsia="zh-CN"/>
        </w:rPr>
        <w:t>整体</w:t>
      </w:r>
      <w:r>
        <w:rPr>
          <w:rFonts w:hint="eastAsia" w:ascii="方正小标宋_GBK" w:hAnsi="方正小标宋_GBK" w:eastAsia="方正小标宋_GBK" w:cs="方正小标宋_GBK"/>
          <w:b w:val="0"/>
          <w:bCs/>
          <w:sz w:val="44"/>
          <w:szCs w:val="44"/>
          <w:highlight w:val="none"/>
          <w:shd w:val="clear" w:color="auto" w:fill="FFFFFF"/>
          <w:lang w:eastAsia="zh-CN"/>
        </w:rPr>
        <w:t>预算</w:t>
      </w:r>
      <w:r>
        <w:rPr>
          <w:rFonts w:hint="eastAsia" w:ascii="方正小标宋_GBK" w:hAnsi="方正小标宋_GBK" w:eastAsia="方正小标宋_GBK" w:cs="方正小标宋_GBK"/>
          <w:b w:val="0"/>
          <w:bCs/>
          <w:sz w:val="44"/>
          <w:szCs w:val="44"/>
          <w:highlight w:val="none"/>
          <w:shd w:val="clear" w:color="auto" w:fill="FFFFFF"/>
        </w:rPr>
        <w:t>绩效</w:t>
      </w:r>
      <w:r>
        <w:rPr>
          <w:rFonts w:hint="eastAsia" w:ascii="方正小标宋_GBK" w:hAnsi="方正小标宋_GBK" w:eastAsia="方正小标宋_GBK" w:cs="方正小标宋_GBK"/>
          <w:b w:val="0"/>
          <w:bCs/>
          <w:sz w:val="44"/>
          <w:szCs w:val="44"/>
          <w:highlight w:val="none"/>
          <w:shd w:val="clear" w:color="auto" w:fill="FFFFFF"/>
          <w:lang w:eastAsia="zh-CN"/>
        </w:rPr>
        <w:t>评价</w:t>
      </w:r>
      <w:r>
        <w:rPr>
          <w:rFonts w:hint="eastAsia" w:ascii="方正小标宋_GBK" w:hAnsi="方正小标宋_GBK" w:eastAsia="方正小标宋_GBK" w:cs="方正小标宋_GBK"/>
          <w:b w:val="0"/>
          <w:bCs/>
          <w:sz w:val="44"/>
          <w:szCs w:val="44"/>
          <w:highlight w:val="none"/>
          <w:shd w:val="clear" w:color="auto" w:fill="FFFFFF"/>
        </w:rPr>
        <w:t>报告</w:t>
      </w:r>
    </w:p>
    <w:p w14:paraId="7CCCFAF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F5B7A6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2025年县级部门绩效自评工作的通知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2025</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30号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rPr>
        <w:t>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14:paraId="3F8BCC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szCs w:val="32"/>
        </w:rPr>
      </w:pPr>
      <w:r>
        <w:rPr>
          <w:rFonts w:hint="eastAsia" w:ascii="黑体" w:hAnsi="黑体" w:eastAsia="黑体" w:cs="黑体"/>
          <w:color w:val="000000"/>
          <w:kern w:val="0"/>
          <w:szCs w:val="32"/>
          <w:highlight w:val="none"/>
          <w:shd w:val="clear" w:color="auto" w:fill="FFFFFF"/>
          <w:lang w:val="zh-CN"/>
        </w:rPr>
        <w:t>一、部门（单位）基本情况</w:t>
      </w:r>
    </w:p>
    <w:p w14:paraId="3A9E69D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（一）机构组成</w:t>
      </w:r>
    </w:p>
    <w:p w14:paraId="6AA5D52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黑水县沙石多镇人民政府无下属二级核算单位。</w:t>
      </w:r>
    </w:p>
    <w:p w14:paraId="31AE160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eastAsia" w:ascii="仿宋_GB2312" w:hAnsi="仿宋_GB2312" w:eastAsia="仿宋_GB2312" w:cs="仿宋_GB2312"/>
          <w:sz w:val="32"/>
          <w:lang w:val="en-US" w:eastAsia="zh-CN"/>
        </w:rPr>
        <w:t>黑水县沙石多镇人民政府，取得黑水县机构编制委员会办公室颁发的统一社会信用代码：1151322800894310XG，机构地址：四川省阿坝州黑水县沙石多镇杨柳秋村三组9号，法定代表人：石孝磊，机构性质：机关。</w:t>
      </w:r>
    </w:p>
    <w:p w14:paraId="27F038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lang w:val="en-US" w:eastAsia="zh-CN"/>
        </w:rPr>
      </w:pPr>
      <w:r>
        <w:rPr>
          <w:rFonts w:hint="default" w:ascii="仿宋_GB2312" w:hAnsi="仿宋_GB2312" w:eastAsia="仿宋_GB2312" w:cs="仿宋_GB2312"/>
          <w:sz w:val="32"/>
          <w:lang w:eastAsia="zh-CN"/>
        </w:rPr>
        <w:t>沙石多镇属于乡财县管的乡，全镇共辖5个行政村。沙石多镇下设股级行政机构6个</w:t>
      </w:r>
      <w:r>
        <w:rPr>
          <w:rFonts w:hint="eastAsia" w:ascii="仿宋_GB2312" w:hAnsi="仿宋_GB2312" w:eastAsia="仿宋_GB2312" w:cs="仿宋_GB2312"/>
          <w:sz w:val="32"/>
          <w:lang w:val="en-US" w:eastAsia="zh-CN"/>
        </w:rPr>
        <w:t>：党政综合办公室，党建工作办公室，应急管理和综合行政执法办公室，社会事务和社会治理办公室，经济发展和乡村振兴办公室，生态环境和村镇管理办公室：下设一类公益事业单位2个：黑水县沙石多镇便民和退役军人服务中心，黑水县沙石多镇农业农村和文化旅游服务中心。目前，六个党政综合办事机构、两个一类公益事业单位正常运行。</w:t>
      </w:r>
    </w:p>
    <w:p w14:paraId="2BD3DE8E">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14:paraId="2434B1E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Cs w:val="32"/>
          <w:lang w:val="en-US" w:eastAsia="zh-CN"/>
        </w:rPr>
      </w:pPr>
      <w:r>
        <w:rPr>
          <w:rFonts w:hint="eastAsia" w:ascii="仿宋_GB2312" w:hAnsi="仿宋_GB2312" w:eastAsia="仿宋_GB2312" w:cs="仿宋_GB2312"/>
          <w:sz w:val="32"/>
          <w:lang w:val="en-US" w:eastAsia="zh-CN"/>
        </w:rPr>
        <w:t>黑水县沙石多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7ED9437A">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1.</w:t>
      </w:r>
      <w:r>
        <w:rPr>
          <w:rFonts w:hint="eastAsia" w:ascii="仿宋_GB2312" w:cs="仿宋_GB2312"/>
          <w:b/>
          <w:bCs/>
          <w:color w:val="000000"/>
          <w:kern w:val="0"/>
          <w:shd w:val="clear" w:color="auto" w:fill="FFFFFF"/>
        </w:rPr>
        <w:t>加强党的领导，抓好基层党建</w:t>
      </w:r>
    </w:p>
    <w:p w14:paraId="6EA0049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（1）履行政治领导责任，做好理论武装和思想政治工作，负责学习、宣传、贯彻执行党的理论和路线方针政策，贯彻落实党中央、省委、州委、县委的决策部署，发挥好把方向、管大局、保落实的重要作用。</w:t>
      </w:r>
    </w:p>
    <w:p w14:paraId="4BBE227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履行党要管党、从严治党责任，全面推进辖区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14:paraId="0E8515E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（3）讨论和决定辖区内政治建设、经济建设、文化建设、社会建设、生态文明建设、法制建设和党的建设以及乡村振兴中的重大问题。其他应当由党委讨论和决定的重大问题。</w:t>
      </w:r>
    </w:p>
    <w:p w14:paraId="2135C43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工会、共青团、妇联等群团工作的领导。</w:t>
      </w:r>
    </w:p>
    <w:p w14:paraId="6B58C9C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（5）指导农村党建，落实基层党建工作责任制，严格抓好基层党组织建设各项制度，统筹抓好</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机关、村（社区）、驻辖区单位、行业、“两新”组织等党建工作，推进全面从严治党，强化“两个责任”，落实农村基层党建工作要求。</w:t>
      </w:r>
    </w:p>
    <w:p w14:paraId="195D173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14:paraId="3CB21577">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2.</w:t>
      </w:r>
      <w:r>
        <w:rPr>
          <w:rFonts w:hint="eastAsia" w:ascii="仿宋_GB2312" w:cs="仿宋_GB2312"/>
          <w:b/>
          <w:bCs/>
          <w:color w:val="000000"/>
          <w:kern w:val="0"/>
          <w:shd w:val="clear" w:color="auto" w:fill="FFFFFF"/>
        </w:rPr>
        <w:t>统筹经济发展，实施乡村振兴</w:t>
      </w:r>
    </w:p>
    <w:p w14:paraId="360C10A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1D6E863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（2）贯彻落实中央、省、州、县关于实施脱贫攻坚、乡村振兴战略的决策部署，提升农业发展质量，加强农村人居环境整治，推进宜居乡村建设，增强乡村振兴内生动力。</w:t>
      </w:r>
    </w:p>
    <w:p w14:paraId="2E73829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（3）指导农村经济发展，推动产业结构调整。保护各种经济组织的合法权益，营造良好的营商环境。</w:t>
      </w:r>
    </w:p>
    <w:p w14:paraId="3ADA07E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（4）落实财政保障和财政管理有关政策，统筹管理本级财务及集体资产，协助做好税收征管工作，指导、监管村级财务和资产管理工作等。</w:t>
      </w:r>
    </w:p>
    <w:p w14:paraId="760AA7C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3.</w:t>
      </w:r>
      <w:r>
        <w:rPr>
          <w:rFonts w:hint="eastAsia" w:ascii="仿宋_GB2312" w:cs="仿宋_GB2312"/>
          <w:b/>
          <w:bCs/>
          <w:color w:val="000000"/>
          <w:kern w:val="0"/>
          <w:shd w:val="clear" w:color="auto" w:fill="FFFFFF"/>
        </w:rPr>
        <w:t>组织公共服务，着力改善民生</w:t>
      </w:r>
    </w:p>
    <w:p w14:paraId="23195BB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（1）加强</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综合便民服务平台标准化建设，做好村（社区）服务配套设施和综合服务平台建设，提升便民服务质量。</w:t>
      </w:r>
    </w:p>
    <w:p w14:paraId="6F97DC8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126F12A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4.</w:t>
      </w:r>
      <w:r>
        <w:rPr>
          <w:rFonts w:hint="eastAsia" w:ascii="仿宋_GB2312" w:cs="仿宋_GB2312"/>
          <w:b/>
          <w:bCs/>
          <w:color w:val="000000"/>
          <w:kern w:val="0"/>
          <w:shd w:val="clear" w:color="auto" w:fill="FFFFFF"/>
        </w:rPr>
        <w:t>领导基层治理，维护社会治安</w:t>
      </w:r>
    </w:p>
    <w:p w14:paraId="5457681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22F4EA9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4D07BD9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（3）指导村民（居民）自治，促进社会组织健康发展，完善村规民约，增强社会自治功能。</w:t>
      </w:r>
    </w:p>
    <w:p w14:paraId="662EC78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（4）负责国防教育，承担国防动员、征兵、民兵预备役、双拥等工作。</w:t>
      </w:r>
    </w:p>
    <w:p w14:paraId="423EE18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（5）保障各少数民族的合法权力和利益，尊重少数民族的风俗习惯，坚决与民族分裂活动和邪教组织斗争。</w:t>
      </w:r>
    </w:p>
    <w:p w14:paraId="1AB7172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（6）保障宪法和法律赋予妇女的男女平等、同工同酬和婚姻自由等各项权利。</w:t>
      </w:r>
    </w:p>
    <w:p w14:paraId="29281DB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lang w:val="en-US" w:eastAsia="zh-CN"/>
        </w:rPr>
        <w:t>5.</w:t>
      </w:r>
      <w:r>
        <w:rPr>
          <w:rFonts w:hint="eastAsia" w:ascii="仿宋_GB2312" w:cs="仿宋_GB2312"/>
          <w:b/>
          <w:bCs/>
          <w:color w:val="000000"/>
          <w:kern w:val="0"/>
          <w:shd w:val="clear" w:color="auto" w:fill="FFFFFF"/>
        </w:rPr>
        <w:t>完成法律、法规、规章规定和上级交办的其他事项。</w:t>
      </w:r>
    </w:p>
    <w:p w14:paraId="7AC2C8EB">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14:paraId="7895C14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截至202</w:t>
      </w:r>
      <w:r>
        <w:rPr>
          <w:rFonts w:hint="eastAsia" w:ascii="仿宋_GB2312" w:hAnsi="仿宋_GB2312" w:eastAsia="仿宋_GB2312" w:cs="仿宋_GB2312"/>
          <w:sz w:val="32"/>
          <w:lang w:val="en-US" w:eastAsia="zh-CN"/>
        </w:rPr>
        <w:t>4</w:t>
      </w:r>
      <w:r>
        <w:rPr>
          <w:rFonts w:hint="default" w:ascii="仿宋_GB2312" w:hAnsi="仿宋_GB2312" w:eastAsia="仿宋_GB2312" w:cs="仿宋_GB2312"/>
          <w:sz w:val="32"/>
          <w:lang w:eastAsia="zh-CN"/>
        </w:rPr>
        <w:t>年末沙石多镇总编制3</w:t>
      </w:r>
      <w:r>
        <w:rPr>
          <w:rFonts w:hint="eastAsia" w:ascii="仿宋_GB2312" w:hAnsi="仿宋_GB2312" w:eastAsia="仿宋_GB2312" w:cs="仿宋_GB2312"/>
          <w:sz w:val="32"/>
          <w:lang w:val="en-US" w:eastAsia="zh-CN"/>
        </w:rPr>
        <w:t>2</w:t>
      </w:r>
      <w:r>
        <w:rPr>
          <w:rFonts w:hint="default" w:ascii="仿宋_GB2312" w:hAnsi="仿宋_GB2312" w:eastAsia="仿宋_GB2312" w:cs="仿宋_GB2312"/>
          <w:sz w:val="32"/>
          <w:lang w:eastAsia="zh-CN"/>
        </w:rPr>
        <w:t>名，其中：行政编制20名，事业编制11名，机关工勤</w:t>
      </w:r>
      <w:r>
        <w:rPr>
          <w:rFonts w:hint="eastAsia" w:ascii="仿宋_GB2312" w:hAnsi="仿宋_GB2312" w:eastAsia="仿宋_GB2312" w:cs="仿宋_GB2312"/>
          <w:sz w:val="32"/>
          <w:lang w:val="en-US" w:eastAsia="zh-CN"/>
        </w:rPr>
        <w:t>1</w:t>
      </w:r>
      <w:r>
        <w:rPr>
          <w:rFonts w:hint="default" w:ascii="仿宋_GB2312" w:hAnsi="仿宋_GB2312" w:eastAsia="仿宋_GB2312" w:cs="仿宋_GB2312"/>
          <w:sz w:val="32"/>
          <w:lang w:eastAsia="zh-CN"/>
        </w:rPr>
        <w:t>名。在职人员总数</w:t>
      </w:r>
      <w:r>
        <w:rPr>
          <w:rFonts w:hint="eastAsia" w:ascii="仿宋_GB2312" w:hAnsi="仿宋_GB2312" w:eastAsia="仿宋_GB2312" w:cs="仿宋_GB2312"/>
          <w:sz w:val="32"/>
          <w:lang w:val="en-US" w:eastAsia="zh-CN"/>
        </w:rPr>
        <w:t>36</w:t>
      </w:r>
      <w:r>
        <w:rPr>
          <w:rFonts w:hint="default" w:ascii="仿宋_GB2312" w:hAnsi="仿宋_GB2312" w:eastAsia="仿宋_GB2312" w:cs="仿宋_GB2312"/>
          <w:sz w:val="32"/>
          <w:lang w:eastAsia="zh-CN"/>
        </w:rPr>
        <w:t>人，其中：行政人员</w:t>
      </w:r>
      <w:r>
        <w:rPr>
          <w:rFonts w:hint="eastAsia" w:ascii="仿宋_GB2312" w:hAnsi="仿宋_GB2312" w:eastAsia="仿宋_GB2312" w:cs="仿宋_GB2312"/>
          <w:sz w:val="32"/>
          <w:lang w:val="en-US" w:eastAsia="zh-CN"/>
        </w:rPr>
        <w:t>21</w:t>
      </w:r>
      <w:r>
        <w:rPr>
          <w:rFonts w:hint="default" w:ascii="仿宋_GB2312" w:hAnsi="仿宋_GB2312" w:eastAsia="仿宋_GB2312" w:cs="仿宋_GB2312"/>
          <w:sz w:val="32"/>
          <w:lang w:eastAsia="zh-CN"/>
        </w:rPr>
        <w:t>人</w:t>
      </w:r>
      <w:r>
        <w:rPr>
          <w:rFonts w:hint="eastAsia" w:ascii="仿宋_GB2312" w:hAnsi="仿宋_GB2312" w:eastAsia="仿宋_GB2312" w:cs="仿宋_GB2312"/>
          <w:sz w:val="32"/>
          <w:lang w:eastAsia="zh-CN"/>
        </w:rPr>
        <w:t>，</w:t>
      </w:r>
      <w:r>
        <w:rPr>
          <w:rFonts w:hint="default" w:ascii="仿宋_GB2312" w:hAnsi="仿宋_GB2312" w:eastAsia="仿宋_GB2312" w:cs="仿宋_GB2312"/>
          <w:sz w:val="32"/>
          <w:lang w:eastAsia="zh-CN"/>
        </w:rPr>
        <w:t>事业单位</w:t>
      </w:r>
      <w:r>
        <w:rPr>
          <w:rFonts w:hint="eastAsia" w:ascii="仿宋_GB2312" w:hAnsi="仿宋_GB2312" w:eastAsia="仿宋_GB2312" w:cs="仿宋_GB2312"/>
          <w:sz w:val="32"/>
          <w:lang w:val="en-US" w:eastAsia="zh-CN"/>
        </w:rPr>
        <w:t>14</w:t>
      </w:r>
      <w:r>
        <w:rPr>
          <w:rFonts w:hint="default" w:ascii="仿宋_GB2312" w:hAnsi="仿宋_GB2312" w:eastAsia="仿宋_GB2312" w:cs="仿宋_GB2312"/>
          <w:sz w:val="32"/>
          <w:lang w:eastAsia="zh-CN"/>
        </w:rPr>
        <w:t>人，机关工勤1人。</w:t>
      </w:r>
      <w:r>
        <w:rPr>
          <w:rFonts w:hint="eastAsia" w:ascii="仿宋_GB2312" w:hAnsi="仿宋_GB2312" w:eastAsia="仿宋_GB2312" w:cs="仿宋_GB2312"/>
          <w:sz w:val="32"/>
          <w:lang w:eastAsia="zh-CN"/>
        </w:rPr>
        <w:t>其中</w:t>
      </w:r>
      <w:r>
        <w:rPr>
          <w:rFonts w:hint="eastAsia" w:ascii="仿宋_GB2312" w:hAnsi="仿宋_GB2312" w:eastAsia="仿宋_GB2312" w:cs="仿宋_GB2312"/>
          <w:sz w:val="32"/>
          <w:lang w:val="en-US" w:eastAsia="zh-CN"/>
        </w:rPr>
        <w:t>4人编制为文体局编制，人员经费及管理为我镇统一管理</w:t>
      </w:r>
    </w:p>
    <w:p w14:paraId="1F6A7E7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2E6D198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p>
    <w:p w14:paraId="2D91A3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lang w:eastAsia="zh-CN"/>
        </w:rPr>
        <w:t>本单位本年度收入调整预算数为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万元，收入决算数为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万元，支出决算数为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万元，预算支出完成度为100.00%。</w:t>
      </w:r>
    </w:p>
    <w:p w14:paraId="05AADF8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p>
    <w:p w14:paraId="76BBFB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本单位本年度总收入为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万元。其中：一般公共预算财政拨款收入为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占比100.00%；政府性基金预算财政拨款收入为0.00万元，占比0.00%；国有资本经营预算财政拨款收入为0.00)万元，占比0.00%；上级补助收入为0.00万元，占比0.00%；事业收入为0.00万元，占比0.00%；经营收入为0.00万元，占比0.00%；附属单位上缴收入为0.00万元，占比0.00%；其他收入为0.00万元，占比0.00%。</w:t>
      </w:r>
    </w:p>
    <w:p w14:paraId="585FCD0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lang w:eastAsia="zh-CN"/>
        </w:rPr>
        <w:t>本年度总支出为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万元。其中：一般公共服务支出</w:t>
      </w:r>
      <w:r>
        <w:rPr>
          <w:rFonts w:hint="eastAsia" w:ascii="仿宋_GB2312" w:hAnsi="仿宋_GB2312" w:eastAsia="仿宋_GB2312" w:cs="仿宋_GB2312"/>
          <w:sz w:val="32"/>
          <w:lang w:val="en-US" w:eastAsia="zh-CN"/>
        </w:rPr>
        <w:t>439.08万元，占比21.48%；</w:t>
      </w:r>
      <w:r>
        <w:rPr>
          <w:rFonts w:hint="eastAsia" w:ascii="仿宋_GB2312" w:hAnsi="仿宋_GB2312" w:eastAsia="仿宋_GB2312" w:cs="仿宋_GB2312"/>
          <w:sz w:val="32"/>
          <w:lang w:eastAsia="zh-CN"/>
        </w:rPr>
        <w:t>；外交支出为0.00万元，占比0.00%；国防支出为0.00万元，占比0.00%；公共安全支出为0.00万元，占比0.00%；教育支出为</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.00万元，占比</w:t>
      </w:r>
      <w:r>
        <w:rPr>
          <w:rFonts w:hint="eastAsia" w:ascii="仿宋_GB2312" w:hAnsi="仿宋_GB2312" w:eastAsia="仿宋_GB2312" w:cs="仿宋_GB2312"/>
          <w:sz w:val="32"/>
          <w:lang w:val="en-US" w:eastAsia="zh-CN"/>
        </w:rPr>
        <w:t>0.00</w:t>
      </w:r>
      <w:r>
        <w:rPr>
          <w:rFonts w:hint="eastAsia" w:ascii="仿宋_GB2312" w:hAnsi="仿宋_GB2312" w:eastAsia="仿宋_GB2312" w:cs="仿宋_GB2312"/>
          <w:sz w:val="32"/>
          <w:lang w:eastAsia="zh-CN"/>
        </w:rPr>
        <w:t>%；科学技术支出为0.00万元，占比0.00%；</w:t>
      </w:r>
      <w:r>
        <w:rPr>
          <w:rFonts w:hint="eastAsia" w:ascii="仿宋_GB2312" w:hAnsi="仿宋_GB2312" w:eastAsia="仿宋_GB2312" w:cs="仿宋_GB2312"/>
          <w:sz w:val="32"/>
          <w:lang w:val="en-US" w:eastAsia="zh-CN"/>
        </w:rPr>
        <w:t>文化旅游体育与传媒支出0万元，</w:t>
      </w:r>
      <w:r>
        <w:rPr>
          <w:rFonts w:hint="eastAsia" w:ascii="仿宋_GB2312" w:hAnsi="仿宋_GB2312" w:eastAsia="仿宋_GB2312" w:cs="仿宋_GB2312"/>
          <w:sz w:val="32"/>
          <w:lang w:eastAsia="zh-CN"/>
        </w:rPr>
        <w:t>占比</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社会保障和就业支出104.77万元，占比5.13%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卫生健康支出45.01万元，占比2.22%</w:t>
      </w:r>
      <w:r>
        <w:rPr>
          <w:rFonts w:hint="eastAsia" w:ascii="仿宋_GB2312" w:hAnsi="仿宋_GB2312" w:eastAsia="仿宋_GB2312" w:cs="仿宋_GB2312"/>
          <w:sz w:val="32"/>
          <w:lang w:eastAsia="zh-CN"/>
        </w:rPr>
        <w:t>；节能环保支出为0.00万元，占比0.00%；城乡社区支出为</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.00万元，占比0.</w:t>
      </w:r>
      <w:r>
        <w:rPr>
          <w:rFonts w:hint="eastAsia" w:ascii="仿宋_GB2312" w:hAnsi="仿宋_GB2312" w:eastAsia="仿宋_GB2312" w:cs="仿宋_GB2312"/>
          <w:sz w:val="32"/>
          <w:lang w:val="en-US" w:eastAsia="zh-CN"/>
        </w:rPr>
        <w:t>00</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农林水支出1376.55万元，占比67.35%</w:t>
      </w:r>
      <w:r>
        <w:rPr>
          <w:rFonts w:hint="eastAsia" w:ascii="仿宋_GB2312" w:hAnsi="仿宋_GB2312" w:eastAsia="仿宋_GB2312" w:cs="仿宋_GB2312"/>
          <w:sz w:val="32"/>
          <w:lang w:eastAsia="zh-CN"/>
        </w:rPr>
        <w:t>；交通运输支出为0.00万元，占比0.00%；资源勘探工业信息等支出为0.00万元，占比0.00%；商业服务业等支出为0.00万元，占比0.00%；金融支出为0.00万元，占比0.00%；援助其他地区支出为0.00万元，占比0.00%；自然资源海洋气象等支出为0.00万元，占比0.00%；</w:t>
      </w:r>
      <w:r>
        <w:rPr>
          <w:rFonts w:hint="eastAsia" w:ascii="仿宋_GB2312" w:hAnsi="仿宋_GB2312" w:eastAsia="仿宋_GB2312" w:cs="仿宋_GB2312"/>
          <w:sz w:val="32"/>
          <w:lang w:val="en-US" w:eastAsia="zh-CN"/>
        </w:rPr>
        <w:t>住房保障支出61.89万元，占比3.02%</w:t>
      </w:r>
      <w:r>
        <w:rPr>
          <w:rFonts w:hint="eastAsia" w:ascii="仿宋_GB2312" w:hAnsi="仿宋_GB2312" w:eastAsia="仿宋_GB2312" w:cs="仿宋_GB2312"/>
          <w:sz w:val="32"/>
          <w:lang w:eastAsia="zh-CN"/>
        </w:rPr>
        <w:t>；粮油物资储备支出为0.00万元，占比0.00%；国有资本经营预算支出为0.00万元，占比0.00%；灾害防治及应急管理支出为</w:t>
      </w:r>
      <w:r>
        <w:rPr>
          <w:rFonts w:hint="eastAsia" w:ascii="仿宋_GB2312" w:hAnsi="仿宋_GB2312" w:eastAsia="仿宋_GB2312" w:cs="仿宋_GB2312"/>
          <w:sz w:val="32"/>
          <w:lang w:val="en-US" w:eastAsia="zh-CN"/>
        </w:rPr>
        <w:t>16.51</w:t>
      </w:r>
      <w:r>
        <w:rPr>
          <w:rFonts w:hint="eastAsia" w:ascii="仿宋_GB2312" w:hAnsi="仿宋_GB2312" w:eastAsia="仿宋_GB2312" w:cs="仿宋_GB2312"/>
          <w:sz w:val="32"/>
          <w:lang w:eastAsia="zh-CN"/>
        </w:rPr>
        <w:t>万元，占比</w:t>
      </w:r>
      <w:r>
        <w:rPr>
          <w:rFonts w:hint="eastAsia" w:ascii="仿宋_GB2312" w:hAnsi="仿宋_GB2312" w:eastAsia="仿宋_GB2312" w:cs="仿宋_GB2312"/>
          <w:sz w:val="32"/>
          <w:lang w:val="en-US" w:eastAsia="zh-CN"/>
        </w:rPr>
        <w:t>0.8</w:t>
      </w:r>
      <w:r>
        <w:rPr>
          <w:rFonts w:hint="eastAsia" w:ascii="仿宋_GB2312" w:hAnsi="仿宋_GB2312" w:eastAsia="仿宋_GB2312" w:cs="仿宋_GB2312"/>
          <w:sz w:val="32"/>
          <w:lang w:eastAsia="zh-CN"/>
        </w:rPr>
        <w:t>%；其他支出为0.00万元，占比0.00%；债务还本支出为0.00万元，占比0.00%；债务付息支出为0.00万元，占比0.00%；抗疫特别国债安排的支出为0.00万元，占比0.00%。</w:t>
      </w:r>
    </w:p>
    <w:p w14:paraId="58B4E57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（三）</w:t>
      </w:r>
      <w:r>
        <w:rPr>
          <w:rFonts w:hint="eastAsia" w:eastAsia="楷体_GB2312" w:cs="Times New Roman"/>
          <w:b/>
          <w:bCs/>
          <w:color w:val="000000"/>
          <w:kern w:val="0"/>
          <w:szCs w:val="32"/>
          <w:highlight w:val="none"/>
          <w:shd w:val="clear" w:color="auto" w:fill="FFFFFF"/>
          <w:lang w:val="zh-CN"/>
        </w:rPr>
        <w:t>结余分配和结转结余情况</w:t>
      </w:r>
    </w:p>
    <w:p w14:paraId="03BBE0D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我镇2024年决算报表</w:t>
      </w:r>
      <w:r>
        <w:rPr>
          <w:rFonts w:hint="default" w:ascii="仿宋_GB2312" w:hAnsi="仿宋_GB2312" w:eastAsia="仿宋_GB2312" w:cs="仿宋_GB2312"/>
          <w:sz w:val="32"/>
          <w:lang w:val="en-US" w:eastAsia="zh-CN"/>
        </w:rPr>
        <w:t>结转结余</w:t>
      </w:r>
      <w:r>
        <w:rPr>
          <w:rFonts w:hint="eastAsia" w:ascii="仿宋_GB2312" w:hAnsi="仿宋_GB2312" w:eastAsia="仿宋_GB2312" w:cs="仿宋_GB2312"/>
          <w:sz w:val="32"/>
          <w:lang w:val="en-US" w:eastAsia="zh-CN"/>
        </w:rPr>
        <w:t>为0元，无结转结余</w:t>
      </w:r>
      <w:r>
        <w:rPr>
          <w:rFonts w:hint="default" w:ascii="仿宋_GB2312" w:hAnsi="仿宋_GB2312" w:eastAsia="仿宋_GB2312" w:cs="仿宋_GB2312"/>
          <w:sz w:val="32"/>
          <w:lang w:val="en-US" w:eastAsia="zh-CN"/>
        </w:rPr>
        <w:t>。</w:t>
      </w:r>
    </w:p>
    <w:p w14:paraId="0AD4C78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5D43ACA5">
      <w:pPr>
        <w:keepNext w:val="0"/>
        <w:keepLines w:val="0"/>
        <w:pageBreakBefore w:val="0"/>
        <w:widowControl w:val="0"/>
        <w:kinsoku/>
        <w:wordWrap/>
        <w:overflowPunct/>
        <w:topLinePunct w:val="0"/>
        <w:autoSpaceDE/>
        <w:autoSpaceDN/>
        <w:bidi w:val="0"/>
        <w:adjustRightInd w:val="0"/>
        <w:snapToGrid w:val="0"/>
        <w:spacing w:line="560" w:lineRule="exact"/>
        <w:ind w:left="0"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（一）部门预算总体绩效分析。指标分值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65</w:t>
      </w:r>
      <w:r>
        <w:rPr>
          <w:rFonts w:hint="eastAsia" w:ascii="楷体_GB2312" w:hAnsi="楷体_GB2312" w:eastAsia="楷体_GB2312" w:cs="楷体_GB2312"/>
          <w:b/>
          <w:bCs/>
          <w:color w:val="000000"/>
          <w:kern w:val="0"/>
          <w:szCs w:val="32"/>
          <w:highlight w:val="none"/>
          <w:shd w:val="clear" w:color="auto" w:fill="FFFFFF"/>
          <w:lang w:val="zh-CN"/>
        </w:rPr>
        <w:t>分，自评得分</w:t>
      </w:r>
      <w:r>
        <w:rPr>
          <w:rFonts w:hint="eastAsia" w:ascii="楷体_GB2312" w:hAnsi="楷体_GB2312" w:eastAsia="楷体_GB2312" w:cs="楷体_GB2312"/>
          <w:b/>
          <w:bCs/>
          <w:color w:val="000000"/>
          <w:kern w:val="0"/>
          <w:szCs w:val="32"/>
          <w:highlight w:val="none"/>
          <w:shd w:val="clear" w:color="auto" w:fill="FFFFFF"/>
          <w:lang w:val="en-US" w:eastAsia="zh-CN"/>
        </w:rPr>
        <w:t>61.8</w:t>
      </w:r>
      <w:r>
        <w:rPr>
          <w:rFonts w:hint="eastAsia" w:ascii="楷体_GB2312" w:hAnsi="楷体_GB2312" w:eastAsia="楷体_GB2312" w:cs="楷体_GB2312"/>
          <w:b/>
          <w:bCs/>
          <w:color w:val="000000"/>
          <w:kern w:val="0"/>
          <w:szCs w:val="32"/>
          <w:highlight w:val="none"/>
          <w:shd w:val="clear" w:color="auto" w:fill="FFFFFF"/>
          <w:lang w:val="zh-CN"/>
        </w:rPr>
        <w:t>分</w:t>
      </w:r>
    </w:p>
    <w:p w14:paraId="70BD8A3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1.</w:t>
      </w:r>
      <w:r>
        <w:rPr>
          <w:rFonts w:hint="eastAsia" w:ascii="仿宋_GB2312" w:hAnsi="仿宋_GB2312" w:eastAsia="仿宋_GB2312" w:cs="仿宋_GB2312"/>
          <w:b/>
          <w:bCs/>
          <w:sz w:val="32"/>
          <w:lang w:val="zh-CN" w:eastAsia="zh-CN"/>
        </w:rPr>
        <w:t>履职效能。指标分值15分，自评得分15分。</w:t>
      </w:r>
    </w:p>
    <w:p w14:paraId="349794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核心职能目标一：基本支出，在职人员工资保险。目标完成情况，截止2024年底我单位如期完成</w:t>
      </w:r>
      <w:r>
        <w:rPr>
          <w:rFonts w:hint="eastAsia" w:ascii="仿宋_GB2312" w:hAnsi="仿宋_GB2312" w:eastAsia="仿宋_GB2312" w:cs="仿宋_GB2312"/>
          <w:sz w:val="32"/>
          <w:lang w:val="en-US" w:eastAsia="zh-CN"/>
        </w:rPr>
        <w:t>36</w:t>
      </w:r>
      <w:r>
        <w:rPr>
          <w:rFonts w:hint="eastAsia" w:ascii="仿宋_GB2312" w:hAnsi="仿宋_GB2312" w:eastAsia="仿宋_GB2312" w:cs="仿宋_GB2312"/>
          <w:sz w:val="32"/>
          <w:lang w:val="zh-CN" w:eastAsia="zh-CN"/>
        </w:rPr>
        <w:t>人全年工资保险发放。该资金开支范围、标准及支付进度，支付依据合规合法，资金支付与绩效目标相符。</w:t>
      </w:r>
    </w:p>
    <w:p w14:paraId="3012159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核心职能目标二：项目支出，</w:t>
      </w:r>
      <w:r>
        <w:rPr>
          <w:rFonts w:hint="eastAsia" w:ascii="仿宋_GB2312" w:hAnsi="仿宋_GB2312" w:eastAsia="仿宋_GB2312" w:cs="仿宋_GB2312"/>
          <w:sz w:val="32"/>
          <w:lang w:val="en-US" w:eastAsia="zh-CN"/>
        </w:rPr>
        <w:t>2024年全镇</w:t>
      </w:r>
      <w:r>
        <w:rPr>
          <w:rFonts w:hint="eastAsia" w:ascii="仿宋_GB2312" w:hAnsi="仿宋_GB2312" w:eastAsia="仿宋_GB2312" w:cs="仿宋_GB2312"/>
          <w:sz w:val="32"/>
          <w:lang w:val="zh-CN" w:eastAsia="zh-CN"/>
        </w:rPr>
        <w:t>各项资金开支范围、标准及支付进度，支付依据合规合法，资金支付与预算相符。</w:t>
      </w:r>
    </w:p>
    <w:p w14:paraId="78C8D94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2.</w:t>
      </w:r>
      <w:r>
        <w:rPr>
          <w:rFonts w:hint="eastAsia" w:ascii="仿宋_GB2312" w:hAnsi="仿宋_GB2312" w:eastAsia="仿宋_GB2312" w:cs="仿宋_GB2312"/>
          <w:b/>
          <w:bCs/>
          <w:sz w:val="32"/>
          <w:lang w:val="zh-CN" w:eastAsia="zh-CN"/>
        </w:rPr>
        <w:t>预算管理。指标分值25分，自评得分</w:t>
      </w:r>
      <w:r>
        <w:rPr>
          <w:rFonts w:hint="eastAsia" w:ascii="仿宋_GB2312" w:hAnsi="仿宋_GB2312" w:eastAsia="仿宋_GB2312" w:cs="仿宋_GB2312"/>
          <w:b/>
          <w:bCs/>
          <w:sz w:val="32"/>
          <w:lang w:val="en-US" w:eastAsia="zh-CN"/>
        </w:rPr>
        <w:t>21</w:t>
      </w:r>
      <w:r>
        <w:rPr>
          <w:rFonts w:hint="eastAsia" w:ascii="仿宋_GB2312" w:hAnsi="仿宋_GB2312" w:eastAsia="仿宋_GB2312" w:cs="仿宋_GB2312"/>
          <w:b/>
          <w:bCs/>
          <w:sz w:val="32"/>
          <w:lang w:val="zh-CN" w:eastAsia="zh-CN"/>
        </w:rPr>
        <w:t>分。</w:t>
      </w:r>
    </w:p>
    <w:p w14:paraId="08D40C8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预算编制质量：本单位本年度收入调整预算数为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万元，收入决算数为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万元，支出决算数为</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万元，预算支出完成度为100.00%。截止2024年度我单位资金无结转结余。</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w:t>
      </w:r>
    </w:p>
    <w:p w14:paraId="5379024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单位收入统筹</w:t>
      </w:r>
      <w:r>
        <w:rPr>
          <w:rFonts w:hint="eastAsia" w:ascii="仿宋_GB2312" w:hAnsi="仿宋_GB2312" w:eastAsia="仿宋_GB2312" w:cs="仿宋_GB2312"/>
          <w:sz w:val="32"/>
          <w:lang w:eastAsia="zh-CN"/>
        </w:rPr>
        <w:t>：我单位不涉及该项指标。</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6669006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支出执行进度：2024年1-6月支付情况：支付数据</w:t>
      </w:r>
      <w:r>
        <w:rPr>
          <w:rFonts w:hint="eastAsia" w:ascii="仿宋_GB2312" w:hAnsi="仿宋_GB2312" w:eastAsia="仿宋_GB2312" w:cs="仿宋_GB2312"/>
          <w:sz w:val="32"/>
          <w:lang w:val="en-US" w:eastAsia="zh-CN"/>
        </w:rPr>
        <w:t>957.27</w:t>
      </w:r>
      <w:r>
        <w:rPr>
          <w:rFonts w:hint="eastAsia" w:ascii="仿宋_GB2312" w:hAnsi="仿宋_GB2312" w:eastAsia="仿宋_GB2312" w:cs="仿宋_GB2312"/>
          <w:sz w:val="32"/>
          <w:lang w:eastAsia="zh-CN"/>
        </w:rPr>
        <w:t>万元，支付率</w:t>
      </w:r>
      <w:r>
        <w:rPr>
          <w:rFonts w:hint="eastAsia" w:ascii="仿宋_GB2312" w:hAnsi="仿宋_GB2312" w:eastAsia="仿宋_GB2312" w:cs="仿宋_GB2312"/>
          <w:sz w:val="32"/>
          <w:lang w:val="en-US" w:eastAsia="zh-CN"/>
        </w:rPr>
        <w:t>42.65</w:t>
      </w:r>
      <w:r>
        <w:rPr>
          <w:rFonts w:hint="eastAsia" w:ascii="仿宋_GB2312" w:hAnsi="仿宋_GB2312" w:eastAsia="仿宋_GB2312" w:cs="仿宋_GB2312"/>
          <w:sz w:val="32"/>
          <w:lang w:eastAsia="zh-CN"/>
        </w:rPr>
        <w:t>%。1-1</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月支付数据</w:t>
      </w:r>
      <w:r>
        <w:rPr>
          <w:rFonts w:hint="eastAsia" w:ascii="仿宋_GB2312" w:hAnsi="仿宋_GB2312" w:eastAsia="仿宋_GB2312" w:cs="仿宋_GB2312"/>
          <w:sz w:val="32"/>
          <w:lang w:val="en-US" w:eastAsia="zh-CN"/>
        </w:rPr>
        <w:t>1365.53</w:t>
      </w:r>
      <w:r>
        <w:rPr>
          <w:rFonts w:hint="eastAsia" w:ascii="仿宋_GB2312" w:hAnsi="仿宋_GB2312" w:eastAsia="仿宋_GB2312" w:cs="仿宋_GB2312"/>
          <w:sz w:val="32"/>
          <w:lang w:eastAsia="zh-CN"/>
        </w:rPr>
        <w:t>万元，支付率</w:t>
      </w:r>
      <w:r>
        <w:rPr>
          <w:rFonts w:hint="eastAsia" w:ascii="仿宋_GB2312" w:hAnsi="仿宋_GB2312" w:eastAsia="仿宋_GB2312" w:cs="仿宋_GB2312"/>
          <w:sz w:val="32"/>
          <w:lang w:val="en-US" w:eastAsia="zh-CN"/>
        </w:rPr>
        <w:t>60.83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6</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14:paraId="521CA1F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预算年终结余:2024年无结转结余。</w:t>
      </w:r>
      <w:r>
        <w:rPr>
          <w:rFonts w:hint="eastAsia" w:ascii="仿宋_GB2312" w:hAnsi="仿宋_GB2312" w:eastAsia="仿宋_GB2312" w:cs="仿宋_GB2312"/>
          <w:sz w:val="32"/>
          <w:lang w:val="zh-CN" w:eastAsia="zh-CN"/>
        </w:rPr>
        <w:t>指标分值2分，自评得分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14:paraId="4B27080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严控一般性支出：我单位严控“三公”经费、会议、培训、差旅、办节办展、办公设备购置、信息网络及软件购置更新、课题经费等8项一般性支出。</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w:t>
      </w:r>
    </w:p>
    <w:p w14:paraId="2844A7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3.</w:t>
      </w:r>
      <w:r>
        <w:rPr>
          <w:rFonts w:hint="eastAsia" w:ascii="仿宋_GB2312" w:hAnsi="仿宋_GB2312" w:eastAsia="仿宋_GB2312" w:cs="仿宋_GB2312"/>
          <w:b/>
          <w:bCs/>
          <w:sz w:val="32"/>
          <w:lang w:val="zh-CN" w:eastAsia="zh-CN"/>
        </w:rPr>
        <w:t>财务管理。指标分值</w:t>
      </w:r>
      <w:r>
        <w:rPr>
          <w:rFonts w:hint="eastAsia" w:ascii="仿宋_GB2312" w:hAnsi="仿宋_GB2312" w:eastAsia="仿宋_GB2312" w:cs="仿宋_GB2312"/>
          <w:b/>
          <w:bCs/>
          <w:sz w:val="32"/>
          <w:lang w:val="en-US" w:eastAsia="zh-CN"/>
        </w:rPr>
        <w:t>10</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14:paraId="439758C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财务管理制度：强化制度建设。不断强化财务管理制度建设，依据相关法律、法规及管理办法，制定符合我镇财务制度，着重从预算绩效管理主要内容和环节，规范操作程序和质量控制要求，构建起工作有指导、实施有方案、内部有规程等相互支撑制度体系。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636F6B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财务岗位设置：我镇按照财务制度规定</w:t>
      </w:r>
      <w:r>
        <w:rPr>
          <w:rFonts w:hint="eastAsia" w:ascii="仿宋_GB2312" w:hAnsi="仿宋_GB2312" w:eastAsia="仿宋_GB2312" w:cs="仿宋_GB2312"/>
          <w:sz w:val="32"/>
          <w:lang w:val="en-US" w:eastAsia="zh-CN"/>
        </w:rPr>
        <w:t>,设立会计、出纳岗位，相互监督。</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14:paraId="18C7FA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资金使用规范：本年度收到预算资金</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万元，实际使用</w:t>
      </w:r>
      <w:r>
        <w:rPr>
          <w:rFonts w:hint="eastAsia" w:ascii="仿宋_GB2312" w:hAnsi="仿宋_GB2312" w:eastAsia="仿宋_GB2312" w:cs="仿宋_GB2312"/>
          <w:sz w:val="32"/>
          <w:lang w:val="en-US" w:eastAsia="zh-CN"/>
        </w:rPr>
        <w:t>2043.81</w:t>
      </w:r>
      <w:r>
        <w:rPr>
          <w:rFonts w:hint="eastAsia" w:ascii="仿宋_GB2312" w:hAnsi="仿宋_GB2312" w:eastAsia="仿宋_GB2312" w:cs="仿宋_GB2312"/>
          <w:sz w:val="32"/>
          <w:lang w:eastAsia="zh-CN"/>
        </w:rPr>
        <w:t>万元。资金使用过程中严格按照单位财务管理制度要</w:t>
      </w:r>
      <w:r>
        <w:rPr>
          <w:rFonts w:hint="eastAsia" w:ascii="仿宋_GB2312" w:hAnsi="仿宋_GB2312" w:eastAsia="仿宋_GB2312" w:cs="仿宋_GB2312"/>
          <w:sz w:val="32"/>
          <w:lang w:val="zh-CN" w:eastAsia="zh-CN"/>
        </w:rPr>
        <w:t>求执行，提高资金使用的合规性。指标分值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0747232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4.</w:t>
      </w:r>
      <w:r>
        <w:rPr>
          <w:rFonts w:hint="eastAsia" w:ascii="仿宋_GB2312" w:hAnsi="仿宋_GB2312" w:eastAsia="仿宋_GB2312" w:cs="仿宋_GB2312"/>
          <w:b/>
          <w:bCs/>
          <w:sz w:val="32"/>
          <w:lang w:val="zh-CN" w:eastAsia="zh-CN"/>
        </w:rPr>
        <w:t>资产管理。指标分值</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14:paraId="4CAEC17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人均资产变化率</w:t>
      </w:r>
      <w:r>
        <w:rPr>
          <w:rFonts w:hint="eastAsia" w:ascii="仿宋_GB2312" w:hAnsi="仿宋_GB2312" w:eastAsia="仿宋_GB2312" w:cs="仿宋_GB2312"/>
          <w:sz w:val="32"/>
          <w:lang w:val="en-US" w:eastAsia="zh-CN"/>
        </w:rPr>
        <w:t>=(期末人均资产-期初人均资产)/期初人均资产*100%。均符合相关规定，低于规定值。</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643230B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zh-CN" w:eastAsia="zh-CN"/>
        </w:rPr>
        <w:t>固定资产在用率：</w:t>
      </w:r>
      <w:r>
        <w:rPr>
          <w:rFonts w:hint="eastAsia" w:ascii="仿宋_GB2312" w:hAnsi="仿宋_GB2312" w:eastAsia="仿宋_GB2312" w:cs="仿宋_GB2312"/>
          <w:sz w:val="32"/>
          <w:lang w:eastAsia="zh-CN"/>
        </w:rPr>
        <w:t>截止2024年12月31日，固定资产总计</w:t>
      </w:r>
      <w:r>
        <w:rPr>
          <w:rFonts w:hint="eastAsia" w:ascii="仿宋_GB2312" w:hAnsi="仿宋_GB2312" w:eastAsia="仿宋_GB2312" w:cs="仿宋_GB2312"/>
          <w:sz w:val="32"/>
          <w:lang w:val="en-US" w:eastAsia="zh-CN"/>
        </w:rPr>
        <w:t>1164.75</w:t>
      </w:r>
      <w:r>
        <w:rPr>
          <w:rFonts w:hint="eastAsia" w:ascii="仿宋_GB2312" w:hAnsi="仿宋_GB2312" w:eastAsia="仿宋_GB2312" w:cs="仿宋_GB2312"/>
          <w:sz w:val="32"/>
          <w:lang w:eastAsia="zh-CN"/>
        </w:rPr>
        <w:t>万元，在用的固定资产总计</w:t>
      </w:r>
      <w:r>
        <w:rPr>
          <w:rFonts w:hint="eastAsia" w:ascii="仿宋_GB2312" w:hAnsi="仿宋_GB2312" w:eastAsia="仿宋_GB2312" w:cs="仿宋_GB2312"/>
          <w:sz w:val="32"/>
          <w:lang w:val="en-US" w:eastAsia="zh-CN"/>
        </w:rPr>
        <w:t>1164.75</w:t>
      </w:r>
      <w:r>
        <w:rPr>
          <w:rFonts w:hint="eastAsia" w:ascii="仿宋_GB2312" w:hAnsi="仿宋_GB2312" w:eastAsia="仿宋_GB2312" w:cs="仿宋_GB2312"/>
          <w:sz w:val="32"/>
          <w:lang w:eastAsia="zh-CN"/>
        </w:rPr>
        <w:t>万元，固定资产在用率达100%。</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45FF7DD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资产盘活率。资产闲置</w:t>
      </w:r>
      <w:r>
        <w:rPr>
          <w:rFonts w:hint="eastAsia" w:ascii="仿宋_GB2312" w:hAnsi="仿宋_GB2312" w:eastAsia="仿宋_GB2312" w:cs="仿宋_GB2312"/>
          <w:sz w:val="32"/>
          <w:lang w:val="en-US" w:eastAsia="zh-CN"/>
        </w:rPr>
        <w:t>0万元，</w:t>
      </w:r>
      <w:r>
        <w:rPr>
          <w:rFonts w:hint="eastAsia" w:ascii="仿宋_GB2312" w:hAnsi="仿宋_GB2312" w:eastAsia="仿宋_GB2312" w:cs="仿宋_GB2312"/>
          <w:sz w:val="32"/>
          <w:lang w:eastAsia="zh-CN"/>
        </w:rPr>
        <w:t>资产盘活率达</w:t>
      </w:r>
      <w:r>
        <w:rPr>
          <w:rFonts w:hint="eastAsia" w:ascii="仿宋_GB2312" w:hAnsi="仿宋_GB2312" w:eastAsia="仿宋_GB2312" w:cs="仿宋_GB2312"/>
          <w:sz w:val="32"/>
          <w:lang w:val="en-US" w:eastAsia="zh-CN"/>
        </w:rPr>
        <w:t>100%。</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54DCC17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5.</w:t>
      </w:r>
      <w:r>
        <w:rPr>
          <w:rFonts w:hint="eastAsia" w:ascii="仿宋_GB2312" w:hAnsi="仿宋_GB2312" w:eastAsia="仿宋_GB2312" w:cs="仿宋_GB2312"/>
          <w:b/>
          <w:bCs/>
          <w:sz w:val="32"/>
          <w:lang w:val="zh-CN" w:eastAsia="zh-CN"/>
        </w:rPr>
        <w:t>采购管理。指标分值</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w:t>
      </w:r>
    </w:p>
    <w:p w14:paraId="7CD644F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zh-CN" w:eastAsia="zh-CN"/>
        </w:rPr>
        <w:t>支持中小企业发展：2024</w:t>
      </w:r>
      <w:r>
        <w:rPr>
          <w:rFonts w:hint="default" w:ascii="仿宋_GB2312" w:hAnsi="仿宋_GB2312" w:eastAsia="仿宋_GB2312" w:cs="仿宋_GB2312"/>
          <w:sz w:val="32"/>
          <w:lang w:val="zh-CN" w:eastAsia="zh-CN"/>
        </w:rPr>
        <w:t>年我镇政府采购预算总额</w:t>
      </w:r>
      <w:r>
        <w:rPr>
          <w:rFonts w:hint="eastAsia" w:ascii="仿宋_GB2312" w:hAnsi="仿宋_GB2312" w:eastAsia="仿宋_GB2312" w:cs="仿宋_GB2312"/>
          <w:sz w:val="32"/>
          <w:lang w:val="en-US" w:eastAsia="zh-CN"/>
        </w:rPr>
        <w:t>0</w:t>
      </w:r>
      <w:r>
        <w:rPr>
          <w:rFonts w:hint="default" w:ascii="仿宋_GB2312" w:hAnsi="仿宋_GB2312" w:eastAsia="仿宋_GB2312" w:cs="仿宋_GB2312"/>
          <w:sz w:val="32"/>
          <w:lang w:val="zh-CN" w:eastAsia="zh-CN"/>
        </w:rPr>
        <w:t>万元</w:t>
      </w:r>
      <w:r>
        <w:rPr>
          <w:rFonts w:hint="eastAsia" w:ascii="仿宋_GB2312" w:hAnsi="仿宋_GB2312" w:eastAsia="仿宋_GB2312" w:cs="仿宋_GB2312"/>
          <w:sz w:val="32"/>
          <w:lang w:val="zh-CN" w:eastAsia="zh-CN"/>
        </w:rPr>
        <w:t>，其中面向支持中小企业发展采购资金为</w:t>
      </w:r>
      <w:r>
        <w:rPr>
          <w:rFonts w:hint="eastAsia" w:ascii="仿宋_GB2312" w:hAnsi="仿宋_GB2312" w:eastAsia="仿宋_GB2312" w:cs="仿宋_GB2312"/>
          <w:sz w:val="32"/>
          <w:lang w:val="en-US" w:eastAsia="zh-CN"/>
        </w:rPr>
        <w:t>0万元</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54EC8AA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highlight w:val="none"/>
          <w:lang w:val="zh-CN"/>
        </w:rPr>
      </w:pPr>
      <w:r>
        <w:rPr>
          <w:rFonts w:hint="eastAsia" w:ascii="仿宋_GB2312" w:hAnsi="仿宋_GB2312" w:eastAsia="仿宋_GB2312" w:cs="仿宋_GB2312"/>
          <w:sz w:val="32"/>
          <w:lang w:eastAsia="zh-CN"/>
        </w:rPr>
        <w:t>采购执行率：</w:t>
      </w:r>
      <w:r>
        <w:rPr>
          <w:rFonts w:hint="eastAsia" w:ascii="仿宋_GB2312" w:hAnsi="仿宋_GB2312" w:eastAsia="仿宋_GB2312" w:cs="仿宋_GB2312"/>
          <w:sz w:val="32"/>
          <w:lang w:val="zh-CN" w:eastAsia="zh-CN"/>
        </w:rPr>
        <w:t>2024</w:t>
      </w:r>
      <w:r>
        <w:rPr>
          <w:rFonts w:hint="default" w:ascii="仿宋_GB2312" w:hAnsi="仿宋_GB2312" w:eastAsia="仿宋_GB2312" w:cs="仿宋_GB2312"/>
          <w:sz w:val="32"/>
          <w:lang w:val="zh-CN" w:eastAsia="zh-CN"/>
        </w:rPr>
        <w:t>年我镇政府采购预算总额</w:t>
      </w:r>
      <w:r>
        <w:rPr>
          <w:rFonts w:hint="eastAsia" w:ascii="仿宋_GB2312" w:hAnsi="仿宋_GB2312" w:eastAsia="仿宋_GB2312" w:cs="仿宋_GB2312"/>
          <w:sz w:val="32"/>
          <w:lang w:val="en-US" w:eastAsia="zh-CN"/>
        </w:rPr>
        <w:t>0</w:t>
      </w:r>
      <w:r>
        <w:rPr>
          <w:rFonts w:hint="default" w:ascii="仿宋_GB2312" w:hAnsi="仿宋_GB2312" w:eastAsia="仿宋_GB2312" w:cs="仿宋_GB2312"/>
          <w:sz w:val="32"/>
          <w:lang w:val="zh-CN" w:eastAsia="zh-CN"/>
        </w:rPr>
        <w:t>万元</w:t>
      </w:r>
      <w:r>
        <w:rPr>
          <w:rFonts w:hint="eastAsia" w:ascii="仿宋_GB2312" w:hAnsi="仿宋_GB2312" w:eastAsia="仿宋_GB2312" w:cs="仿宋_GB2312"/>
          <w:sz w:val="32"/>
          <w:lang w:val="zh-CN" w:eastAsia="zh-CN"/>
        </w:rPr>
        <w:t>，其中面向支持中小企业发展采购资金为</w:t>
      </w:r>
      <w:r>
        <w:rPr>
          <w:rFonts w:hint="eastAsia" w:ascii="仿宋_GB2312" w:hAnsi="仿宋_GB2312" w:eastAsia="仿宋_GB2312" w:cs="仿宋_GB2312"/>
          <w:sz w:val="32"/>
          <w:lang w:val="en-US" w:eastAsia="zh-CN"/>
        </w:rPr>
        <w:t>0万元</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en-US" w:eastAsia="zh-CN"/>
        </w:rPr>
        <w:t>服务</w:t>
      </w:r>
      <w:r>
        <w:rPr>
          <w:rFonts w:hint="eastAsia" w:ascii="仿宋_GB2312" w:hAnsi="仿宋_GB2312" w:eastAsia="仿宋_GB2312" w:cs="仿宋_GB2312"/>
          <w:sz w:val="32"/>
          <w:lang w:val="zh-CN" w:eastAsia="zh-CN"/>
        </w:rPr>
        <w:t>采购</w:t>
      </w:r>
      <w:r>
        <w:rPr>
          <w:rFonts w:hint="eastAsia" w:ascii="仿宋_GB2312" w:hAnsi="仿宋_GB2312" w:eastAsia="仿宋_GB2312" w:cs="仿宋_GB2312"/>
          <w:sz w:val="32"/>
          <w:lang w:val="en-US" w:eastAsia="zh-CN"/>
        </w:rPr>
        <w:t>0万元、</w:t>
      </w:r>
      <w:r>
        <w:rPr>
          <w:rFonts w:hint="eastAsia" w:ascii="仿宋_GB2312" w:hAnsi="仿宋_GB2312" w:eastAsia="仿宋_GB2312" w:cs="仿宋_GB2312"/>
          <w:sz w:val="32"/>
          <w:lang w:val="zh-CN" w:eastAsia="zh-CN"/>
        </w:rPr>
        <w:t>货物</w:t>
      </w:r>
      <w:r>
        <w:rPr>
          <w:rFonts w:hint="eastAsia" w:ascii="仿宋_GB2312" w:hAnsi="仿宋_GB2312" w:eastAsia="仿宋_GB2312" w:cs="仿宋_GB2312"/>
          <w:sz w:val="32"/>
          <w:lang w:val="en-US" w:eastAsia="zh-CN"/>
        </w:rPr>
        <w:t>采购0万元、工程采购0万元。</w:t>
      </w:r>
      <w:r>
        <w:rPr>
          <w:rFonts w:hint="eastAsia" w:ascii="仿宋_GB2312" w:hAnsi="仿宋_GB2312" w:eastAsia="仿宋_GB2312" w:cs="仿宋_GB2312"/>
          <w:sz w:val="32"/>
          <w:lang w:eastAsia="zh-CN"/>
        </w:rPr>
        <w:t>支持中小企业发展：政府采购授予中小企业合同金额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万元，其中：授予小微企业合同金额0万元。</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0317DE30">
      <w:pPr>
        <w:keepNext w:val="0"/>
        <w:keepLines w:val="0"/>
        <w:pageBreakBefore w:val="0"/>
        <w:widowControl w:val="0"/>
        <w:kinsoku/>
        <w:wordWrap/>
        <w:overflowPunct/>
        <w:topLinePunct w:val="0"/>
        <w:autoSpaceDE/>
        <w:autoSpaceDN/>
        <w:bidi w:val="0"/>
        <w:adjustRightInd w:val="0"/>
        <w:snapToGrid w:val="0"/>
        <w:spacing w:line="560" w:lineRule="exact"/>
        <w:ind w:left="0"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zh-CN"/>
        </w:rPr>
        <w:t>（二）部门预算项目绩效分析。指标分值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35分，自评得分32分。</w:t>
      </w:r>
    </w:p>
    <w:p w14:paraId="15BB3AC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en-US" w:eastAsia="zh-CN"/>
        </w:rPr>
        <w:t>常年项目绩效分析。</w:t>
      </w:r>
      <w:r>
        <w:rPr>
          <w:rFonts w:hint="default" w:ascii="仿宋_GB2312" w:hAnsi="仿宋_GB2312" w:eastAsia="仿宋_GB2312" w:cs="仿宋_GB2312"/>
          <w:sz w:val="32"/>
          <w:lang w:val="zh-CN" w:eastAsia="zh-CN"/>
        </w:rPr>
        <w:t>该类项目总数</w:t>
      </w:r>
      <w:r>
        <w:rPr>
          <w:rFonts w:hint="eastAsia" w:ascii="仿宋_GB2312" w:hAnsi="仿宋_GB2312" w:eastAsia="仿宋_GB2312" w:cs="仿宋_GB2312"/>
          <w:sz w:val="32"/>
          <w:lang w:val="en-US" w:eastAsia="zh-CN"/>
        </w:rPr>
        <w:t>5</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14:paraId="7D18A2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1.</w:t>
      </w:r>
      <w:r>
        <w:rPr>
          <w:rFonts w:hint="eastAsia" w:ascii="仿宋_GB2312" w:hAnsi="仿宋_GB2312" w:eastAsia="仿宋_GB2312" w:cs="仿宋_GB2312"/>
          <w:sz w:val="32"/>
          <w:lang w:val="zh-CN" w:eastAsia="zh-CN"/>
        </w:rPr>
        <w:t>人大代表工作经费：</w:t>
      </w:r>
      <w:r>
        <w:rPr>
          <w:rFonts w:hint="eastAsia" w:ascii="仿宋_GB2312" w:hAnsi="仿宋_GB2312" w:eastAsia="仿宋_GB2312" w:cs="仿宋_GB2312"/>
          <w:sz w:val="32"/>
          <w:lang w:val="en-US" w:eastAsia="zh-CN"/>
        </w:rPr>
        <w:t>调整后预算7.29万元，实际支付7.29万元；</w:t>
      </w:r>
    </w:p>
    <w:p w14:paraId="1106D01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村干部工资：</w:t>
      </w:r>
      <w:r>
        <w:rPr>
          <w:rFonts w:hint="eastAsia" w:ascii="仿宋_GB2312" w:hAnsi="仿宋_GB2312" w:eastAsia="仿宋_GB2312" w:cs="仿宋_GB2312"/>
          <w:sz w:val="32"/>
          <w:lang w:val="en-US" w:eastAsia="zh-CN"/>
        </w:rPr>
        <w:t>调整后预算131.35万元，实际支付131.35万元；</w:t>
      </w:r>
    </w:p>
    <w:p w14:paraId="2AE7E0B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村干部体检费：</w:t>
      </w:r>
      <w:r>
        <w:rPr>
          <w:rFonts w:hint="eastAsia" w:ascii="仿宋_GB2312" w:hAnsi="仿宋_GB2312" w:eastAsia="仿宋_GB2312" w:cs="仿宋_GB2312"/>
          <w:sz w:val="32"/>
          <w:lang w:val="en-US" w:eastAsia="zh-CN"/>
        </w:rPr>
        <w:t>调整后预算0.52万元，实际支付0.52万元；</w:t>
      </w:r>
    </w:p>
    <w:p w14:paraId="02F5324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村级公共运行维护费：</w:t>
      </w:r>
      <w:r>
        <w:rPr>
          <w:rFonts w:hint="eastAsia" w:ascii="仿宋_GB2312" w:hAnsi="仿宋_GB2312" w:eastAsia="仿宋_GB2312" w:cs="仿宋_GB2312"/>
          <w:sz w:val="32"/>
          <w:lang w:val="en-US" w:eastAsia="zh-CN"/>
        </w:rPr>
        <w:t>调整后预算74.99万元，实际支付74.99万元；</w:t>
      </w:r>
    </w:p>
    <w:p w14:paraId="74B8DFC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驻村工作队专项工作经费：</w:t>
      </w:r>
      <w:r>
        <w:rPr>
          <w:rFonts w:hint="eastAsia" w:ascii="仿宋_GB2312" w:hAnsi="仿宋_GB2312" w:eastAsia="仿宋_GB2312" w:cs="仿宋_GB2312"/>
          <w:sz w:val="32"/>
          <w:lang w:val="en-US" w:eastAsia="zh-CN"/>
        </w:rPr>
        <w:t>调整后预算2.5万元，实际支付2.5万元；</w:t>
      </w:r>
    </w:p>
    <w:p w14:paraId="7C7B67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zh-CN" w:eastAsia="zh-CN"/>
        </w:rPr>
        <w:t>涉及预算总金额</w:t>
      </w:r>
      <w:r>
        <w:rPr>
          <w:rFonts w:hint="eastAsia" w:ascii="仿宋_GB2312" w:hAnsi="仿宋_GB2312" w:eastAsia="仿宋_GB2312" w:cs="仿宋_GB2312"/>
          <w:sz w:val="32"/>
          <w:lang w:val="en-US" w:eastAsia="zh-CN"/>
        </w:rPr>
        <w:t>216.65</w:t>
      </w:r>
      <w:r>
        <w:rPr>
          <w:rFonts w:hint="default" w:ascii="仿宋_GB2312" w:hAnsi="仿宋_GB2312" w:eastAsia="仿宋_GB2312" w:cs="仿宋_GB2312"/>
          <w:sz w:val="32"/>
          <w:lang w:val="zh-CN" w:eastAsia="zh-CN"/>
        </w:rPr>
        <w:t>万元，1</w:t>
      </w:r>
      <w:r>
        <w:rPr>
          <w:rFonts w:hint="eastAsia" w:ascii="仿宋_GB2312" w:hAnsi="仿宋_GB2312" w:eastAsia="仿宋_GB2312" w:cs="仿宋_GB2312"/>
          <w:sz w:val="32"/>
          <w:lang w:val="zh-CN" w:eastAsia="zh-CN"/>
        </w:rPr>
        <w:t>—</w:t>
      </w:r>
      <w:r>
        <w:rPr>
          <w:rFonts w:hint="default" w:ascii="仿宋_GB2312" w:hAnsi="仿宋_GB2312" w:eastAsia="仿宋_GB2312" w:cs="仿宋_GB2312"/>
          <w:sz w:val="32"/>
          <w:lang w:val="zh-CN" w:eastAsia="zh-CN"/>
        </w:rPr>
        <w:t>1</w:t>
      </w:r>
      <w:r>
        <w:rPr>
          <w:rFonts w:hint="default" w:ascii="仿宋_GB2312" w:hAnsi="仿宋_GB2312" w:eastAsia="仿宋_GB2312" w:cs="仿宋_GB2312"/>
          <w:sz w:val="32"/>
          <w:lang w:val="en-US" w:eastAsia="zh-CN"/>
        </w:rPr>
        <w:t>2</w:t>
      </w:r>
      <w:r>
        <w:rPr>
          <w:rFonts w:hint="default" w:ascii="仿宋_GB2312" w:hAnsi="仿宋_GB2312" w:eastAsia="仿宋_GB2312" w:cs="仿宋_GB2312"/>
          <w:sz w:val="32"/>
          <w:lang w:val="zh-CN" w:eastAsia="zh-CN"/>
        </w:rPr>
        <w:t>月预算执行总体</w:t>
      </w:r>
      <w:r>
        <w:rPr>
          <w:rFonts w:hint="eastAsia" w:ascii="仿宋_GB2312" w:hAnsi="仿宋_GB2312" w:eastAsia="仿宋_GB2312" w:cs="仿宋_GB2312"/>
          <w:sz w:val="32"/>
          <w:lang w:val="zh-CN" w:eastAsia="zh-CN"/>
        </w:rPr>
        <w:t>支付金额为</w:t>
      </w:r>
      <w:r>
        <w:rPr>
          <w:rFonts w:hint="eastAsia" w:ascii="仿宋_GB2312" w:hAnsi="仿宋_GB2312" w:eastAsia="仿宋_GB2312" w:cs="仿宋_GB2312"/>
          <w:sz w:val="32"/>
          <w:lang w:val="en-US" w:eastAsia="zh-CN"/>
        </w:rPr>
        <w:t>216.65万元，</w:t>
      </w:r>
      <w:r>
        <w:rPr>
          <w:rFonts w:hint="default" w:ascii="仿宋_GB2312" w:hAnsi="仿宋_GB2312" w:eastAsia="仿宋_GB2312" w:cs="仿宋_GB2312"/>
          <w:sz w:val="32"/>
          <w:lang w:val="zh-CN" w:eastAsia="zh-CN"/>
        </w:rPr>
        <w:t>进度为</w:t>
      </w:r>
      <w:r>
        <w:rPr>
          <w:rFonts w:hint="eastAsia" w:ascii="仿宋_GB2312" w:hAnsi="仿宋_GB2312" w:eastAsia="仿宋_GB2312" w:cs="仿宋_GB2312"/>
          <w:sz w:val="32"/>
          <w:lang w:val="en-US" w:eastAsia="zh-CN"/>
        </w:rPr>
        <w:t>100</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zh-CN" w:eastAsia="zh-CN"/>
        </w:rPr>
        <w:t>。</w:t>
      </w:r>
    </w:p>
    <w:p w14:paraId="6EEC58A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zh-CN" w:eastAsia="zh-CN"/>
        </w:rPr>
        <w:t>其中：预算结余率大于</w:t>
      </w:r>
      <w:r>
        <w:rPr>
          <w:rFonts w:hint="default" w:ascii="仿宋_GB2312" w:hAnsi="仿宋_GB2312" w:eastAsia="仿宋_GB2312" w:cs="仿宋_GB2312"/>
          <w:sz w:val="32"/>
          <w:lang w:val="en-US" w:eastAsia="zh-CN"/>
        </w:rPr>
        <w:t>10%</w:t>
      </w:r>
      <w:r>
        <w:rPr>
          <w:rFonts w:hint="default" w:ascii="仿宋_GB2312" w:hAnsi="仿宋_GB2312" w:eastAsia="仿宋_GB2312" w:cs="仿宋_GB2312"/>
          <w:sz w:val="32"/>
          <w:lang w:val="zh-CN" w:eastAsia="zh-CN"/>
        </w:rPr>
        <w:t>的项目共计</w:t>
      </w:r>
      <w:r>
        <w:rPr>
          <w:rFonts w:hint="eastAsia" w:ascii="仿宋_GB2312" w:hAnsi="仿宋_GB2312" w:eastAsia="仿宋_GB2312" w:cs="仿宋_GB2312"/>
          <w:sz w:val="32"/>
          <w:lang w:val="en-US" w:eastAsia="zh-CN"/>
        </w:rPr>
        <w:t>0</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14:paraId="091C632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en-US" w:eastAsia="zh-CN"/>
        </w:rPr>
        <w:t>阶段</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一次性</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项目绩效分析。</w:t>
      </w:r>
      <w:r>
        <w:rPr>
          <w:rFonts w:hint="default" w:ascii="仿宋_GB2312" w:hAnsi="仿宋_GB2312" w:eastAsia="仿宋_GB2312" w:cs="仿宋_GB2312"/>
          <w:sz w:val="32"/>
          <w:lang w:val="zh-CN" w:eastAsia="zh-CN"/>
        </w:rPr>
        <w:t>该类项目总数</w:t>
      </w:r>
      <w:r>
        <w:rPr>
          <w:rFonts w:hint="eastAsia" w:ascii="仿宋_GB2312" w:hAnsi="仿宋_GB2312" w:eastAsia="仿宋_GB2312" w:cs="仿宋_GB2312"/>
          <w:sz w:val="32"/>
          <w:lang w:val="en-US" w:eastAsia="zh-CN"/>
        </w:rPr>
        <w:t>9</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14:paraId="18ABB09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1.乡镇避险转移经费项目:调整后预算1.92万元，实际支付1.92万元；</w:t>
      </w:r>
    </w:p>
    <w:p w14:paraId="3C15E0F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2.自然灾害应急资金项目:调整后预算14.59万元，实际支付14.59万元；</w:t>
      </w:r>
    </w:p>
    <w:p w14:paraId="27C61B7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3.沙石多镇羊茸村旅游人居环境提升改造建设项目:调整后预算262.59万元，实际支付262.59万元；</w:t>
      </w:r>
    </w:p>
    <w:p w14:paraId="400F283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4.黑水县羊茸哈德森林音乐会项目:调整后预算140万元，实际支付140万元；</w:t>
      </w:r>
    </w:p>
    <w:p w14:paraId="7D3610A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5.黑水县沙石多镇杨柳秋村2022年“三家园”重点帮扶优秀村州级奖补资金项目:调整后预算19.80万元，实际支付19.80万元；</w:t>
      </w:r>
    </w:p>
    <w:p w14:paraId="351DAA6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6.黑水县沙石多镇雅克夏村2022年“三家园”重点帮扶优秀村州级奖补资金项目:调整后预算19.72万元，实际支付19.72万元；</w:t>
      </w:r>
    </w:p>
    <w:p w14:paraId="6BC70D7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7.沙石多镇2024年农村安全饮水巩固提升工程:调整后预算89.84万元，实际支付89.84万元；</w:t>
      </w:r>
    </w:p>
    <w:p w14:paraId="5AAE9B4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8.黑水县沙石多镇2024年度四川省乡村振兴先进乡镇省级奖补资金项目:调整后预算30.52万元，实际支付30.52万元;</w:t>
      </w:r>
    </w:p>
    <w:p w14:paraId="5D84452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9.黑水县沙石多镇杨柳秋村洛哩措提升项目:调整后预算14.38万元，实际支付14.38万元;</w:t>
      </w:r>
    </w:p>
    <w:p w14:paraId="131665E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zh-CN" w:eastAsia="zh-CN"/>
        </w:rPr>
        <w:t>涉及预算总金额</w:t>
      </w:r>
      <w:r>
        <w:rPr>
          <w:rFonts w:hint="eastAsia" w:ascii="仿宋_GB2312" w:hAnsi="仿宋_GB2312" w:eastAsia="仿宋_GB2312" w:cs="仿宋_GB2312"/>
          <w:sz w:val="32"/>
          <w:lang w:val="en-US" w:eastAsia="zh-CN"/>
        </w:rPr>
        <w:t>593.36</w:t>
      </w:r>
      <w:r>
        <w:rPr>
          <w:rFonts w:hint="default" w:ascii="仿宋_GB2312" w:hAnsi="仿宋_GB2312" w:eastAsia="仿宋_GB2312" w:cs="仿宋_GB2312"/>
          <w:sz w:val="32"/>
          <w:lang w:val="zh-CN" w:eastAsia="zh-CN"/>
        </w:rPr>
        <w:t>万元，1</w:t>
      </w:r>
      <w:r>
        <w:rPr>
          <w:rFonts w:hint="eastAsia" w:ascii="仿宋_GB2312" w:hAnsi="仿宋_GB2312" w:eastAsia="仿宋_GB2312" w:cs="仿宋_GB2312"/>
          <w:sz w:val="32"/>
          <w:lang w:val="zh-CN" w:eastAsia="zh-CN"/>
        </w:rPr>
        <w:t>—</w:t>
      </w:r>
      <w:r>
        <w:rPr>
          <w:rFonts w:hint="default" w:ascii="仿宋_GB2312" w:hAnsi="仿宋_GB2312" w:eastAsia="仿宋_GB2312" w:cs="仿宋_GB2312"/>
          <w:sz w:val="32"/>
          <w:lang w:val="zh-CN" w:eastAsia="zh-CN"/>
        </w:rPr>
        <w:t>1</w:t>
      </w:r>
      <w:r>
        <w:rPr>
          <w:rFonts w:hint="default" w:ascii="仿宋_GB2312" w:hAnsi="仿宋_GB2312" w:eastAsia="仿宋_GB2312" w:cs="仿宋_GB2312"/>
          <w:sz w:val="32"/>
          <w:lang w:val="en-US" w:eastAsia="zh-CN"/>
        </w:rPr>
        <w:t>2</w:t>
      </w:r>
      <w:r>
        <w:rPr>
          <w:rFonts w:hint="default" w:ascii="仿宋_GB2312" w:hAnsi="仿宋_GB2312" w:eastAsia="仿宋_GB2312" w:cs="仿宋_GB2312"/>
          <w:sz w:val="32"/>
          <w:lang w:val="zh-CN" w:eastAsia="zh-CN"/>
        </w:rPr>
        <w:t>月预算执行</w:t>
      </w:r>
      <w:r>
        <w:rPr>
          <w:rFonts w:hint="eastAsia" w:ascii="仿宋_GB2312" w:hAnsi="仿宋_GB2312" w:eastAsia="仿宋_GB2312" w:cs="仿宋_GB2312"/>
          <w:sz w:val="32"/>
          <w:lang w:val="zh-CN" w:eastAsia="zh-CN"/>
        </w:rPr>
        <w:t>总额</w:t>
      </w:r>
      <w:r>
        <w:rPr>
          <w:rFonts w:hint="eastAsia" w:ascii="仿宋_GB2312" w:hAnsi="仿宋_GB2312" w:eastAsia="仿宋_GB2312" w:cs="仿宋_GB2312"/>
          <w:sz w:val="32"/>
          <w:lang w:val="en-US" w:eastAsia="zh-CN"/>
        </w:rPr>
        <w:t>593.36万元，</w:t>
      </w:r>
      <w:r>
        <w:rPr>
          <w:rFonts w:hint="default" w:ascii="仿宋_GB2312" w:hAnsi="仿宋_GB2312" w:eastAsia="仿宋_GB2312" w:cs="仿宋_GB2312"/>
          <w:sz w:val="32"/>
          <w:lang w:val="zh-CN" w:eastAsia="zh-CN"/>
        </w:rPr>
        <w:t>总体进度为</w:t>
      </w:r>
      <w:r>
        <w:rPr>
          <w:rFonts w:hint="eastAsia" w:ascii="仿宋_GB2312" w:hAnsi="仿宋_GB2312" w:eastAsia="仿宋_GB2312" w:cs="仿宋_GB2312"/>
          <w:sz w:val="32"/>
          <w:lang w:val="en-US" w:eastAsia="zh-CN"/>
        </w:rPr>
        <w:t>100</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zh-CN" w:eastAsia="zh-CN"/>
        </w:rPr>
        <w:t>。</w:t>
      </w:r>
    </w:p>
    <w:p w14:paraId="15EB26D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zh-CN" w:eastAsia="zh-CN"/>
        </w:rPr>
        <w:t>其中：预算结余率大于</w:t>
      </w:r>
      <w:r>
        <w:rPr>
          <w:rFonts w:hint="default" w:ascii="仿宋_GB2312" w:hAnsi="仿宋_GB2312" w:eastAsia="仿宋_GB2312" w:cs="仿宋_GB2312"/>
          <w:sz w:val="32"/>
          <w:lang w:val="en-US" w:eastAsia="zh-CN"/>
        </w:rPr>
        <w:t>10%</w:t>
      </w:r>
      <w:r>
        <w:rPr>
          <w:rFonts w:hint="default" w:ascii="仿宋_GB2312" w:hAnsi="仿宋_GB2312" w:eastAsia="仿宋_GB2312" w:cs="仿宋_GB2312"/>
          <w:sz w:val="32"/>
          <w:lang w:val="zh-CN" w:eastAsia="zh-CN"/>
        </w:rPr>
        <w:t>的项目共计</w:t>
      </w:r>
      <w:r>
        <w:rPr>
          <w:rFonts w:hint="eastAsia" w:ascii="仿宋_GB2312" w:hAnsi="仿宋_GB2312" w:eastAsia="仿宋_GB2312" w:cs="仿宋_GB2312"/>
          <w:sz w:val="32"/>
          <w:lang w:val="en-US" w:eastAsia="zh-CN"/>
        </w:rPr>
        <w:t>0</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14:paraId="333DBD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1.</w:t>
      </w:r>
      <w:r>
        <w:rPr>
          <w:rFonts w:hint="eastAsia" w:ascii="仿宋_GB2312" w:hAnsi="仿宋_GB2312" w:eastAsia="仿宋_GB2312" w:cs="仿宋_GB2312"/>
          <w:sz w:val="32"/>
          <w:lang w:val="zh-CN" w:eastAsia="zh-CN"/>
        </w:rPr>
        <w:t>项目决策。指标分值</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11</w:t>
      </w:r>
      <w:r>
        <w:rPr>
          <w:rFonts w:hint="eastAsia" w:ascii="仿宋_GB2312" w:hAnsi="仿宋_GB2312" w:eastAsia="仿宋_GB2312" w:cs="仿宋_GB2312"/>
          <w:sz w:val="32"/>
          <w:lang w:val="zh-CN" w:eastAsia="zh-CN"/>
        </w:rPr>
        <w:t>分。</w:t>
      </w:r>
    </w:p>
    <w:p w14:paraId="2B73D00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en-US" w:eastAsia="zh-CN"/>
        </w:rPr>
        <w:t>决策程序：我镇从项目立项必要性、投入经济性、目标合理性、实施可行性、筹资合规性。按照厉行节约的要求，结合项目开支情况结合实际需求、相关费用标准及市场价格水平，重点对目标数量是否合理、投入是否经济、预算测算是否准确、测算</w:t>
      </w:r>
      <w:r>
        <w:rPr>
          <w:rFonts w:hint="eastAsia" w:ascii="仿宋_GB2312" w:hAnsi="仿宋_GB2312" w:eastAsia="仿宋_GB2312" w:cs="仿宋_GB2312"/>
          <w:sz w:val="32"/>
          <w:lang w:eastAsia="zh-CN"/>
        </w:rPr>
        <w:t>过程是否详细、测算依据是否充分等方面进行了分析。</w:t>
      </w:r>
      <w:r>
        <w:rPr>
          <w:rFonts w:hint="eastAsia" w:ascii="仿宋_GB2312" w:hAnsi="仿宋_GB2312" w:eastAsia="仿宋_GB2312" w:cs="仿宋_GB2312"/>
          <w:sz w:val="32"/>
          <w:lang w:val="zh-CN" w:eastAsia="zh-CN"/>
        </w:rPr>
        <w:t>确定项目实施。指标分值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3FF402B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项目入库；我</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按照项目建设要求在规定时间完成项目入库。</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1B70148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zh-CN" w:eastAsia="zh-CN"/>
        </w:rPr>
        <w:t>目标设置</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sz w:val="32"/>
          <w:lang w:val="zh-CN" w:eastAsia="zh-CN"/>
        </w:rPr>
        <w:t>申报的</w:t>
      </w:r>
      <w:r>
        <w:rPr>
          <w:rFonts w:hint="eastAsia" w:ascii="仿宋_GB2312" w:hAnsi="仿宋_GB2312" w:eastAsia="仿宋_GB2312" w:cs="仿宋_GB2312"/>
          <w:sz w:val="32"/>
          <w:lang w:eastAsia="zh-CN"/>
        </w:rPr>
        <w:t>资金项目内容</w:t>
      </w:r>
      <w:r>
        <w:rPr>
          <w:rFonts w:hint="eastAsia" w:ascii="仿宋_GB2312" w:hAnsi="仿宋_GB2312" w:eastAsia="仿宋_GB2312" w:cs="仿宋_GB2312"/>
          <w:sz w:val="32"/>
          <w:lang w:val="zh-CN" w:eastAsia="zh-CN"/>
        </w:rPr>
        <w:t>与具体实施内容相符的、申报目标是合理可行。指标分值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250018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2.项目执行</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w:t>
      </w:r>
    </w:p>
    <w:p w14:paraId="6CAE510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执行同向：各项目实际列支内容是否与绩效目标设置方向相符。项目组织管理架构及具体实施流程，包括机构设置、监管措施、执行相关管理制度等符合相关规定。</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5460C46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项目调整：按照县级部门资金分配，设立项目，项目未调整。</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312B900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执行结果：资金开支范围、支付依据合规合法，资金支付与预算相符。个别项目支付进度不符，</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32BCC3B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目标实现。指标分值</w:t>
      </w:r>
      <w:r>
        <w:rPr>
          <w:rFonts w:hint="eastAsia" w:ascii="仿宋_GB2312" w:hAnsi="仿宋_GB2312" w:eastAsia="仿宋_GB2312" w:cs="仿宋_GB2312"/>
          <w:sz w:val="32"/>
          <w:lang w:val="en-US" w:eastAsia="zh-CN"/>
        </w:rPr>
        <w:t>11</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9</w:t>
      </w:r>
      <w:r>
        <w:rPr>
          <w:rFonts w:hint="eastAsia" w:ascii="仿宋_GB2312" w:hAnsi="仿宋_GB2312" w:eastAsia="仿宋_GB2312" w:cs="仿宋_GB2312"/>
          <w:sz w:val="32"/>
          <w:lang w:val="zh-CN" w:eastAsia="zh-CN"/>
        </w:rPr>
        <w:t>分。</w:t>
      </w:r>
    </w:p>
    <w:p w14:paraId="2280D72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目标完成：项目从经济、社会、生态、可持续效益以及服务对象满意度等方面科学制定目标任务。截止</w:t>
      </w:r>
      <w:r>
        <w:rPr>
          <w:rFonts w:hint="eastAsia" w:ascii="仿宋_GB2312" w:hAnsi="仿宋_GB2312" w:eastAsia="仿宋_GB2312" w:cs="仿宋_GB2312"/>
          <w:sz w:val="32"/>
          <w:lang w:val="en-US" w:eastAsia="zh-CN"/>
        </w:rPr>
        <w:t>2024年年底大部分</w:t>
      </w:r>
      <w:r>
        <w:rPr>
          <w:rFonts w:hint="eastAsia" w:ascii="仿宋_GB2312" w:hAnsi="仿宋_GB2312" w:eastAsia="仿宋_GB2312" w:cs="仿宋_GB2312"/>
          <w:sz w:val="32"/>
          <w:lang w:val="zh-CN" w:eastAsia="zh-CN"/>
        </w:rPr>
        <w:t>项目按照目标任务完成数量、质量、时效、成本等计划完成目标。个别项目</w:t>
      </w:r>
      <w:r>
        <w:rPr>
          <w:rFonts w:hint="eastAsia" w:ascii="仿宋_GB2312" w:hAnsi="仿宋_GB2312" w:cs="仿宋_GB2312"/>
          <w:sz w:val="32"/>
          <w:lang w:val="zh-CN" w:eastAsia="zh-CN"/>
        </w:rPr>
        <w:t>未</w:t>
      </w:r>
      <w:r>
        <w:rPr>
          <w:rFonts w:hint="eastAsia" w:ascii="仿宋_GB2312" w:hAnsi="仿宋_GB2312" w:eastAsia="仿宋_GB2312" w:cs="仿宋_GB2312"/>
          <w:sz w:val="32"/>
          <w:lang w:val="zh-CN" w:eastAsia="zh-CN"/>
        </w:rPr>
        <w:t>完成目标，指标分值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2C52580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目标偏离：预算项目绩效目标数量指标实现程度与预期目标有偏离情况：</w:t>
      </w:r>
      <w:r>
        <w:rPr>
          <w:rFonts w:hint="eastAsia" w:ascii="仿宋_GB2312" w:hAnsi="仿宋_GB2312" w:eastAsia="仿宋_GB2312" w:cs="仿宋_GB2312"/>
          <w:sz w:val="32"/>
          <w:lang w:val="en-US" w:eastAsia="zh-CN"/>
        </w:rPr>
        <w:t>2024年我镇项目绩效目标基本实现</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4036A21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eastAsia" w:ascii="仿宋_GB2312" w:hAnsi="仿宋_GB2312" w:eastAsia="仿宋_GB2312" w:cs="仿宋_GB2312"/>
          <w:sz w:val="32"/>
          <w:lang w:val="zh-CN" w:eastAsia="zh-CN"/>
        </w:rPr>
        <w:t>实现效果：加快构建全方位、全过程、全覆盖预算绩效管理体系，财政资源配置效率和资金使用效益实现“双提升”。指标分值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14:paraId="40D6E2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楷体_GB2312" w:hAnsi="楷体_GB2312" w:eastAsia="楷体_GB2312" w:cs="楷体_GB2312"/>
          <w:b/>
          <w:bCs/>
          <w:color w:val="000000"/>
          <w:kern w:val="0"/>
          <w:szCs w:val="32"/>
          <w:highlight w:val="none"/>
          <w:shd w:val="clear" w:color="auto" w:fill="FFFFFF"/>
          <w:lang w:val="en-US" w:eastAsia="zh-CN"/>
        </w:rPr>
        <w:t>三</w:t>
      </w:r>
      <w:r>
        <w:rPr>
          <w:rFonts w:hint="eastAsia" w:ascii="楷体_GB2312" w:hAnsi="楷体_GB2312" w:eastAsia="楷体_GB2312" w:cs="楷体_GB2312"/>
          <w:b/>
          <w:bCs/>
          <w:color w:val="000000"/>
          <w:kern w:val="0"/>
          <w:szCs w:val="32"/>
          <w:highlight w:val="none"/>
          <w:shd w:val="clear" w:color="auto" w:fill="FFFFFF"/>
          <w:lang w:val="zh-CN" w:eastAsia="zh-CN"/>
        </w:rPr>
        <w:t>）重点领域</w:t>
      </w:r>
      <w:r>
        <w:rPr>
          <w:rFonts w:hint="eastAsia" w:ascii="楷体_GB2312" w:hAnsi="楷体_GB2312" w:eastAsia="楷体_GB2312" w:cs="楷体_GB2312"/>
          <w:b/>
          <w:bCs/>
          <w:color w:val="000000"/>
          <w:kern w:val="0"/>
          <w:szCs w:val="32"/>
          <w:highlight w:val="none"/>
          <w:shd w:val="clear" w:color="auto" w:fill="FFFFFF"/>
          <w:lang w:val="zh-CN"/>
        </w:rPr>
        <w:t>绩效分析</w:t>
      </w:r>
    </w:p>
    <w:p w14:paraId="688FB74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我单位不涉及</w:t>
      </w:r>
      <w:r>
        <w:rPr>
          <w:rFonts w:hint="eastAsia" w:ascii="仿宋_GB2312" w:hAnsi="仿宋_GB2312" w:eastAsia="仿宋_GB2312" w:cs="仿宋_GB2312"/>
          <w:sz w:val="32"/>
          <w:lang w:val="en-US" w:eastAsia="zh-CN"/>
        </w:rPr>
        <w:t>2024年度</w:t>
      </w:r>
      <w:r>
        <w:rPr>
          <w:rFonts w:hint="eastAsia" w:ascii="仿宋_GB2312" w:hAnsi="仿宋_GB2312" w:eastAsia="仿宋_GB2312" w:cs="仿宋_GB2312"/>
          <w:sz w:val="32"/>
          <w:lang w:eastAsia="zh-CN"/>
        </w:rPr>
        <w:t>国有资本经营预算、社会保险基金预算。</w:t>
      </w:r>
    </w:p>
    <w:p w14:paraId="2F53E3B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截止2024年12月31日，固定资产总计</w:t>
      </w:r>
      <w:r>
        <w:rPr>
          <w:rFonts w:hint="eastAsia" w:ascii="仿宋_GB2312" w:hAnsi="仿宋_GB2312" w:eastAsia="仿宋_GB2312" w:cs="仿宋_GB2312"/>
          <w:sz w:val="32"/>
          <w:lang w:val="en-US" w:eastAsia="zh-CN"/>
        </w:rPr>
        <w:t>1164.75</w:t>
      </w:r>
      <w:r>
        <w:rPr>
          <w:rFonts w:hint="eastAsia" w:ascii="仿宋_GB2312" w:hAnsi="仿宋_GB2312" w:eastAsia="仿宋_GB2312" w:cs="仿宋_GB2312"/>
          <w:sz w:val="32"/>
          <w:lang w:eastAsia="zh-CN"/>
        </w:rPr>
        <w:t>万元，在用的固定资产总计</w:t>
      </w:r>
      <w:r>
        <w:rPr>
          <w:rFonts w:hint="eastAsia" w:ascii="仿宋_GB2312" w:hAnsi="仿宋_GB2312" w:eastAsia="仿宋_GB2312" w:cs="仿宋_GB2312"/>
          <w:sz w:val="32"/>
          <w:lang w:val="en-US" w:eastAsia="zh-CN"/>
        </w:rPr>
        <w:t>1164.75</w:t>
      </w:r>
      <w:r>
        <w:rPr>
          <w:rFonts w:hint="eastAsia" w:ascii="仿宋_GB2312" w:hAnsi="仿宋_GB2312" w:eastAsia="仿宋_GB2312" w:cs="仿宋_GB2312"/>
          <w:sz w:val="32"/>
          <w:lang w:eastAsia="zh-CN"/>
        </w:rPr>
        <w:t>万元，固定资产在用率达100%。</w:t>
      </w:r>
      <w:r>
        <w:rPr>
          <w:rFonts w:hint="eastAsia" w:ascii="仿宋_GB2312" w:hAnsi="仿宋_GB2312" w:eastAsia="仿宋_GB2312" w:cs="仿宋_GB2312"/>
          <w:sz w:val="32"/>
          <w:lang w:val="zh-CN" w:eastAsia="zh-CN"/>
        </w:rPr>
        <w:t>。</w:t>
      </w:r>
    </w:p>
    <w:p w14:paraId="70ED235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cs="Times New Roman"/>
          <w:color w:val="000000"/>
          <w:kern w:val="0"/>
          <w:szCs w:val="32"/>
          <w:highlight w:val="yellow"/>
          <w:shd w:val="clear" w:color="auto" w:fill="FFFFFF"/>
          <w:lang w:val="en-US" w:eastAsia="zh-CN"/>
        </w:rPr>
      </w:pPr>
      <w:r>
        <w:rPr>
          <w:rFonts w:hint="eastAsia" w:ascii="仿宋_GB2312" w:hAnsi="仿宋_GB2312" w:eastAsia="仿宋_GB2312" w:cs="仿宋_GB2312"/>
          <w:sz w:val="32"/>
          <w:lang w:val="zh-CN" w:eastAsia="zh-CN"/>
        </w:rPr>
        <w:t>2024</w:t>
      </w:r>
      <w:r>
        <w:rPr>
          <w:rFonts w:hint="default" w:ascii="仿宋_GB2312" w:hAnsi="仿宋_GB2312" w:eastAsia="仿宋_GB2312" w:cs="仿宋_GB2312"/>
          <w:sz w:val="32"/>
          <w:lang w:val="zh-CN" w:eastAsia="zh-CN"/>
        </w:rPr>
        <w:t>年我镇政府采购预算总额</w:t>
      </w:r>
      <w:r>
        <w:rPr>
          <w:rFonts w:hint="eastAsia" w:ascii="仿宋_GB2312" w:hAnsi="仿宋_GB2312" w:eastAsia="仿宋_GB2312" w:cs="仿宋_GB2312"/>
          <w:sz w:val="32"/>
          <w:lang w:val="en-US" w:eastAsia="zh-CN"/>
        </w:rPr>
        <w:t>0</w:t>
      </w:r>
      <w:r>
        <w:rPr>
          <w:rFonts w:hint="default" w:ascii="仿宋_GB2312" w:hAnsi="仿宋_GB2312" w:eastAsia="仿宋_GB2312" w:cs="仿宋_GB2312"/>
          <w:sz w:val="32"/>
          <w:lang w:val="zh-CN" w:eastAsia="zh-CN"/>
        </w:rPr>
        <w:t>万元</w:t>
      </w:r>
      <w:r>
        <w:rPr>
          <w:rFonts w:hint="eastAsia" w:ascii="仿宋_GB2312" w:hAnsi="仿宋_GB2312" w:eastAsia="仿宋_GB2312" w:cs="仿宋_GB2312"/>
          <w:sz w:val="32"/>
          <w:lang w:val="zh-CN" w:eastAsia="zh-CN"/>
        </w:rPr>
        <w:t>，其中面向支持中小企业发展采购资金为</w:t>
      </w:r>
      <w:r>
        <w:rPr>
          <w:rFonts w:hint="eastAsia" w:ascii="仿宋_GB2312" w:hAnsi="仿宋_GB2312" w:eastAsia="仿宋_GB2312" w:cs="仿宋_GB2312"/>
          <w:sz w:val="32"/>
          <w:lang w:val="en-US" w:eastAsia="zh-CN"/>
        </w:rPr>
        <w:t>0万元</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en-US" w:eastAsia="zh-CN"/>
        </w:rPr>
        <w:t>服务</w:t>
      </w:r>
      <w:r>
        <w:rPr>
          <w:rFonts w:hint="eastAsia" w:ascii="仿宋_GB2312" w:hAnsi="仿宋_GB2312" w:eastAsia="仿宋_GB2312" w:cs="仿宋_GB2312"/>
          <w:sz w:val="32"/>
          <w:lang w:val="zh-CN" w:eastAsia="zh-CN"/>
        </w:rPr>
        <w:t>采购</w:t>
      </w:r>
      <w:r>
        <w:rPr>
          <w:rFonts w:hint="eastAsia" w:ascii="仿宋_GB2312" w:hAnsi="仿宋_GB2312" w:eastAsia="仿宋_GB2312" w:cs="仿宋_GB2312"/>
          <w:sz w:val="32"/>
          <w:lang w:val="en-US" w:eastAsia="zh-CN"/>
        </w:rPr>
        <w:t>0万元、</w:t>
      </w:r>
      <w:r>
        <w:rPr>
          <w:rFonts w:hint="eastAsia" w:ascii="仿宋_GB2312" w:hAnsi="仿宋_GB2312" w:eastAsia="仿宋_GB2312" w:cs="仿宋_GB2312"/>
          <w:sz w:val="32"/>
          <w:lang w:val="zh-CN" w:eastAsia="zh-CN"/>
        </w:rPr>
        <w:t>货物</w:t>
      </w:r>
      <w:r>
        <w:rPr>
          <w:rFonts w:hint="eastAsia" w:ascii="仿宋_GB2312" w:hAnsi="仿宋_GB2312" w:eastAsia="仿宋_GB2312" w:cs="仿宋_GB2312"/>
          <w:sz w:val="32"/>
          <w:lang w:val="en-US" w:eastAsia="zh-CN"/>
        </w:rPr>
        <w:t>采购0万元、工程采购0万元。</w:t>
      </w:r>
      <w:r>
        <w:rPr>
          <w:rFonts w:hint="eastAsia" w:ascii="仿宋_GB2312" w:hAnsi="仿宋_GB2312" w:eastAsia="仿宋_GB2312" w:cs="仿宋_GB2312"/>
          <w:sz w:val="32"/>
          <w:lang w:eastAsia="zh-CN"/>
        </w:rPr>
        <w:t>支持中小企业发展：政府采购授予中小企业合同金额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万元，其中：授予小微企业合同金额0万元。</w:t>
      </w:r>
    </w:p>
    <w:p w14:paraId="12CA69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（四）绩效结果应用情况</w:t>
      </w:r>
    </w:p>
    <w:p w14:paraId="37BDCCA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本次我镇整体支出绩效评价情况由相关部门予以公开，接受社会和群众监督。</w:t>
      </w:r>
      <w:r>
        <w:rPr>
          <w:rFonts w:hint="eastAsia" w:ascii="仿宋_GB2312" w:hAnsi="仿宋_GB2312" w:eastAsia="仿宋_GB2312" w:cs="仿宋_GB2312"/>
          <w:sz w:val="32"/>
          <w:lang w:val="zh-CN" w:eastAsia="zh-CN"/>
        </w:rPr>
        <w:t>我镇于2024年3月</w:t>
      </w:r>
      <w:r>
        <w:rPr>
          <w:rFonts w:hint="eastAsia" w:ascii="仿宋_GB2312" w:hAnsi="仿宋_GB2312" w:eastAsia="仿宋_GB2312" w:cs="仿宋_GB2312"/>
          <w:sz w:val="32"/>
          <w:lang w:val="en-US" w:eastAsia="zh-CN"/>
        </w:rPr>
        <w:t>26</w:t>
      </w:r>
      <w:r>
        <w:rPr>
          <w:rFonts w:hint="eastAsia" w:ascii="仿宋_GB2312" w:hAnsi="仿宋_GB2312" w:eastAsia="仿宋_GB2312" w:cs="仿宋_GB2312"/>
          <w:sz w:val="32"/>
          <w:lang w:val="zh-CN" w:eastAsia="zh-CN"/>
        </w:rPr>
        <w:t>日在黑水县人民政府信息公开网站上公开了《沙石多镇人民</w:t>
      </w:r>
      <w:r>
        <w:rPr>
          <w:rFonts w:hint="eastAsia" w:ascii="仿宋_GB2312" w:hAnsi="仿宋_GB2312" w:cs="仿宋_GB2312"/>
          <w:sz w:val="32"/>
          <w:lang w:val="zh-CN" w:eastAsia="zh-CN"/>
        </w:rPr>
        <w:t>政府</w:t>
      </w:r>
      <w:r>
        <w:rPr>
          <w:rFonts w:hint="eastAsia" w:ascii="仿宋_GB2312" w:hAnsi="仿宋_GB2312" w:eastAsia="仿宋_GB2312" w:cs="仿宋_GB2312"/>
          <w:sz w:val="32"/>
          <w:lang w:val="zh-CN" w:eastAsia="zh-CN"/>
        </w:rPr>
        <w:t>2024年预算编制说明》并同步公开了</w:t>
      </w:r>
      <w:r>
        <w:rPr>
          <w:rFonts w:hint="eastAsia" w:ascii="仿宋_GB2312" w:hAnsi="仿宋_GB2312" w:eastAsia="仿宋_GB2312" w:cs="仿宋_GB2312"/>
          <w:sz w:val="32"/>
          <w:lang w:val="en-US" w:eastAsia="zh-CN"/>
        </w:rPr>
        <w:t>2024年部门整体支出绩效目标表</w:t>
      </w:r>
      <w:r>
        <w:rPr>
          <w:rFonts w:hint="eastAsia" w:ascii="仿宋_GB2312" w:hAnsi="仿宋_GB2312" w:eastAsia="仿宋_GB2312" w:cs="仿宋_GB2312"/>
          <w:sz w:val="32"/>
          <w:lang w:val="zh-CN" w:eastAsia="zh-CN"/>
        </w:rPr>
        <w:t>。</w:t>
      </w:r>
    </w:p>
    <w:p w14:paraId="24877D4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sz w:val="32"/>
          <w:lang w:val="zh-CN" w:eastAsia="zh-CN"/>
        </w:rPr>
        <w:t>由于202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年尚未进行决算批复，暂无法公开</w:t>
      </w:r>
      <w:r>
        <w:rPr>
          <w:rFonts w:hint="eastAsia" w:ascii="仿宋_GB2312" w:hAnsi="仿宋_GB2312" w:eastAsia="仿宋_GB2312" w:cs="仿宋_GB2312"/>
          <w:sz w:val="32"/>
          <w:lang w:val="en-US" w:eastAsia="zh-CN"/>
        </w:rPr>
        <w:t>2024年</w:t>
      </w:r>
      <w:r>
        <w:rPr>
          <w:rFonts w:hint="eastAsia" w:ascii="仿宋_GB2312" w:hAnsi="仿宋_GB2312" w:eastAsia="仿宋_GB2312" w:cs="仿宋_GB2312"/>
          <w:sz w:val="32"/>
          <w:lang w:val="zh-CN" w:eastAsia="zh-CN"/>
        </w:rPr>
        <w:t>决算和整体绩效。</w:t>
      </w:r>
    </w:p>
    <w:p w14:paraId="7FA2033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color w:val="000000"/>
          <w:kern w:val="0"/>
          <w:szCs w:val="32"/>
          <w:highlight w:val="none"/>
          <w:shd w:val="clear" w:color="auto" w:fill="FFFFFF"/>
        </w:rPr>
      </w:pPr>
      <w:r>
        <w:rPr>
          <w:rFonts w:hint="eastAsia" w:ascii="黑体" w:hAnsi="黑体" w:eastAsia="黑体" w:cs="黑体"/>
          <w:color w:val="000000"/>
          <w:kern w:val="0"/>
          <w:szCs w:val="32"/>
          <w:highlight w:val="none"/>
          <w:shd w:val="clear" w:color="auto" w:fill="FFFFFF"/>
          <w:lang w:eastAsia="zh-CN"/>
        </w:rPr>
        <w:t>四、</w:t>
      </w:r>
      <w:r>
        <w:rPr>
          <w:rFonts w:hint="eastAsia" w:ascii="黑体" w:hAnsi="黑体" w:eastAsia="黑体" w:cs="黑体"/>
          <w:color w:val="000000"/>
          <w:kern w:val="0"/>
          <w:szCs w:val="32"/>
          <w:highlight w:val="none"/>
          <w:shd w:val="clear" w:color="auto" w:fill="FFFFFF"/>
        </w:rPr>
        <w:t>评价结论及建议</w:t>
      </w:r>
    </w:p>
    <w:p w14:paraId="7E0AB41A">
      <w:pPr>
        <w:keepNext w:val="0"/>
        <w:keepLines w:val="0"/>
        <w:pageBreakBefore w:val="0"/>
        <w:kinsoku/>
        <w:wordWrap/>
        <w:overflowPunct/>
        <w:topLinePunct w:val="0"/>
        <w:autoSpaceDE/>
        <w:autoSpaceDN/>
        <w:bidi w:val="0"/>
        <w:spacing w:line="560" w:lineRule="exact"/>
        <w:ind w:firstLine="643"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5AB2572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eastAsia="仿宋_GB2312" w:cs="Times New Roman"/>
          <w:highlight w:val="none"/>
        </w:rPr>
      </w:pPr>
      <w:r>
        <w:rPr>
          <w:rFonts w:hint="eastAsia" w:ascii="仿宋_GB2312" w:hAnsi="仿宋_GB2312" w:eastAsia="仿宋_GB2312" w:cs="仿宋_GB2312"/>
          <w:sz w:val="32"/>
          <w:lang w:eastAsia="zh-CN"/>
        </w:rPr>
        <w:t>根据黑水县财政局《关于开展2024年县级部门绩效自评工作的通知》，我镇对本部门2024年度整体绩效情况开展了自评工作，对照《部门预算绩效评价指标体系》进行了自评打分，根据部门整体支出绩效评价指标对部门整体支出量化评价，自评指标得分</w:t>
      </w:r>
      <w:r>
        <w:rPr>
          <w:rFonts w:hint="eastAsia" w:ascii="仿宋_GB2312" w:hAnsi="仿宋_GB2312" w:eastAsia="仿宋_GB2312" w:cs="仿宋_GB2312"/>
          <w:sz w:val="32"/>
          <w:lang w:val="en-US" w:eastAsia="zh-CN"/>
        </w:rPr>
        <w:t>92</w:t>
      </w:r>
      <w:r>
        <w:rPr>
          <w:rFonts w:hint="eastAsia" w:ascii="仿宋_GB2312" w:hAnsi="仿宋_GB2312" w:eastAsia="仿宋_GB2312" w:cs="仿宋_GB2312"/>
          <w:sz w:val="32"/>
          <w:lang w:eastAsia="zh-CN"/>
        </w:rPr>
        <w:t>分。</w:t>
      </w:r>
    </w:p>
    <w:p w14:paraId="3F9397E4">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存在问题</w:t>
      </w:r>
    </w:p>
    <w:p w14:paraId="3AD9520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b/>
          <w:bCs/>
          <w:sz w:val="32"/>
          <w:lang w:val="en-US" w:eastAsia="zh-CN"/>
        </w:rPr>
        <w:t>1.</w:t>
      </w:r>
      <w:r>
        <w:rPr>
          <w:rFonts w:hint="eastAsia" w:ascii="仿宋_GB2312" w:hAnsi="仿宋_GB2312" w:eastAsia="仿宋_GB2312" w:cs="仿宋_GB2312"/>
          <w:b/>
          <w:bCs/>
          <w:sz w:val="32"/>
          <w:lang w:val="en-US" w:eastAsia="zh-CN"/>
        </w:rPr>
        <w:t>部门绩效管理不够科学、专业</w:t>
      </w:r>
      <w:r>
        <w:rPr>
          <w:rFonts w:hint="eastAsia" w:ascii="仿宋_GB2312" w:hAnsi="仿宋_GB2312" w:cs="仿宋_GB2312"/>
          <w:b/>
          <w:bCs/>
          <w:sz w:val="32"/>
          <w:lang w:val="en-US" w:eastAsia="zh-CN"/>
        </w:rPr>
        <w:t>。</w:t>
      </w: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整体支出绩效目的与产出的数量指标、质量指标缺乏对应性，关联性和可操作性不强。</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对工程绩效目的的设定和各项指标的理解、认识不到位，导致工程绩效目的不够明确、不够细化、不够量化，缺乏可衡量性和可实现性。</w:t>
      </w:r>
    </w:p>
    <w:p w14:paraId="1E2CF1F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b/>
          <w:bCs/>
          <w:sz w:val="32"/>
          <w:lang w:val="en-US" w:eastAsia="zh-CN"/>
        </w:rPr>
        <w:t>2.管理措施不够到位。</w:t>
      </w:r>
      <w:r>
        <w:rPr>
          <w:rFonts w:hint="eastAsia" w:ascii="仿宋_GB2312" w:hAnsi="仿宋_GB2312" w:eastAsia="仿宋_GB2312" w:cs="仿宋_GB2312"/>
          <w:sz w:val="32"/>
          <w:lang w:val="en-US" w:eastAsia="zh-CN"/>
        </w:rPr>
        <w:t>预算编制和执行存在差异，</w:t>
      </w:r>
      <w:r>
        <w:rPr>
          <w:rFonts w:hint="eastAsia" w:ascii="仿宋_GB2312" w:hAnsi="仿宋_GB2312" w:eastAsia="仿宋_GB2312" w:cs="仿宋_GB2312"/>
          <w:sz w:val="32"/>
          <w:lang w:val="zh-CN" w:eastAsia="zh-CN"/>
        </w:rPr>
        <w:t>预算编制不够精确，财政资金紧张，存在中期调整取消资金的情况</w:t>
      </w:r>
      <w:r>
        <w:rPr>
          <w:rFonts w:hint="eastAsia" w:ascii="仿宋_GB2312" w:hAnsi="仿宋_GB2312" w:eastAsia="仿宋_GB2312" w:cs="仿宋_GB2312"/>
          <w:sz w:val="32"/>
          <w:lang w:val="en-US" w:eastAsia="zh-CN"/>
        </w:rPr>
        <w:t>。</w:t>
      </w:r>
    </w:p>
    <w:p w14:paraId="60CA7FB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cs="Times New Roman"/>
          <w:sz w:val="32"/>
          <w:szCs w:val="32"/>
          <w:highlight w:val="none"/>
          <w:u w:val="none"/>
          <w:lang w:val="en-US" w:eastAsia="zh-CN"/>
        </w:rPr>
      </w:pPr>
      <w:r>
        <w:rPr>
          <w:rFonts w:hint="eastAsia" w:ascii="仿宋_GB2312" w:hAnsi="仿宋_GB2312" w:cs="仿宋_GB2312"/>
          <w:b/>
          <w:bCs/>
          <w:sz w:val="32"/>
          <w:lang w:val="en-US" w:eastAsia="zh-CN"/>
        </w:rPr>
        <w:t>3.目的设定不够合理。</w:t>
      </w:r>
      <w:r>
        <w:rPr>
          <w:rFonts w:hint="eastAsia" w:ascii="仿宋_GB2312" w:hAnsi="仿宋_GB2312" w:eastAsia="仿宋_GB2312" w:cs="仿宋_GB2312"/>
          <w:sz w:val="32"/>
          <w:lang w:val="en-US" w:eastAsia="zh-CN"/>
        </w:rPr>
        <w:t>在设定绩效目的时，往往是把年度工作方案或总结中的重点内容直接用来作为绩效目的，或者在设定绩效目的时沿用工作方案或总结中的语言形式，指标设定不科学、根据不充分。</w:t>
      </w:r>
    </w:p>
    <w:p w14:paraId="39B3ECD3">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14:paraId="1167EC5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解决对策针对我镇整体支出绩效评价工作中存在的问题，应在坚持“进步认识、强化管理、科学设定、注重实效”的根底上，进步部门整体支出绩效评价的质量。</w:t>
      </w:r>
    </w:p>
    <w:p w14:paraId="25946BF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b/>
          <w:bCs/>
          <w:sz w:val="32"/>
          <w:lang w:val="en-US" w:eastAsia="zh-CN"/>
        </w:rPr>
        <w:t>1.进步认识，突出重点。</w:t>
      </w: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进步</w:t>
      </w:r>
      <w:r>
        <w:rPr>
          <w:rFonts w:hint="eastAsia" w:ascii="仿宋_GB2312" w:hAnsi="仿宋_GB2312" w:cs="仿宋_GB2312"/>
          <w:sz w:val="32"/>
          <w:lang w:val="en-US" w:eastAsia="zh-CN"/>
        </w:rPr>
        <w:t>深化</w:t>
      </w:r>
      <w:r>
        <w:rPr>
          <w:rFonts w:hint="eastAsia" w:ascii="仿宋_GB2312" w:hAnsi="仿宋_GB2312" w:eastAsia="仿宋_GB2312" w:cs="仿宋_GB2312"/>
          <w:sz w:val="32"/>
          <w:lang w:val="en-US" w:eastAsia="zh-CN"/>
        </w:rPr>
        <w:t>对预算绩效管理的认识，充分理解财政绩效评价指标体系，注重绩效目的、评价指标的关联性，更加科学合理地确定部门绩效目的和评价目的。</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强化全过程预算绩效管理理念，突出绩效指标的重要性和综合性。对于整体工作的反映，尽量采用综合性指标；对于详细工程的反映，那么尽量采用有代表性的重要指标。</w:t>
      </w:r>
      <w:r>
        <w:rPr>
          <w:rFonts w:hint="eastAsia" w:ascii="仿宋_GB2312" w:hAnsi="仿宋_GB2312" w:cs="仿宋_GB2312"/>
          <w:sz w:val="32"/>
          <w:lang w:val="en-US" w:eastAsia="zh-CN"/>
        </w:rPr>
        <w:t>（3）</w:t>
      </w:r>
      <w:r>
        <w:rPr>
          <w:rFonts w:hint="eastAsia" w:ascii="仿宋_GB2312" w:hAnsi="仿宋_GB2312" w:eastAsia="仿宋_GB2312" w:cs="仿宋_GB2312"/>
          <w:sz w:val="32"/>
          <w:lang w:val="en-US" w:eastAsia="zh-CN"/>
        </w:rPr>
        <w:t>注重各项指标的可衡量性。可衡量性不仅是指标的量化，还包括对定性指标的分级分档表述。</w:t>
      </w:r>
    </w:p>
    <w:p w14:paraId="51FAA6E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cs="Times New Roman"/>
          <w:sz w:val="32"/>
          <w:szCs w:val="32"/>
          <w:highlight w:val="none"/>
          <w:u w:val="none"/>
          <w:lang w:val="zh-CN" w:eastAsia="zh-CN"/>
        </w:rPr>
      </w:pPr>
      <w:r>
        <w:rPr>
          <w:rFonts w:hint="eastAsia" w:ascii="仿宋_GB2312" w:hAnsi="仿宋_GB2312" w:cs="仿宋_GB2312"/>
          <w:b/>
          <w:bCs/>
          <w:sz w:val="32"/>
          <w:lang w:val="en-US" w:eastAsia="zh-CN"/>
        </w:rPr>
        <w:t>2.强化管理，标准行为。</w:t>
      </w: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强化我镇预算约束细化预算编制，严格预算执行，合理制定工程方案和方案，减少预算执行中的工程预算调整和结余。</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加强预算工程事前、事中、事后管控，做到事前有评估、事中有监控、事后有评价</w:t>
      </w:r>
      <w:bookmarkEnd w:id="0"/>
      <w:r>
        <w:rPr>
          <w:rFonts w:hint="eastAsia" w:ascii="仿宋_GB2312" w:hAnsi="仿宋_GB2312" w:eastAsia="仿宋_GB2312" w:cs="仿宋_GB2312"/>
          <w:sz w:val="32"/>
          <w:lang w:val="en-US" w:eastAsia="zh-CN"/>
        </w:rPr>
        <w:t>。</w:t>
      </w:r>
    </w:p>
    <w:p w14:paraId="19BBC8A0">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14:paraId="0D75E0F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附表：1.部门预算绩效自评打分表</w:t>
      </w:r>
    </w:p>
    <w:p w14:paraId="2B6C12E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1600" w:firstLineChars="5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2.</w:t>
      </w:r>
      <w:r>
        <w:rPr>
          <w:rFonts w:hint="default" w:ascii="仿宋_GB2312" w:hAnsi="仿宋_GB2312" w:eastAsia="仿宋_GB2312" w:cs="仿宋_GB2312"/>
          <w:sz w:val="32"/>
          <w:lang w:val="en-US" w:eastAsia="zh-CN"/>
        </w:rPr>
        <w:t>部门整体支出绩效目标完成情况自评表</w:t>
      </w:r>
    </w:p>
    <w:p w14:paraId="7A874F5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1600" w:firstLineChars="5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仿宋_GB2312" w:hAnsi="仿宋_GB2312" w:eastAsia="仿宋_GB2312" w:cs="仿宋_GB2312"/>
          <w:sz w:val="32"/>
          <w:lang w:val="en-US" w:eastAsia="zh-CN"/>
        </w:rPr>
        <w:t>3.部门预算项目支出绩效评价表（2024年度）</w:t>
      </w:r>
    </w:p>
    <w:p w14:paraId="52505536">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cs="Times New Roman"/>
          <w:color w:val="000000"/>
          <w:kern w:val="0"/>
          <w:szCs w:val="32"/>
          <w:highlight w:val="none"/>
          <w:shd w:val="clear" w:color="auto" w:fill="FFFFFF"/>
          <w:lang w:val="en-US" w:eastAsia="zh-CN"/>
        </w:rPr>
      </w:pPr>
    </w:p>
    <w:p w14:paraId="70D22E1C">
      <w:pPr>
        <w:keepNext w:val="0"/>
        <w:keepLines w:val="0"/>
        <w:pageBreakBefore w:val="0"/>
        <w:kinsoku/>
        <w:wordWrap/>
        <w:overflowPunct/>
        <w:topLinePunct w:val="0"/>
        <w:autoSpaceDE/>
        <w:autoSpaceDN/>
        <w:bidi w:val="0"/>
        <w:spacing w:line="578" w:lineRule="exact"/>
        <w:ind w:firstLine="640" w:firstLineChars="200"/>
        <w:jc w:val="righ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黑水县沙石多镇人民政府</w:t>
      </w:r>
    </w:p>
    <w:p w14:paraId="57396FD0">
      <w:pPr>
        <w:pStyle w:val="4"/>
        <w:jc w:val="right"/>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2025年4月27日</w:t>
      </w:r>
    </w:p>
    <w:p w14:paraId="15C1155B">
      <w:pPr>
        <w:rPr>
          <w:rFonts w:hint="eastAsia" w:cs="Times New Roman"/>
          <w:color w:val="000000"/>
          <w:kern w:val="0"/>
          <w:szCs w:val="32"/>
          <w:highlight w:val="none"/>
          <w:shd w:val="clear" w:color="auto" w:fill="FFFFFF"/>
          <w:lang w:val="en-US" w:eastAsia="zh-CN"/>
        </w:rPr>
      </w:pPr>
    </w:p>
    <w:p w14:paraId="49AE5C16">
      <w:pPr>
        <w:rPr>
          <w:rFonts w:hint="eastAsia" w:cs="Times New Roman"/>
          <w:color w:val="000000"/>
          <w:kern w:val="0"/>
          <w:szCs w:val="32"/>
          <w:highlight w:val="none"/>
          <w:shd w:val="clear" w:color="auto" w:fill="FFFFFF"/>
          <w:lang w:val="en-US" w:eastAsia="zh-CN"/>
        </w:rPr>
      </w:pPr>
    </w:p>
    <w:p w14:paraId="0580F907">
      <w:pPr>
        <w:rPr>
          <w:rFonts w:hint="eastAsia" w:cs="Times New Roman"/>
          <w:color w:val="000000"/>
          <w:kern w:val="0"/>
          <w:szCs w:val="32"/>
          <w:highlight w:val="none"/>
          <w:shd w:val="clear" w:color="auto" w:fill="FFFFFF"/>
          <w:lang w:val="en-US" w:eastAsia="zh-CN"/>
        </w:rPr>
      </w:pPr>
    </w:p>
    <w:p w14:paraId="5E14D65C">
      <w:pPr>
        <w:rPr>
          <w:rFonts w:hint="eastAsia" w:cs="Times New Roman"/>
          <w:color w:val="000000"/>
          <w:kern w:val="0"/>
          <w:szCs w:val="32"/>
          <w:highlight w:val="none"/>
          <w:shd w:val="clear" w:color="auto" w:fill="FFFFFF"/>
          <w:lang w:val="en-US" w:eastAsia="zh-CN"/>
        </w:rPr>
      </w:pPr>
    </w:p>
    <w:p w14:paraId="34319CB4">
      <w:pPr>
        <w:rPr>
          <w:rFonts w:hint="eastAsia" w:cs="Times New Roman"/>
          <w:color w:val="000000"/>
          <w:kern w:val="0"/>
          <w:szCs w:val="32"/>
          <w:highlight w:val="none"/>
          <w:shd w:val="clear" w:color="auto" w:fill="FFFFFF"/>
          <w:lang w:val="en-US" w:eastAsia="zh-CN"/>
        </w:rPr>
      </w:pPr>
    </w:p>
    <w:p w14:paraId="1BD7D517">
      <w:pPr>
        <w:rPr>
          <w:rFonts w:hint="eastAsia" w:cs="Times New Roman"/>
          <w:color w:val="000000"/>
          <w:kern w:val="0"/>
          <w:szCs w:val="32"/>
          <w:highlight w:val="none"/>
          <w:shd w:val="clear" w:color="auto" w:fill="FFFFFF"/>
          <w:lang w:val="en-US" w:eastAsia="zh-CN"/>
        </w:rPr>
      </w:pPr>
    </w:p>
    <w:p w14:paraId="3489CBB2">
      <w:pPr>
        <w:rPr>
          <w:rFonts w:hint="eastAsia" w:cs="Times New Roman"/>
          <w:color w:val="000000"/>
          <w:kern w:val="0"/>
          <w:szCs w:val="32"/>
          <w:highlight w:val="none"/>
          <w:shd w:val="clear" w:color="auto" w:fill="FFFFFF"/>
          <w:lang w:val="en-US" w:eastAsia="zh-CN"/>
        </w:rPr>
      </w:pPr>
    </w:p>
    <w:p w14:paraId="77B373BD">
      <w:pPr>
        <w:rPr>
          <w:rFonts w:hint="eastAsia" w:cs="Times New Roman"/>
          <w:color w:val="000000"/>
          <w:kern w:val="0"/>
          <w:szCs w:val="32"/>
          <w:highlight w:val="none"/>
          <w:shd w:val="clear" w:color="auto" w:fill="FFFFFF"/>
          <w:lang w:val="en-US" w:eastAsia="zh-CN"/>
        </w:rPr>
      </w:pPr>
    </w:p>
    <w:p w14:paraId="2B7E6DFD">
      <w:pPr>
        <w:rPr>
          <w:rFonts w:hint="eastAsia" w:cs="Times New Roman"/>
          <w:color w:val="000000"/>
          <w:kern w:val="0"/>
          <w:szCs w:val="32"/>
          <w:highlight w:val="none"/>
          <w:shd w:val="clear" w:color="auto" w:fill="FFFFFF"/>
          <w:lang w:val="en-US" w:eastAsia="zh-CN"/>
        </w:rPr>
      </w:pPr>
    </w:p>
    <w:tbl>
      <w:tblPr>
        <w:tblStyle w:val="12"/>
        <w:tblpPr w:leftFromText="180" w:rightFromText="180" w:vertAnchor="text" w:horzAnchor="page" w:tblpX="1570" w:tblpY="2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8"/>
      </w:tblGrid>
      <w:tr w14:paraId="0134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8" w:type="dxa"/>
            <w:tcBorders>
              <w:top w:val="single" w:color="auto" w:sz="4" w:space="0"/>
              <w:left w:val="nil"/>
              <w:bottom w:val="single" w:color="auto" w:sz="4" w:space="0"/>
              <w:right w:val="nil"/>
            </w:tcBorders>
            <w:noWrap w:val="0"/>
            <w:vAlign w:val="top"/>
          </w:tcPr>
          <w:p w14:paraId="6DA9E9B6">
            <w:pPr>
              <w:ind w:firstLine="280" w:firstLineChars="1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黑水县沙石多镇党政办公室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202</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月</w:t>
            </w:r>
            <w:r>
              <w:rPr>
                <w:rFonts w:hint="eastAsia" w:ascii="Times New Roman" w:hAnsi="Times New Roman" w:cs="Times New Roman"/>
                <w:sz w:val="28"/>
                <w:szCs w:val="28"/>
                <w:lang w:val="en-US" w:eastAsia="zh-CN"/>
              </w:rPr>
              <w:t>27</w:t>
            </w:r>
            <w:r>
              <w:rPr>
                <w:rFonts w:hint="default" w:ascii="Times New Roman" w:hAnsi="Times New Roman" w:eastAsia="仿宋_GB2312" w:cs="Times New Roman"/>
                <w:sz w:val="28"/>
                <w:szCs w:val="28"/>
              </w:rPr>
              <w:t>日印发</w:t>
            </w:r>
          </w:p>
        </w:tc>
      </w:tr>
    </w:tbl>
    <w:p w14:paraId="52E8504A">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cs="Times New Roman"/>
          <w:color w:val="000000"/>
          <w:kern w:val="0"/>
          <w:szCs w:val="32"/>
          <w:highlight w:val="none"/>
          <w:shd w:val="clear" w:color="auto" w:fill="FFFFFF"/>
          <w:lang w:val="en-US" w:eastAsia="zh-CN"/>
        </w:rPr>
      </w:pPr>
    </w:p>
    <w:p w14:paraId="713AEDCB">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附表1</w:t>
      </w:r>
    </w:p>
    <w:p w14:paraId="5FA8DA4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Arial Unicode MS" w:cs="Times New Roman"/>
          <w:i w:val="0"/>
          <w:color w:val="000000"/>
          <w:kern w:val="0"/>
          <w:sz w:val="44"/>
          <w:szCs w:val="44"/>
          <w:u w:val="none"/>
          <w:lang w:val="en-US" w:eastAsia="zh-CN" w:bidi="ar"/>
        </w:rPr>
      </w:pPr>
      <w:r>
        <w:rPr>
          <w:rFonts w:hint="eastAsia" w:ascii="Times New Roman" w:hAnsi="Times New Roman" w:eastAsia="Arial Unicode MS" w:cs="Times New Roman"/>
          <w:i w:val="0"/>
          <w:color w:val="000000"/>
          <w:kern w:val="0"/>
          <w:sz w:val="44"/>
          <w:szCs w:val="44"/>
          <w:u w:val="none"/>
          <w:lang w:val="en-US" w:eastAsia="zh-CN" w:bidi="ar"/>
        </w:rPr>
        <w:t>部门预算绩效自评打分表</w:t>
      </w:r>
    </w:p>
    <w:tbl>
      <w:tblPr>
        <w:tblStyle w:val="12"/>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14:paraId="74C0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EF14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FE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422932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47072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6D1AE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0C58E2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2B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4B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4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指标</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60D0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6D1D4D1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49F2C33">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30E9C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EE6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总体绩效</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23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履职效能</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9D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镇政府履职效果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30A5FD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63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09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7B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83E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65E2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E46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预算管理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0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35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00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1C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96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6E8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3923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CA33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9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1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2F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A7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E0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AB7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3D0C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AE17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09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AF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A8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81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1B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9BFC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8AF0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C714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1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87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E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23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DA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B3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95AC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44D6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9D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6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06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4A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44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5F4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5F04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6F9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财务管理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3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3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90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A9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1D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D9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8A4D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AC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77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F3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A77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03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45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2F99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45EC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C172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08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51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68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B6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F8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4AC2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52AA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65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资产管理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7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0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66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95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AD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9953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0C31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C16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D6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3A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C1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25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2E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CF7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2DB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总体绩效</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D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资产管理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6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08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71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5E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A2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1DB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A477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2D3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采购管理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05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49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E5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77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E3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2B3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DE4D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4D21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6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9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F3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F9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45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DC0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3B9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项目绩效</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2D2B60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项目决策</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6C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80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AE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58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32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5B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A746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C29DC4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48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D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4B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68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D5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1E0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260A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A38C23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3C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D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AF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0D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D7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EC6E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72BC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5B317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项目执行</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1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A5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5C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06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4D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9D95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3C5A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1C8C7DA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61B212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C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E6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EA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BC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12C2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45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1DD722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E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3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82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A2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26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AC3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5EDC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34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目标实现</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5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90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49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A7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C70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E91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7A7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1B4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0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8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FA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F9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26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B68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24C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EAF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82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A2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F0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73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7D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2D2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E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扣分项</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591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AA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C1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AC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72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5EC1AB60">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p w14:paraId="25EA1B2F">
      <w:pPr>
        <w:pStyle w:val="11"/>
        <w:ind w:left="0" w:leftChars="0" w:firstLine="0" w:firstLineChars="0"/>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pPr>
    </w:p>
    <w:tbl>
      <w:tblPr>
        <w:tblStyle w:val="12"/>
        <w:tblW w:w="91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2"/>
        <w:gridCol w:w="804"/>
        <w:gridCol w:w="939"/>
        <w:gridCol w:w="2530"/>
        <w:gridCol w:w="675"/>
        <w:gridCol w:w="1051"/>
        <w:gridCol w:w="805"/>
        <w:gridCol w:w="582"/>
        <w:gridCol w:w="675"/>
      </w:tblGrid>
      <w:tr w14:paraId="44C16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8468" w:type="dxa"/>
            <w:gridSpan w:val="8"/>
            <w:tcBorders>
              <w:top w:val="nil"/>
              <w:left w:val="nil"/>
              <w:bottom w:val="nil"/>
              <w:right w:val="nil"/>
            </w:tcBorders>
            <w:shd w:val="clear" w:color="auto" w:fill="auto"/>
            <w:vAlign w:val="center"/>
          </w:tcPr>
          <w:p w14:paraId="08F999B7">
            <w:pPr>
              <w:keepNext w:val="0"/>
              <w:keepLines w:val="0"/>
              <w:widowControl/>
              <w:suppressLineNumbers w:val="0"/>
              <w:shd w:val="clear"/>
              <w:jc w:val="both"/>
              <w:textAlignment w:val="center"/>
              <w:rPr>
                <w:rFonts w:hint="default" w:ascii="黑体" w:hAnsi="宋体" w:eastAsia="黑体" w:cs="黑体"/>
                <w:i w:val="0"/>
                <w:iCs w:val="0"/>
                <w:color w:val="000000"/>
                <w:kern w:val="0"/>
                <w:sz w:val="30"/>
                <w:szCs w:val="30"/>
                <w:highlight w:val="none"/>
                <w:u w:val="none"/>
                <w:lang w:val="en-US" w:eastAsia="zh-CN" w:bidi="ar"/>
              </w:rPr>
            </w:pPr>
            <w:r>
              <w:rPr>
                <w:rFonts w:hint="eastAsia" w:ascii="黑体" w:hAnsi="宋体" w:eastAsia="黑体" w:cs="黑体"/>
                <w:i w:val="0"/>
                <w:iCs w:val="0"/>
                <w:color w:val="000000"/>
                <w:kern w:val="0"/>
                <w:sz w:val="30"/>
                <w:szCs w:val="30"/>
                <w:highlight w:val="none"/>
                <w:u w:val="none"/>
                <w:lang w:val="en-US" w:eastAsia="zh-CN" w:bidi="ar"/>
              </w:rPr>
              <w:t>附表2</w:t>
            </w:r>
          </w:p>
          <w:p w14:paraId="31B6A9C6">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方正小标宋_GBK" w:hAnsi="方正小标宋_GBK" w:eastAsia="方正小标宋_GBK" w:cs="方正小标宋_GBK"/>
                <w:i w:val="0"/>
                <w:iCs w:val="0"/>
                <w:color w:val="000000"/>
                <w:kern w:val="0"/>
                <w:sz w:val="44"/>
                <w:szCs w:val="44"/>
                <w:highlight w:val="none"/>
                <w:u w:val="none"/>
                <w:lang w:val="en-US" w:eastAsia="zh-CN" w:bidi="ar"/>
              </w:rPr>
              <w:t>部门整体支出绩效目标表</w:t>
            </w:r>
          </w:p>
        </w:tc>
        <w:tc>
          <w:tcPr>
            <w:tcW w:w="675" w:type="dxa"/>
            <w:tcBorders>
              <w:top w:val="nil"/>
              <w:left w:val="nil"/>
              <w:bottom w:val="nil"/>
              <w:right w:val="nil"/>
            </w:tcBorders>
            <w:shd w:val="clear" w:color="auto" w:fill="auto"/>
            <w:vAlign w:val="center"/>
          </w:tcPr>
          <w:p w14:paraId="314F9A3D">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p>
        </w:tc>
      </w:tr>
      <w:tr w14:paraId="25DF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8468" w:type="dxa"/>
            <w:gridSpan w:val="8"/>
            <w:tcBorders>
              <w:top w:val="nil"/>
              <w:left w:val="nil"/>
              <w:bottom w:val="nil"/>
              <w:right w:val="nil"/>
            </w:tcBorders>
            <w:shd w:val="clear" w:color="auto" w:fill="auto"/>
            <w:vAlign w:val="center"/>
          </w:tcPr>
          <w:p w14:paraId="288A5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楷体_GB2312" w:hAnsi="楷体_GB2312" w:eastAsia="楷体_GB2312" w:cs="楷体_GB2312"/>
                <w:b/>
                <w:bCs/>
                <w:i w:val="0"/>
                <w:iCs w:val="0"/>
                <w:color w:val="000000"/>
                <w:kern w:val="0"/>
                <w:sz w:val="32"/>
                <w:szCs w:val="32"/>
                <w:u w:val="none"/>
                <w:lang w:val="en-US" w:eastAsia="zh-CN" w:bidi="ar"/>
              </w:rPr>
              <w:t>（2024年度）</w:t>
            </w:r>
          </w:p>
        </w:tc>
        <w:tc>
          <w:tcPr>
            <w:tcW w:w="675" w:type="dxa"/>
            <w:tcBorders>
              <w:top w:val="nil"/>
              <w:left w:val="nil"/>
              <w:bottom w:val="nil"/>
              <w:right w:val="nil"/>
            </w:tcBorders>
            <w:shd w:val="clear" w:color="auto" w:fill="auto"/>
            <w:vAlign w:val="center"/>
          </w:tcPr>
          <w:p w14:paraId="3C8D6DA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r>
      <w:tr w14:paraId="61BE2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8468" w:type="dxa"/>
            <w:gridSpan w:val="8"/>
            <w:tcBorders>
              <w:top w:val="nil"/>
              <w:left w:val="nil"/>
              <w:bottom w:val="single" w:color="000000" w:sz="4" w:space="0"/>
              <w:right w:val="nil"/>
            </w:tcBorders>
            <w:shd w:val="clear" w:color="auto" w:fill="auto"/>
            <w:vAlign w:val="center"/>
          </w:tcPr>
          <w:p w14:paraId="0D5FA76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金额单位：万元</w:t>
            </w:r>
          </w:p>
        </w:tc>
        <w:tc>
          <w:tcPr>
            <w:tcW w:w="675" w:type="dxa"/>
            <w:tcBorders>
              <w:top w:val="nil"/>
              <w:left w:val="nil"/>
              <w:bottom w:val="single" w:color="000000" w:sz="4" w:space="0"/>
              <w:right w:val="nil"/>
            </w:tcBorders>
            <w:shd w:val="clear" w:color="auto" w:fill="auto"/>
            <w:vAlign w:val="center"/>
          </w:tcPr>
          <w:p w14:paraId="46334AEA">
            <w:pPr>
              <w:keepNext w:val="0"/>
              <w:keepLines w:val="0"/>
              <w:widowControl/>
              <w:suppressLineNumbers w:val="0"/>
              <w:jc w:val="right"/>
              <w:textAlignment w:val="center"/>
              <w:rPr>
                <w:rFonts w:ascii="宋体" w:hAnsi="宋体" w:eastAsia="宋体" w:cs="宋体"/>
                <w:i w:val="0"/>
                <w:iCs w:val="0"/>
                <w:color w:val="000000"/>
                <w:kern w:val="0"/>
                <w:sz w:val="18"/>
                <w:szCs w:val="18"/>
                <w:u w:val="none"/>
                <w:lang w:val="en-US" w:eastAsia="zh-CN" w:bidi="ar"/>
              </w:rPr>
            </w:pPr>
          </w:p>
        </w:tc>
      </w:tr>
      <w:tr w14:paraId="65E35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8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E9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部门名称</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48830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黑水县沙石多镇</w:t>
            </w:r>
          </w:p>
        </w:tc>
      </w:tr>
      <w:tr w14:paraId="3FCA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88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年度部门整体支出预算</w:t>
            </w: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1D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资金总额</w:t>
            </w:r>
          </w:p>
        </w:tc>
        <w:tc>
          <w:tcPr>
            <w:tcW w:w="4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14B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财政拨款</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159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其他资金</w:t>
            </w:r>
          </w:p>
        </w:tc>
      </w:tr>
      <w:tr w14:paraId="1A34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8FC25">
            <w:pPr>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A1C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2043.81</w:t>
            </w:r>
          </w:p>
        </w:tc>
        <w:tc>
          <w:tcPr>
            <w:tcW w:w="4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928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2043.81</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F6B3A">
            <w:pPr>
              <w:jc w:val="right"/>
              <w:rPr>
                <w:rFonts w:hint="eastAsia" w:ascii="仿宋_GB2312" w:hAnsi="仿宋_GB2312" w:eastAsia="仿宋_GB2312" w:cs="仿宋_GB2312"/>
                <w:i w:val="0"/>
                <w:iCs w:val="0"/>
                <w:color w:val="000000"/>
                <w:sz w:val="18"/>
                <w:szCs w:val="18"/>
                <w:u w:val="none"/>
              </w:rPr>
            </w:pPr>
          </w:p>
        </w:tc>
      </w:tr>
      <w:tr w14:paraId="0F300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17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年度总体目标</w:t>
            </w:r>
          </w:p>
        </w:tc>
        <w:tc>
          <w:tcPr>
            <w:tcW w:w="80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1479F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2024年沙石多镇将继续高举中国特色社会主义伟大旗帜，坚持以习近平新时代中国特色社会主义思想为指导，深入开展主题教育，全面贯彻党的二十大精神和省州县全会精神，围绕省委“讲政治、抓发展、惠民生、保安全”工作思路，聚焦县委“一地三县六区”战略目标和“四业同优、六片共兴，四向发力、六区共建”工作思路，立足“党建领镇、旅游兴镇、富民强镇、法德治镇、生态建镇”定位，紧扣镇党委“125”（一个中心、两条主线、五个重点）工作思路，踔厉奋发、笃行不怠，努力实现经济稳健前行、社会安定和谐、民族团结进步、民生福祉普惠。</w:t>
            </w:r>
          </w:p>
        </w:tc>
      </w:tr>
      <w:tr w14:paraId="0F5E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5A0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年度主要任务</w:t>
            </w: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F75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任务名称</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A05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主要内容</w:t>
            </w:r>
          </w:p>
        </w:tc>
      </w:tr>
      <w:tr w14:paraId="7B66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74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7AA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项目支出：村干部工资、保险等</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F14B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全年共计1300600元：村干部43人，其中村五职干部25人，小组长18人，包含村干部基本工资、绩效工资、养老补助、医疗补助、意外险等，充分发挥村干部主观能动性，提升基层治理水平。</w:t>
            </w:r>
          </w:p>
        </w:tc>
      </w:tr>
      <w:tr w14:paraId="1BDF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A0D2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813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项目支出：沙石多镇西部计划志愿者生活补助</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5079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全年共计13200元：一名志愿者，每月1100元补助。</w:t>
            </w:r>
          </w:p>
        </w:tc>
      </w:tr>
      <w:tr w14:paraId="6A5CA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E75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2EA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项目支出：年度考核奖和基础绩效奖</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1DE2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全年共计1669658元：其中行政1168760.6元，事业500897.4元。</w:t>
            </w:r>
          </w:p>
        </w:tc>
      </w:tr>
      <w:tr w14:paraId="642B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318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212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基本支出：人员经费</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AED4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全年5541167.54元，保障全镇机关事业人员基本工资、社会保障缴费、住房公积金、体检费、独子费、遗嘱补助等发放</w:t>
            </w:r>
          </w:p>
        </w:tc>
      </w:tr>
      <w:tr w14:paraId="099E1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860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22D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项目支出：村干部体检费</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B5CB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全年共计17900元：男士36*400元/人，女士7*500元/人。</w:t>
            </w:r>
          </w:p>
        </w:tc>
      </w:tr>
      <w:tr w14:paraId="334D3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B0B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990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项目支出：村级公共运行维护费</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42E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全年共计550000元，我镇5个行政村，每村办公费2万元，维护费9万元，为确保全镇农村公共服务运行经费规范管理和使用，充分发挥资金使用绩效。</w:t>
            </w:r>
          </w:p>
        </w:tc>
      </w:tr>
      <w:tr w14:paraId="0D701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2D9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56B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基本支出：定额公用经费</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3C83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全年共计855000元保运转：办公费、差旅费、公车运行维护费、培训费、邮电费、劳务费；在编车辆1辆，补助47500元；乡镇妇联专项工作2万元，乡镇政协联络站工作1万元，首席统计师及协统员专项工作1万元，行政执法工作0.5万元，乡镇人大经费2万元，驻村工作队2.5万元，寺管所经费1万元，村级公共运行维护费7.95万元，森林草原防灭火经费5万元，贫困村镇住房保障和日常工作1万元，乡镇乡村振兴专项工作1万元，乡镇党建工作1万元，乡镇安全生产1万元，外出务工经商人员管理工作1万元，乡镇纪检工作1万元，乡镇人武部工作1万元，统计专项工作经费1万元，乡镇共青团工作2万元，乡镇农村道路交通安全管理办工</w:t>
            </w:r>
            <w:r>
              <w:rPr>
                <w:rFonts w:hint="eastAsia" w:ascii="仿宋_GB2312" w:hAnsi="仿宋_GB2312" w:cs="仿宋_GB2312"/>
                <w:i w:val="0"/>
                <w:iCs w:val="0"/>
                <w:color w:val="000000"/>
                <w:kern w:val="0"/>
                <w:sz w:val="18"/>
                <w:szCs w:val="18"/>
                <w:u w:val="none"/>
                <w:lang w:val="en-US" w:eastAsia="zh-CN" w:bidi="ar"/>
              </w:rPr>
              <w:t>作</w:t>
            </w:r>
            <w:r>
              <w:rPr>
                <w:rFonts w:hint="eastAsia" w:ascii="仿宋_GB2312" w:hAnsi="仿宋_GB2312" w:eastAsia="仿宋_GB2312" w:cs="仿宋_GB2312"/>
                <w:i w:val="0"/>
                <w:iCs w:val="0"/>
                <w:color w:val="000000"/>
                <w:kern w:val="0"/>
                <w:sz w:val="18"/>
                <w:szCs w:val="18"/>
                <w:u w:val="none"/>
                <w:lang w:val="en-US" w:eastAsia="zh-CN" w:bidi="ar"/>
              </w:rPr>
              <w:t>2万元，乡镇禁毒工作1万元，信访协调维稳2万元，乡镇环境综合治理1万元，乡镇综治工作1万元，共计39.95万元</w:t>
            </w:r>
          </w:p>
        </w:tc>
      </w:tr>
      <w:tr w14:paraId="256B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7"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F82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E7B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按照职责范围，负责辖区内相关工作</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1802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tc>
      </w:tr>
      <w:tr w14:paraId="3037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6A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年度绩效指标</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1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9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二级指标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58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三级指标</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EA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绩效指标性质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7A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绩效指标值</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8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绩效度量单位</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6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权重</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2A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完成值</w:t>
            </w:r>
          </w:p>
        </w:tc>
      </w:tr>
      <w:tr w14:paraId="2F01D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B73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17E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39" w:type="dxa"/>
            <w:vMerge w:val="restart"/>
            <w:tcBorders>
              <w:top w:val="single" w:color="000000" w:sz="4" w:space="0"/>
              <w:left w:val="single" w:color="000000" w:sz="4" w:space="0"/>
              <w:right w:val="single" w:color="000000" w:sz="4" w:space="0"/>
            </w:tcBorders>
            <w:shd w:val="clear" w:color="auto" w:fill="auto"/>
            <w:vAlign w:val="center"/>
          </w:tcPr>
          <w:p w14:paraId="51A553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DD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保障5个村基础设施日常建设维护</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F2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95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FA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个</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4E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47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w:t>
            </w:r>
          </w:p>
        </w:tc>
      </w:tr>
      <w:tr w14:paraId="3C04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2"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8D7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3B5C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5D1929C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AB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村干部43人，确保村干部工资发放、保险按时有序缴纳，保障村干部基本生活；在职干部职工35人，确保按时发放工资和保险缴纳覆盖率100%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1A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94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78</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11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人</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B5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42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78</w:t>
            </w:r>
          </w:p>
        </w:tc>
      </w:tr>
      <w:tr w14:paraId="6111C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E52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F512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40A160C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1F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党政班子集中学习，组织各个党支部书记召开党建工作会议</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3C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FF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B9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AA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A9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≥10次</w:t>
            </w:r>
          </w:p>
        </w:tc>
      </w:tr>
      <w:tr w14:paraId="5B870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4AE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33B9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22EAAAE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23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开展廉政课堂活动、培训，对干部进行警示教育</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9D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FE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D4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9B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B4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≥2次</w:t>
            </w:r>
          </w:p>
        </w:tc>
      </w:tr>
      <w:tr w14:paraId="65A5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84D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E884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0746D1B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38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开展三老干部慰问、民政工作慰问、退休干部慰问、计生等慰问工作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C2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1A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BF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2D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38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≥3次</w:t>
            </w:r>
          </w:p>
        </w:tc>
      </w:tr>
      <w:tr w14:paraId="59EF7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04C7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4204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72E7056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19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开展社保、就业、创业政策宣传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AB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2D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24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40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02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≥12次</w:t>
            </w:r>
          </w:p>
        </w:tc>
      </w:tr>
      <w:tr w14:paraId="4313C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D8C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0661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6C62E22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32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完成上级下达的武装工作（宣传工作、征兵工作、民兵集训工作等）</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03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88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BC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47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32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100%</w:t>
            </w:r>
          </w:p>
        </w:tc>
      </w:tr>
      <w:tr w14:paraId="6CE90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8BA6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E29F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42EC480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1E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在编车辆1辆，严格控制三公经费支出</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6D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AF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21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辆</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B9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3C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r>
      <w:tr w14:paraId="12B11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36F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71EF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right w:val="single" w:color="000000" w:sz="4" w:space="0"/>
            </w:tcBorders>
            <w:shd w:val="clear" w:color="auto" w:fill="auto"/>
            <w:vAlign w:val="center"/>
          </w:tcPr>
          <w:p w14:paraId="4BA2218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74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开展特色活动，激发群团组织活力</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7F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40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0C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8B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4A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≥4次</w:t>
            </w:r>
          </w:p>
        </w:tc>
      </w:tr>
      <w:tr w14:paraId="4741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CC8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B86C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left w:val="single" w:color="000000" w:sz="4" w:space="0"/>
              <w:bottom w:val="single" w:color="000000" w:sz="4" w:space="0"/>
              <w:right w:val="single" w:color="000000" w:sz="4" w:space="0"/>
            </w:tcBorders>
            <w:shd w:val="clear" w:color="auto" w:fill="auto"/>
            <w:vAlign w:val="center"/>
          </w:tcPr>
          <w:p w14:paraId="6A8C241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85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通过多途径进行政策宣传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C9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F1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81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30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8C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≥50次</w:t>
            </w:r>
          </w:p>
        </w:tc>
      </w:tr>
      <w:tr w14:paraId="0C85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BDD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BC7B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0BA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12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保障镇政府工作环境，设施运行良好</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5F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09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A1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07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F5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95%</w:t>
            </w:r>
          </w:p>
        </w:tc>
      </w:tr>
      <w:tr w14:paraId="76888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3F8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E34C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6DDE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96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警示教育、法律法规宣传覆盖率</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A4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74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5C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DD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19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95%</w:t>
            </w:r>
          </w:p>
        </w:tc>
      </w:tr>
      <w:tr w14:paraId="6E63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C85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0069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B9FC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48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完成党建领航支部建设，日常党建工作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E1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BC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CC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F5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68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95%</w:t>
            </w:r>
          </w:p>
        </w:tc>
      </w:tr>
      <w:tr w14:paraId="6FC42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991B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524D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F913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B3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完成上级安排的各项妇联、统战、工会、团委等群团工作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9D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00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5E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81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40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1005</w:t>
            </w:r>
          </w:p>
        </w:tc>
      </w:tr>
      <w:tr w14:paraId="5CBE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711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4398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5EF6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F0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完成上级下达的各项宣传任务，确保宣传覆盖率</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06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8B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CE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B5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B6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100%</w:t>
            </w:r>
          </w:p>
        </w:tc>
      </w:tr>
      <w:tr w14:paraId="1BFD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A72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EAC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C0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时效指标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AE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保障2024年各项经费按时发放，确保资金支付进度</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48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B4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67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月</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43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17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w:t>
            </w:r>
          </w:p>
        </w:tc>
      </w:tr>
      <w:tr w14:paraId="09BBC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BD0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2F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B7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65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党建引领全镇工作，打造廉政环境，唱响主旋律，弘扬正能量，使全镇形成良好氛围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F4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81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49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3E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38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955</w:t>
            </w:r>
          </w:p>
        </w:tc>
      </w:tr>
      <w:tr w14:paraId="4F95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F57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29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满意度指标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77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服务对象满意度指标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B2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提升镇政府各项工作满意度</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FC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89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719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43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C5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99%</w:t>
            </w:r>
          </w:p>
        </w:tc>
      </w:tr>
      <w:tr w14:paraId="2F840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0AD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77D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成本指标</w:t>
            </w: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EA2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经济成本指标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AA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保障基本支出成本控制：人员工资福利、定额公用经费</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AE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87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6396167.54</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21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元</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A8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B1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6396167.54</w:t>
            </w:r>
          </w:p>
        </w:tc>
      </w:tr>
      <w:tr w14:paraId="5807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4222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52E8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C0CC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iCs w:val="0"/>
                <w:color w:val="000000"/>
                <w:sz w:val="18"/>
                <w:szCs w:val="18"/>
                <w:u w:val="none"/>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FC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保障项目支出成本控制：村干部工资、体检、村级公共运行维护费、年度考核奖和基础绩效奖、西部计划志愿者补助等</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08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F3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3551358</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5D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元</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AC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09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3551358</w:t>
            </w:r>
          </w:p>
        </w:tc>
      </w:tr>
    </w:tbl>
    <w:p w14:paraId="350AE2BD">
      <w:pPr>
        <w:pStyle w:val="11"/>
        <w:ind w:left="0" w:leftChars="0" w:firstLine="0" w:firstLineChars="0"/>
        <w:rPr>
          <w:rFonts w:hint="default" w:ascii="Times New Roman" w:hAnsi="Times New Roman" w:eastAsia="黑体" w:cs="Times New Roman"/>
          <w:sz w:val="24"/>
          <w:szCs w:val="24"/>
          <w:highlight w:val="none"/>
          <w:lang w:val="en-US" w:eastAsia="zh-CN"/>
        </w:rPr>
      </w:pPr>
      <w:bookmarkStart w:id="1" w:name="_GoBack"/>
      <w:bookmarkEnd w:id="1"/>
    </w:p>
    <w:sectPr>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1D640B-374A-44A3-9B06-C7509567C35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5FB0EFF-D92A-47B5-AF99-1297B2729E5B}"/>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0"/>
    <w:family w:val="auto"/>
    <w:pitch w:val="default"/>
    <w:sig w:usb0="00000000" w:usb1="00000000" w:usb2="00000000" w:usb3="00000000" w:csb0="8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3" w:fontKey="{DABBA6B9-7806-45CA-8DCF-860F59C32C9D}"/>
  </w:font>
  <w:font w:name="方正仿宋_GB2312">
    <w:panose1 w:val="02000000000000000000"/>
    <w:charset w:val="86"/>
    <w:family w:val="auto"/>
    <w:pitch w:val="default"/>
    <w:sig w:usb0="A00002BF" w:usb1="184F6CFA" w:usb2="00000012" w:usb3="00000000" w:csb0="00040001" w:csb1="00000000"/>
    <w:embedRegular r:id="rId4" w:fontKey="{BAD4E0EF-2B21-479F-9E44-6AD18A36730B}"/>
  </w:font>
  <w:font w:name="BZDHT">
    <w:altName w:val="宋体"/>
    <w:panose1 w:val="02010601030101010101"/>
    <w:charset w:val="86"/>
    <w:family w:val="auto"/>
    <w:pitch w:val="default"/>
    <w:sig w:usb0="00000000" w:usb1="00000000" w:usb2="00000010" w:usb3="00000000" w:csb0="00040000" w:csb1="00000000"/>
    <w:embedRegular r:id="rId5" w:fontKey="{075E25EB-4D5A-498D-AACE-34A7483A0CC6}"/>
  </w:font>
  <w:font w:name="方正小标宋_GBK">
    <w:panose1 w:val="03000509000000000000"/>
    <w:charset w:val="86"/>
    <w:family w:val="auto"/>
    <w:pitch w:val="default"/>
    <w:sig w:usb0="00000001" w:usb1="080E0000" w:usb2="00000000" w:usb3="00000000" w:csb0="00040000" w:csb1="00000000"/>
    <w:embedRegular r:id="rId6" w:fontKey="{FF0A932D-2B5B-4448-9CE5-771583B9E3E2}"/>
  </w:font>
  <w:font w:name="Arial Unicode MS">
    <w:panose1 w:val="020B0604020202020204"/>
    <w:charset w:val="86"/>
    <w:family w:val="auto"/>
    <w:pitch w:val="default"/>
    <w:sig w:usb0="FFFFFFFF" w:usb1="E9FFFFFF" w:usb2="0000003F" w:usb3="00000000" w:csb0="603F01FF" w:csb1="FFFF0000"/>
    <w:embedRegular r:id="rId7" w:fontKey="{CBB3A3C4-6BFC-4959-84D3-F745689DE4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0869">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D4962">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29D4962">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BE406">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E2FD48"/>
    <w:multiLevelType w:val="singleLevel"/>
    <w:tmpl w:val="17E2FD48"/>
    <w:lvl w:ilvl="0" w:tentative="0">
      <w:start w:val="2"/>
      <w:numFmt w:val="chineseCounting"/>
      <w:suff w:val="nothing"/>
      <w:lvlText w:val="（%1）"/>
      <w:lvlJc w:val="left"/>
      <w:rPr>
        <w:rFonts w:hint="eastAsia"/>
      </w:rPr>
    </w:lvl>
  </w:abstractNum>
  <w:abstractNum w:abstractNumId="1">
    <w:nsid w:val="24514348"/>
    <w:multiLevelType w:val="singleLevel"/>
    <w:tmpl w:val="24514348"/>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kYWIxNmZiNGUyMTMwNjYzZTBmZTUxYWMyOGVjYzU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057174"/>
    <w:rsid w:val="02C62933"/>
    <w:rsid w:val="05180541"/>
    <w:rsid w:val="06FE6B3F"/>
    <w:rsid w:val="07EA2C20"/>
    <w:rsid w:val="089F5E69"/>
    <w:rsid w:val="0ABE7A22"/>
    <w:rsid w:val="0BBB22C6"/>
    <w:rsid w:val="0DC31556"/>
    <w:rsid w:val="0E867FB8"/>
    <w:rsid w:val="0E9315CC"/>
    <w:rsid w:val="0F0547E3"/>
    <w:rsid w:val="138F4306"/>
    <w:rsid w:val="15194B44"/>
    <w:rsid w:val="162C3C3A"/>
    <w:rsid w:val="1719707D"/>
    <w:rsid w:val="188744BB"/>
    <w:rsid w:val="19C5037B"/>
    <w:rsid w:val="1A3D6143"/>
    <w:rsid w:val="1BEB6F5A"/>
    <w:rsid w:val="1C013801"/>
    <w:rsid w:val="1DFD8D3B"/>
    <w:rsid w:val="1ED6568E"/>
    <w:rsid w:val="1FB79DC9"/>
    <w:rsid w:val="1FBFC3F2"/>
    <w:rsid w:val="1FFFE033"/>
    <w:rsid w:val="20A4464D"/>
    <w:rsid w:val="20BD372D"/>
    <w:rsid w:val="21D00C81"/>
    <w:rsid w:val="22BA54EF"/>
    <w:rsid w:val="22DE117B"/>
    <w:rsid w:val="249E0BC2"/>
    <w:rsid w:val="26155BA9"/>
    <w:rsid w:val="265A7B33"/>
    <w:rsid w:val="273F48DE"/>
    <w:rsid w:val="27F352A6"/>
    <w:rsid w:val="28290FF3"/>
    <w:rsid w:val="2879797C"/>
    <w:rsid w:val="28BF09DE"/>
    <w:rsid w:val="29D86924"/>
    <w:rsid w:val="29E72C7B"/>
    <w:rsid w:val="2A947DE8"/>
    <w:rsid w:val="2C863E1B"/>
    <w:rsid w:val="2CA945A8"/>
    <w:rsid w:val="2D527252"/>
    <w:rsid w:val="2DDC1740"/>
    <w:rsid w:val="2DE27D71"/>
    <w:rsid w:val="2EAE55F2"/>
    <w:rsid w:val="2EDF4302"/>
    <w:rsid w:val="2EE25E79"/>
    <w:rsid w:val="2EF51D26"/>
    <w:rsid w:val="2EFE1A04"/>
    <w:rsid w:val="302503E9"/>
    <w:rsid w:val="34790D04"/>
    <w:rsid w:val="35BBF80F"/>
    <w:rsid w:val="35F5260C"/>
    <w:rsid w:val="37895702"/>
    <w:rsid w:val="3B530501"/>
    <w:rsid w:val="3B736F08"/>
    <w:rsid w:val="3BE3D531"/>
    <w:rsid w:val="3C026B24"/>
    <w:rsid w:val="3C6E555F"/>
    <w:rsid w:val="3CDB5FF6"/>
    <w:rsid w:val="3D1E68EC"/>
    <w:rsid w:val="3D431A40"/>
    <w:rsid w:val="3E587BDC"/>
    <w:rsid w:val="3EFF42CA"/>
    <w:rsid w:val="3F6FCA38"/>
    <w:rsid w:val="3FA806EF"/>
    <w:rsid w:val="3FAA26B9"/>
    <w:rsid w:val="3FD5AF3D"/>
    <w:rsid w:val="3FFED8BE"/>
    <w:rsid w:val="3FFF43BB"/>
    <w:rsid w:val="40186DD6"/>
    <w:rsid w:val="42A3182D"/>
    <w:rsid w:val="42C46384"/>
    <w:rsid w:val="433DCF8E"/>
    <w:rsid w:val="43666381"/>
    <w:rsid w:val="43AE2740"/>
    <w:rsid w:val="4467561C"/>
    <w:rsid w:val="45FF973D"/>
    <w:rsid w:val="47550EBA"/>
    <w:rsid w:val="48D93D7E"/>
    <w:rsid w:val="4A8F5F9F"/>
    <w:rsid w:val="4AF820FF"/>
    <w:rsid w:val="4BF7E09D"/>
    <w:rsid w:val="4E626EA5"/>
    <w:rsid w:val="4F735F51"/>
    <w:rsid w:val="4FFFFC3E"/>
    <w:rsid w:val="50365B27"/>
    <w:rsid w:val="50680152"/>
    <w:rsid w:val="53BB74FC"/>
    <w:rsid w:val="53CC09F8"/>
    <w:rsid w:val="53D7279A"/>
    <w:rsid w:val="54E35FFA"/>
    <w:rsid w:val="55515659"/>
    <w:rsid w:val="55FDDF92"/>
    <w:rsid w:val="55FFBC03"/>
    <w:rsid w:val="56050DCE"/>
    <w:rsid w:val="56976D1A"/>
    <w:rsid w:val="56CDA72E"/>
    <w:rsid w:val="576F5916"/>
    <w:rsid w:val="577FDAE2"/>
    <w:rsid w:val="57B27F05"/>
    <w:rsid w:val="57FBE2C7"/>
    <w:rsid w:val="58EF1411"/>
    <w:rsid w:val="5B335734"/>
    <w:rsid w:val="5B7F322F"/>
    <w:rsid w:val="5BCAB023"/>
    <w:rsid w:val="5D635F29"/>
    <w:rsid w:val="5DDA9B94"/>
    <w:rsid w:val="5E977899"/>
    <w:rsid w:val="5EAB810D"/>
    <w:rsid w:val="5ED56AF2"/>
    <w:rsid w:val="5EFF9DA6"/>
    <w:rsid w:val="5F7751B9"/>
    <w:rsid w:val="5F9F7232"/>
    <w:rsid w:val="5F9F9588"/>
    <w:rsid w:val="5FBD32D2"/>
    <w:rsid w:val="5FD450B0"/>
    <w:rsid w:val="5FEF60CD"/>
    <w:rsid w:val="5FFB203D"/>
    <w:rsid w:val="5FFB8CF9"/>
    <w:rsid w:val="60762418"/>
    <w:rsid w:val="617F17CF"/>
    <w:rsid w:val="63DBAF21"/>
    <w:rsid w:val="6477050C"/>
    <w:rsid w:val="64A367BE"/>
    <w:rsid w:val="65474383"/>
    <w:rsid w:val="6636451A"/>
    <w:rsid w:val="66444FD8"/>
    <w:rsid w:val="669435F8"/>
    <w:rsid w:val="67DE80AA"/>
    <w:rsid w:val="682E35D8"/>
    <w:rsid w:val="68B43ADD"/>
    <w:rsid w:val="69107D30"/>
    <w:rsid w:val="69256789"/>
    <w:rsid w:val="69513A22"/>
    <w:rsid w:val="697E3B47"/>
    <w:rsid w:val="69BF132E"/>
    <w:rsid w:val="6A1A2066"/>
    <w:rsid w:val="6AE54548"/>
    <w:rsid w:val="6BFEE5F3"/>
    <w:rsid w:val="6CAFF34E"/>
    <w:rsid w:val="6CFFCF4F"/>
    <w:rsid w:val="6DB30687"/>
    <w:rsid w:val="6DFFF8B6"/>
    <w:rsid w:val="6E9FE641"/>
    <w:rsid w:val="6ECB392F"/>
    <w:rsid w:val="6EEDE807"/>
    <w:rsid w:val="6EEE4BE4"/>
    <w:rsid w:val="6EF65E9C"/>
    <w:rsid w:val="6F3D9197"/>
    <w:rsid w:val="6FAB3EC4"/>
    <w:rsid w:val="6FB6AF41"/>
    <w:rsid w:val="6FD894C8"/>
    <w:rsid w:val="6FE36A9E"/>
    <w:rsid w:val="6FEFB2D1"/>
    <w:rsid w:val="6FFF97E6"/>
    <w:rsid w:val="71397E03"/>
    <w:rsid w:val="71FB5B08"/>
    <w:rsid w:val="724A66D2"/>
    <w:rsid w:val="739B4217"/>
    <w:rsid w:val="73FB87D9"/>
    <w:rsid w:val="753D4E5A"/>
    <w:rsid w:val="75422471"/>
    <w:rsid w:val="75EF0FBA"/>
    <w:rsid w:val="7607C293"/>
    <w:rsid w:val="76746FA2"/>
    <w:rsid w:val="76DFA4E8"/>
    <w:rsid w:val="778720BD"/>
    <w:rsid w:val="77A7D615"/>
    <w:rsid w:val="77FF366A"/>
    <w:rsid w:val="77FF8C96"/>
    <w:rsid w:val="77FFA8F9"/>
    <w:rsid w:val="7976604B"/>
    <w:rsid w:val="79F3BC78"/>
    <w:rsid w:val="7A0917AF"/>
    <w:rsid w:val="7A5B6CAA"/>
    <w:rsid w:val="7A9314AC"/>
    <w:rsid w:val="7ACC115A"/>
    <w:rsid w:val="7B475236"/>
    <w:rsid w:val="7B4F6850"/>
    <w:rsid w:val="7B892BA7"/>
    <w:rsid w:val="7BABD5C4"/>
    <w:rsid w:val="7BB12055"/>
    <w:rsid w:val="7BBFADBA"/>
    <w:rsid w:val="7BFF492D"/>
    <w:rsid w:val="7C631402"/>
    <w:rsid w:val="7C831D6E"/>
    <w:rsid w:val="7C978C63"/>
    <w:rsid w:val="7CA35AD0"/>
    <w:rsid w:val="7CDF8BC3"/>
    <w:rsid w:val="7CEB72A5"/>
    <w:rsid w:val="7D18750B"/>
    <w:rsid w:val="7DD16A88"/>
    <w:rsid w:val="7DDFDC39"/>
    <w:rsid w:val="7E140770"/>
    <w:rsid w:val="7E5D92FB"/>
    <w:rsid w:val="7EF51D64"/>
    <w:rsid w:val="7EFFF488"/>
    <w:rsid w:val="7F574612"/>
    <w:rsid w:val="7F7F4920"/>
    <w:rsid w:val="7FB7C299"/>
    <w:rsid w:val="7FBFFB92"/>
    <w:rsid w:val="7FD76ACB"/>
    <w:rsid w:val="7FD89DA2"/>
    <w:rsid w:val="7FDB3BED"/>
    <w:rsid w:val="7FDBD805"/>
    <w:rsid w:val="7FDEC14D"/>
    <w:rsid w:val="7FDF8B76"/>
    <w:rsid w:val="7FDFE693"/>
    <w:rsid w:val="7FEFB5DD"/>
    <w:rsid w:val="7FEFBBD9"/>
    <w:rsid w:val="7FFA6A66"/>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3">
    <w:name w:val="Document Map"/>
    <w:basedOn w:val="1"/>
    <w:link w:val="19"/>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table of figures"/>
    <w:basedOn w:val="1"/>
    <w:next w:val="1"/>
    <w:qFormat/>
    <w:uiPriority w:val="0"/>
    <w:pPr>
      <w:ind w:leftChars="200" w:hanging="200" w:hangingChars="200"/>
    </w:p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paragraph" w:customStyle="1" w:styleId="16">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7">
    <w:name w:val="四号正文"/>
    <w:basedOn w:val="1"/>
    <w:link w:val="18"/>
    <w:qFormat/>
    <w:uiPriority w:val="0"/>
    <w:pPr>
      <w:spacing w:line="360" w:lineRule="auto"/>
    </w:pPr>
    <w:rPr>
      <w:rFonts w:ascii="??" w:hAnsi="??" w:eastAsia="宋体" w:cs="宋体"/>
      <w:color w:val="000000"/>
      <w:kern w:val="0"/>
      <w:sz w:val="28"/>
      <w:szCs w:val="21"/>
    </w:rPr>
  </w:style>
  <w:style w:type="character" w:customStyle="1" w:styleId="18">
    <w:name w:val="四号正文 Char"/>
    <w:basedOn w:val="14"/>
    <w:link w:val="17"/>
    <w:qFormat/>
    <w:uiPriority w:val="0"/>
    <w:rPr>
      <w:rFonts w:ascii="??" w:hAnsi="??" w:eastAsia="宋体" w:cs="宋体"/>
      <w:color w:val="000000"/>
      <w:sz w:val="28"/>
      <w:szCs w:val="21"/>
      <w:lang w:val="en-US" w:eastAsia="zh-CN" w:bidi="ar-SA"/>
    </w:rPr>
  </w:style>
  <w:style w:type="character" w:customStyle="1" w:styleId="19">
    <w:name w:val="文档结构图 Char"/>
    <w:basedOn w:val="14"/>
    <w:link w:val="3"/>
    <w:qFormat/>
    <w:uiPriority w:val="0"/>
    <w:rPr>
      <w:rFonts w:ascii="宋体"/>
      <w:kern w:val="2"/>
      <w:sz w:val="18"/>
      <w:szCs w:val="18"/>
    </w:rPr>
  </w:style>
  <w:style w:type="paragraph" w:customStyle="1" w:styleId="20">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脚 Char"/>
    <w:basedOn w:val="14"/>
    <w:link w:val="7"/>
    <w:qFormat/>
    <w:uiPriority w:val="99"/>
    <w:rPr>
      <w:kern w:val="2"/>
      <w:sz w:val="18"/>
      <w:szCs w:val="18"/>
    </w:rPr>
  </w:style>
  <w:style w:type="character" w:customStyle="1" w:styleId="22">
    <w:name w:val="font31"/>
    <w:basedOn w:val="14"/>
    <w:qFormat/>
    <w:uiPriority w:val="0"/>
    <w:rPr>
      <w:rFonts w:hint="eastAsia" w:ascii="宋体" w:hAnsi="宋体" w:eastAsia="宋体" w:cs="宋体"/>
      <w:color w:val="000000"/>
      <w:sz w:val="24"/>
      <w:szCs w:val="24"/>
      <w:u w:val="none"/>
    </w:rPr>
  </w:style>
  <w:style w:type="character" w:customStyle="1" w:styleId="23">
    <w:name w:val="font51"/>
    <w:basedOn w:val="14"/>
    <w:qFormat/>
    <w:uiPriority w:val="0"/>
    <w:rPr>
      <w:rFonts w:hint="default" w:ascii="Wingdings 2" w:hAnsi="Wingdings 2" w:eastAsia="Wingdings 2" w:cs="Wingdings 2"/>
      <w:color w:val="000000"/>
      <w:sz w:val="18"/>
      <w:szCs w:val="18"/>
      <w:u w:val="none"/>
    </w:rPr>
  </w:style>
  <w:style w:type="character" w:customStyle="1" w:styleId="24">
    <w:name w:val="font01"/>
    <w:basedOn w:val="14"/>
    <w:qFormat/>
    <w:uiPriority w:val="0"/>
    <w:rPr>
      <w:rFonts w:ascii="宋体" w:hAnsi="宋体" w:eastAsia="宋体" w:cs="宋体"/>
      <w:color w:val="000000"/>
      <w:sz w:val="18"/>
      <w:szCs w:val="18"/>
      <w:u w:val="none"/>
    </w:rPr>
  </w:style>
  <w:style w:type="character" w:customStyle="1" w:styleId="25">
    <w:name w:val="font41"/>
    <w:basedOn w:val="14"/>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20</Pages>
  <Words>8958</Words>
  <Characters>9809</Characters>
  <Lines>2</Lines>
  <Paragraphs>1</Paragraphs>
  <TotalTime>13</TotalTime>
  <ScaleCrop>false</ScaleCrop>
  <LinksUpToDate>false</LinksUpToDate>
  <CharactersWithSpaces>9839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2019-05-28T19:06:00Z</dcterms:created>
  <dc:creator>陈萍</dc:creator>
  <cp:lastModifiedBy>白玛</cp:lastModifiedBy>
  <cp:lastPrinted>2016-02-15T08:25:00Z</cp:lastPrinted>
  <dcterms:modified xsi:type="dcterms:W3CDTF">2025-08-27T08:36:45Z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CDEB59FC60D348CCBACE03664F5ED8EA_13</vt:lpwstr>
  </property>
  <property fmtid="{D5CDD505-2E9C-101B-9397-08002B2CF9AE}" pid="4" name="KSOTemplateDocerSaveRecord">
    <vt:lpwstr>eyJoZGlkIjoiYjFhNWMxNzQyM2Y4MjcxOGYyYzAzNDZmNmFkZTU4ZTIiLCJ1c2VySWQiOiI0MDEwODQ1OTEifQ==</vt:lpwstr>
  </property>
</Properties>
</file>