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76" w:lineRule="exact"/>
        <w:jc w:val="center"/>
        <w:rPr>
          <w:rFonts w:ascii="Times New Roman" w:hAnsi="Times New Roman" w:eastAsia="方正小标宋_GBK" w:cs="Times New Roman"/>
          <w:b/>
          <w:bCs/>
          <w:sz w:val="44"/>
          <w:szCs w:val="44"/>
        </w:rPr>
      </w:pPr>
      <w:r>
        <w:rPr>
          <w:rFonts w:hint="eastAsia" w:ascii="方正小标宋_GBK" w:hAnsi="方正小标宋_GBK" w:eastAsia="方正小标宋_GBK" w:cs="方正小标宋_GBK"/>
          <w:bCs/>
          <w:sz w:val="44"/>
          <w:szCs w:val="44"/>
        </w:rPr>
        <w:drawing>
          <wp:anchor distT="0" distB="0" distL="114300" distR="114300" simplePos="0" relativeHeight="251659264" behindDoc="1" locked="0" layoutInCell="1" allowOverlap="1">
            <wp:simplePos x="0" y="0"/>
            <wp:positionH relativeFrom="column">
              <wp:posOffset>-985520</wp:posOffset>
            </wp:positionH>
            <wp:positionV relativeFrom="paragraph">
              <wp:posOffset>-1384300</wp:posOffset>
            </wp:positionV>
            <wp:extent cx="7550785" cy="10671810"/>
            <wp:effectExtent l="0" t="0" r="12065" b="15240"/>
            <wp:wrapNone/>
            <wp:docPr id="1" name="图片 2" descr="9112b8231598384fccd999912490b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9112b8231598384fccd999912490b36"/>
                    <pic:cNvPicPr>
                      <a:picLocks noChangeAspect="1"/>
                    </pic:cNvPicPr>
                  </pic:nvPicPr>
                  <pic:blipFill>
                    <a:blip r:embed="rId6" cstate="print"/>
                    <a:stretch>
                      <a:fillRect/>
                    </a:stretch>
                  </pic:blipFill>
                  <pic:spPr>
                    <a:xfrm>
                      <a:off x="0" y="0"/>
                      <a:ext cx="7550785" cy="10671810"/>
                    </a:xfrm>
                    <a:prstGeom prst="rect">
                      <a:avLst/>
                    </a:prstGeom>
                    <a:noFill/>
                    <a:ln>
                      <a:noFill/>
                    </a:ln>
                  </pic:spPr>
                </pic:pic>
              </a:graphicData>
            </a:graphic>
          </wp:anchor>
        </w:drawing>
      </w:r>
    </w:p>
    <w:p>
      <w:pPr>
        <w:spacing w:line="576" w:lineRule="exact"/>
        <w:jc w:val="center"/>
        <w:rPr>
          <w:rFonts w:ascii="Times New Roman" w:hAnsi="Times New Roman" w:eastAsia="方正小标宋_GBK" w:cs="Times New Roman"/>
          <w:b/>
          <w:bCs/>
          <w:sz w:val="44"/>
          <w:szCs w:val="44"/>
        </w:rPr>
      </w:pPr>
    </w:p>
    <w:p>
      <w:pPr>
        <w:spacing w:line="576" w:lineRule="exact"/>
        <w:jc w:val="center"/>
        <w:rPr>
          <w:rFonts w:ascii="Times New Roman" w:hAnsi="Times New Roman" w:eastAsia="方正小标宋_GBK" w:cs="Times New Roman"/>
          <w:b/>
          <w:bCs/>
          <w:sz w:val="44"/>
          <w:szCs w:val="44"/>
        </w:rPr>
      </w:pPr>
    </w:p>
    <w:p>
      <w:pPr>
        <w:spacing w:line="576" w:lineRule="exact"/>
        <w:jc w:val="center"/>
        <w:rPr>
          <w:rFonts w:ascii="Times New Roman" w:hAnsi="Times New Roman" w:eastAsia="方正小标宋_GBK" w:cs="Times New Roman"/>
          <w:b/>
          <w:bCs/>
          <w:sz w:val="44"/>
          <w:szCs w:val="44"/>
        </w:rPr>
      </w:pPr>
    </w:p>
    <w:p>
      <w:pPr>
        <w:spacing w:line="576" w:lineRule="exact"/>
        <w:jc w:val="center"/>
        <w:rPr>
          <w:rFonts w:ascii="Times New Roman" w:hAnsi="Times New Roman" w:eastAsia="方正小标宋_GBK" w:cs="Times New Roman"/>
          <w:b/>
          <w:bCs/>
          <w:sz w:val="44"/>
          <w:szCs w:val="44"/>
        </w:rPr>
      </w:pPr>
    </w:p>
    <w:p>
      <w:pPr>
        <w:spacing w:line="576" w:lineRule="exact"/>
        <w:jc w:val="center"/>
        <w:rPr>
          <w:rFonts w:ascii="Times New Roman" w:hAnsi="Times New Roman" w:eastAsia="方正小标宋_GBK" w:cs="Times New Roman"/>
          <w:b/>
          <w:bCs/>
          <w:sz w:val="44"/>
          <w:szCs w:val="44"/>
        </w:rPr>
      </w:pPr>
    </w:p>
    <w:p>
      <w:pPr>
        <w:spacing w:line="576" w:lineRule="exact"/>
        <w:jc w:val="center"/>
        <w:rPr>
          <w:rFonts w:ascii="Times New Roman" w:hAnsi="Times New Roman" w:eastAsia="方正小标宋_GBK" w:cs="Times New Roman"/>
          <w:b/>
          <w:bCs/>
          <w:sz w:val="44"/>
          <w:szCs w:val="44"/>
        </w:rPr>
      </w:pPr>
    </w:p>
    <w:p>
      <w:pPr>
        <w:spacing w:line="576" w:lineRule="exact"/>
        <w:jc w:val="center"/>
        <w:rPr>
          <w:rFonts w:ascii="Times New Roman" w:hAnsi="Times New Roman" w:eastAsia="方正小标宋_GBK" w:cs="Times New Roman"/>
          <w:b/>
          <w:bCs/>
          <w:sz w:val="44"/>
          <w:szCs w:val="44"/>
        </w:rPr>
      </w:pPr>
    </w:p>
    <w:p>
      <w:pPr>
        <w:spacing w:line="576" w:lineRule="exact"/>
        <w:jc w:val="center"/>
        <w:rPr>
          <w:rFonts w:ascii="Times New Roman" w:hAnsi="Times New Roman" w:eastAsia="方正小标宋_GBK" w:cs="Times New Roman"/>
          <w:b/>
          <w:bCs/>
          <w:sz w:val="44"/>
          <w:szCs w:val="44"/>
        </w:rPr>
      </w:pPr>
    </w:p>
    <w:p>
      <w:pPr>
        <w:spacing w:line="576" w:lineRule="exact"/>
        <w:jc w:val="center"/>
        <w:rPr>
          <w:rFonts w:ascii="Times New Roman" w:hAnsi="Times New Roman" w:eastAsia="方正小标宋_GBK" w:cs="Times New Roman"/>
          <w:b/>
          <w:bCs/>
          <w:sz w:val="44"/>
          <w:szCs w:val="44"/>
        </w:rPr>
      </w:pPr>
    </w:p>
    <w:p>
      <w:pPr>
        <w:spacing w:line="576" w:lineRule="exact"/>
        <w:jc w:val="center"/>
        <w:rPr>
          <w:rFonts w:ascii="Times New Roman" w:hAnsi="Times New Roman" w:eastAsia="方正小标宋_GBK" w:cs="Times New Roman"/>
          <w:b/>
          <w:bCs/>
          <w:sz w:val="44"/>
          <w:szCs w:val="44"/>
        </w:rPr>
      </w:pPr>
    </w:p>
    <w:p>
      <w:pPr>
        <w:spacing w:line="560" w:lineRule="exact"/>
        <w:ind w:firstLine="2808" w:firstLineChars="900"/>
        <w:rPr>
          <w:rFonts w:ascii="仿宋_GB2312" w:hAnsi="仿宋_GB2312" w:eastAsia="仿宋_GB2312"/>
          <w:sz w:val="32"/>
          <w:szCs w:val="32"/>
        </w:rPr>
      </w:pPr>
    </w:p>
    <w:p>
      <w:pPr>
        <w:spacing w:line="560" w:lineRule="exact"/>
        <w:ind w:firstLine="2808" w:firstLineChars="900"/>
        <w:rPr>
          <w:rFonts w:ascii="仿宋_GB2312" w:hAnsi="仿宋_GB2312" w:eastAsia="仿宋_GB2312"/>
          <w:sz w:val="32"/>
          <w:szCs w:val="32"/>
        </w:rPr>
      </w:pPr>
    </w:p>
    <w:p>
      <w:pPr>
        <w:spacing w:line="560" w:lineRule="exact"/>
        <w:ind w:firstLine="312" w:firstLineChars="100"/>
        <w:rPr>
          <w:rFonts w:ascii="方正小标宋_GBK" w:hAnsi="方正小标宋_GBK" w:eastAsia="仿宋_GB2312" w:cs="方正小标宋_GBK"/>
          <w:bCs/>
          <w:sz w:val="32"/>
          <w:szCs w:val="32"/>
        </w:rPr>
      </w:pPr>
      <w:r>
        <w:rPr>
          <w:rFonts w:hint="eastAsia" w:ascii="仿宋_GB2312" w:hAnsi="仿宋_GB2312" w:eastAsia="仿宋_GB2312"/>
          <w:sz w:val="32"/>
          <w:szCs w:val="32"/>
        </w:rPr>
        <w:t>黑西府〔2024〕58号                    签发人：</w:t>
      </w:r>
      <w:r>
        <w:rPr>
          <w:rFonts w:hint="eastAsia" w:ascii="楷体_GB2312" w:hAnsi="楷体_GB2312" w:eastAsia="楷体_GB2312" w:cs="楷体_GB2312"/>
          <w:sz w:val="32"/>
          <w:szCs w:val="32"/>
        </w:rPr>
        <w:t>李光明</w:t>
      </w:r>
    </w:p>
    <w:p>
      <w:pPr>
        <w:spacing w:line="560" w:lineRule="exact"/>
        <w:rPr>
          <w:rFonts w:ascii="方正小标宋简体" w:hAnsi="方正小标宋简体" w:eastAsia="方正小标宋简体" w:cs="方正小标宋简体"/>
          <w:sz w:val="44"/>
          <w:szCs w:val="44"/>
        </w:rPr>
      </w:pPr>
    </w:p>
    <w:p>
      <w:pPr>
        <w:spacing w:line="560" w:lineRule="exact"/>
        <w:ind w:left="2596" w:hanging="2592" w:hangingChars="600"/>
        <w:jc w:val="center"/>
        <w:rPr>
          <w:rFonts w:ascii="方正小标宋_GBK" w:hAnsi="方正小标宋_GBK" w:eastAsia="方正小标宋_GBK" w:cs="方正小标宋_GBK"/>
          <w:b/>
          <w:bCs/>
          <w:color w:val="000000"/>
          <w:sz w:val="44"/>
          <w:szCs w:val="44"/>
        </w:rPr>
      </w:pPr>
      <w:r>
        <w:rPr>
          <w:rFonts w:hint="eastAsia" w:ascii="方正小标宋_GBK" w:hAnsi="方正小标宋_GBK" w:eastAsia="方正小标宋_GBK" w:cs="方正小标宋_GBK"/>
          <w:b/>
          <w:bCs/>
          <w:color w:val="000000"/>
          <w:sz w:val="44"/>
          <w:szCs w:val="44"/>
        </w:rPr>
        <w:t>黑水县西尔镇木日窝村温室大棚配套</w:t>
      </w:r>
    </w:p>
    <w:p>
      <w:pPr>
        <w:spacing w:line="560" w:lineRule="exact"/>
        <w:ind w:left="2596" w:hanging="2592" w:hangingChars="600"/>
        <w:jc w:val="center"/>
        <w:rPr>
          <w:rFonts w:ascii="方正小标宋_GBK" w:hAnsi="方正小标宋_GBK" w:eastAsia="方正小标宋_GBK" w:cs="方正小标宋_GBK"/>
          <w:b/>
          <w:bCs/>
          <w:color w:val="000000"/>
          <w:sz w:val="44"/>
          <w:szCs w:val="44"/>
        </w:rPr>
      </w:pPr>
      <w:r>
        <w:rPr>
          <w:rFonts w:hint="eastAsia" w:ascii="方正小标宋_GBK" w:hAnsi="方正小标宋_GBK" w:eastAsia="方正小标宋_GBK" w:cs="方正小标宋_GBK"/>
          <w:b/>
          <w:bCs/>
          <w:color w:val="000000"/>
          <w:sz w:val="44"/>
          <w:szCs w:val="44"/>
        </w:rPr>
        <w:t>设施项目</w:t>
      </w:r>
      <w:r>
        <w:rPr>
          <w:rFonts w:ascii="方正小标宋_GBK" w:hAnsi="方正小标宋_GBK" w:eastAsia="方正小标宋_GBK" w:cs="方正小标宋_GBK"/>
          <w:b/>
          <w:bCs/>
          <w:color w:val="000000"/>
          <w:sz w:val="44"/>
          <w:szCs w:val="44"/>
        </w:rPr>
        <w:t>绩效</w:t>
      </w:r>
      <w:r>
        <w:rPr>
          <w:rFonts w:hint="eastAsia" w:ascii="方正小标宋_GBK" w:hAnsi="方正小标宋_GBK" w:eastAsia="方正小标宋_GBK" w:cs="方正小标宋_GBK"/>
          <w:b/>
          <w:bCs/>
          <w:color w:val="000000"/>
          <w:sz w:val="44"/>
          <w:szCs w:val="44"/>
        </w:rPr>
        <w:t>评价</w:t>
      </w:r>
      <w:r>
        <w:rPr>
          <w:rFonts w:ascii="方正小标宋_GBK" w:hAnsi="方正小标宋_GBK" w:eastAsia="方正小标宋_GBK" w:cs="方正小标宋_GBK"/>
          <w:b/>
          <w:bCs/>
          <w:color w:val="000000"/>
          <w:sz w:val="44"/>
          <w:szCs w:val="44"/>
        </w:rPr>
        <w:t>报告</w:t>
      </w:r>
    </w:p>
    <w:p>
      <w:pPr>
        <w:spacing w:line="560" w:lineRule="exact"/>
        <w:ind w:left="2596" w:hanging="2592" w:hangingChars="600"/>
        <w:jc w:val="center"/>
        <w:rPr>
          <w:rFonts w:ascii="方正小标宋_GBK" w:hAnsi="方正小标宋_GBK" w:eastAsia="方正小标宋_GBK" w:cs="方正小标宋_GBK"/>
          <w:b/>
          <w:bCs/>
          <w:color w:val="000000"/>
          <w:sz w:val="44"/>
          <w:szCs w:val="44"/>
        </w:rPr>
      </w:pPr>
    </w:p>
    <w:p>
      <w:pPr>
        <w:pStyle w:val="2"/>
      </w:pPr>
    </w:p>
    <w:p>
      <w:pPr>
        <w:pStyle w:val="2"/>
      </w:pPr>
    </w:p>
    <w:p>
      <w:pPr>
        <w:pStyle w:val="2"/>
      </w:pPr>
    </w:p>
    <w:p>
      <w:pPr>
        <w:numPr>
          <w:ilvl w:val="0"/>
          <w:numId w:val="1"/>
        </w:numPr>
        <w:adjustRightInd w:val="0"/>
        <w:snapToGrid w:val="0"/>
        <w:spacing w:line="578" w:lineRule="exact"/>
        <w:ind w:firstLine="624" w:firstLineChars="200"/>
        <w:rPr>
          <w:rFonts w:ascii="黑体" w:hAnsi="宋体" w:eastAsia="黑体" w:cs="Times New Roman"/>
          <w:sz w:val="32"/>
          <w:szCs w:val="32"/>
          <w:lang w:val="zh-CN"/>
        </w:rPr>
      </w:pPr>
      <w:r>
        <w:rPr>
          <w:rFonts w:hint="eastAsia" w:ascii="黑体" w:hAnsi="宋体" w:eastAsia="黑体" w:cs="Times New Roman"/>
          <w:sz w:val="32"/>
          <w:szCs w:val="32"/>
          <w:lang w:val="zh-CN"/>
        </w:rPr>
        <w:t>项目概况</w:t>
      </w:r>
    </w:p>
    <w:p>
      <w:pPr>
        <w:numPr>
          <w:ilvl w:val="0"/>
          <w:numId w:val="2"/>
        </w:numPr>
        <w:adjustRightInd w:val="0"/>
        <w:snapToGrid w:val="0"/>
        <w:spacing w:line="578" w:lineRule="exact"/>
        <w:ind w:firstLine="624" w:firstLineChars="200"/>
        <w:rPr>
          <w:rFonts w:ascii="楷体" w:hAnsi="楷体" w:eastAsia="楷体" w:cs="楷体"/>
          <w:sz w:val="32"/>
          <w:szCs w:val="32"/>
          <w:lang w:val="zh-CN"/>
        </w:rPr>
      </w:pPr>
      <w:r>
        <w:rPr>
          <w:rFonts w:hint="eastAsia" w:ascii="楷体" w:hAnsi="楷体" w:eastAsia="楷体" w:cs="楷体"/>
          <w:sz w:val="32"/>
          <w:szCs w:val="32"/>
          <w:lang w:val="zh-CN"/>
        </w:rPr>
        <w:t>设立背景及基本情况。</w:t>
      </w:r>
    </w:p>
    <w:p>
      <w:pPr>
        <w:adjustRightInd w:val="0"/>
        <w:snapToGrid w:val="0"/>
        <w:spacing w:line="578" w:lineRule="exact"/>
        <w:ind w:firstLine="624" w:firstLineChars="200"/>
        <w:rPr>
          <w:rFonts w:ascii="仿宋" w:hAnsi="仿宋" w:eastAsia="仿宋" w:cs="仿宋"/>
          <w:sz w:val="32"/>
          <w:szCs w:val="32"/>
        </w:rPr>
      </w:pPr>
      <w:r>
        <w:rPr>
          <w:rFonts w:hint="eastAsia" w:ascii="仿宋" w:hAnsi="仿宋" w:eastAsia="仿宋" w:cs="仿宋"/>
          <w:sz w:val="32"/>
          <w:szCs w:val="32"/>
        </w:rPr>
        <w:t>1、项目设立原因及背景</w:t>
      </w:r>
    </w:p>
    <w:p>
      <w:pPr>
        <w:ind w:firstLine="624" w:firstLineChars="200"/>
        <w:jc w:val="left"/>
        <w:rPr>
          <w:rFonts w:ascii="仿宋" w:hAnsi="仿宋" w:eastAsia="仿宋" w:cs="仿宋"/>
          <w:sz w:val="32"/>
          <w:szCs w:val="32"/>
        </w:rPr>
      </w:pPr>
      <w:r>
        <w:rPr>
          <w:rFonts w:hint="eastAsia" w:ascii="仿宋" w:hAnsi="仿宋" w:eastAsia="仿宋" w:cs="仿宋"/>
          <w:sz w:val="32"/>
          <w:szCs w:val="32"/>
        </w:rPr>
        <w:t>以党的十九大精神为引领，按照“因地制宜，突出特色，一业为主，多元发展”的思路和“市场主导、政府引导、科技推进、产业特色高效”的原则，以示范引领现代农业发展为核心，以促进农业增产农民增收为目标，以培育壮大特色产业为主线，加快我县农业产业化进程和农业科技的研发及推广应用，将现有的土地、人力、技术等各种资源优化重组,合理配置,培训与教育相结合的综合型农业产业发展示范基地。加快培育发展设施果田,努力增加农民收入。</w:t>
      </w:r>
    </w:p>
    <w:p>
      <w:pPr>
        <w:adjustRightInd w:val="0"/>
        <w:snapToGrid w:val="0"/>
        <w:spacing w:line="578" w:lineRule="exact"/>
        <w:ind w:firstLine="624" w:firstLineChars="200"/>
        <w:rPr>
          <w:rFonts w:ascii="仿宋" w:hAnsi="仿宋" w:eastAsia="仿宋" w:cs="仿宋"/>
          <w:sz w:val="32"/>
          <w:szCs w:val="32"/>
        </w:rPr>
      </w:pPr>
      <w:r>
        <w:rPr>
          <w:rFonts w:hint="eastAsia" w:ascii="仿宋" w:hAnsi="仿宋" w:eastAsia="仿宋" w:cs="仿宋"/>
          <w:sz w:val="32"/>
          <w:szCs w:val="32"/>
        </w:rPr>
        <w:t>2、项目立项、资金申报的依据</w:t>
      </w:r>
    </w:p>
    <w:p>
      <w:pPr>
        <w:ind w:firstLine="624" w:firstLineChars="200"/>
        <w:jc w:val="left"/>
        <w:rPr>
          <w:rFonts w:ascii="仿宋" w:hAnsi="仿宋" w:eastAsia="仿宋" w:cs="仿宋"/>
          <w:sz w:val="32"/>
          <w:szCs w:val="32"/>
        </w:rPr>
      </w:pPr>
      <w:r>
        <w:rPr>
          <w:rFonts w:hint="eastAsia" w:ascii="仿宋" w:hAnsi="仿宋" w:eastAsia="仿宋" w:cs="仿宋"/>
          <w:sz w:val="32"/>
          <w:szCs w:val="32"/>
        </w:rPr>
        <w:t>党的十九大后正式实施乡村振兴战略，乡村基础设施建设作为制约乡村发展的重要因素，同时也是乡村振兴战略在乡村实施的一个具体措施。近年来，黑水县坚持走乡村振兴道路，认真贯彻落实习近平总书记</w:t>
      </w:r>
      <w:r>
        <w:rPr>
          <w:rFonts w:hint="default" w:ascii="仿宋" w:hAnsi="仿宋" w:eastAsia="仿宋" w:cs="仿宋"/>
          <w:sz w:val="32"/>
          <w:szCs w:val="32"/>
        </w:rPr>
        <w:t>系列</w:t>
      </w:r>
      <w:r>
        <w:rPr>
          <w:rFonts w:hint="eastAsia" w:ascii="仿宋" w:hAnsi="仿宋" w:eastAsia="仿宋" w:cs="仿宋"/>
          <w:sz w:val="32"/>
          <w:szCs w:val="32"/>
        </w:rPr>
        <w:t>重要讲话精神，持续加大就业和产业扶持力度，继续完善安置区配套基础设施、产业园区配套设施、公共服务设施，切实提升农业产业化能力，补助区域发展短板有助于项目区域产业园健康发展，持续巩固脱贫成果。</w:t>
      </w:r>
    </w:p>
    <w:p>
      <w:pPr>
        <w:adjustRightInd w:val="0"/>
        <w:snapToGrid w:val="0"/>
        <w:spacing w:line="578" w:lineRule="exact"/>
        <w:ind w:firstLine="624" w:firstLineChars="200"/>
        <w:rPr>
          <w:rFonts w:ascii="仿宋" w:hAnsi="仿宋" w:eastAsia="仿宋" w:cs="仿宋"/>
          <w:sz w:val="32"/>
          <w:szCs w:val="32"/>
        </w:rPr>
      </w:pPr>
      <w:r>
        <w:rPr>
          <w:rFonts w:hint="eastAsia" w:ascii="仿宋" w:hAnsi="仿宋" w:eastAsia="仿宋" w:cs="仿宋"/>
          <w:sz w:val="32"/>
          <w:szCs w:val="32"/>
        </w:rPr>
        <w:t>3、项目主要内容</w:t>
      </w:r>
    </w:p>
    <w:p>
      <w:pPr>
        <w:ind w:firstLine="624" w:firstLineChars="200"/>
        <w:jc w:val="left"/>
        <w:rPr>
          <w:rFonts w:ascii="仿宋" w:hAnsi="仿宋" w:eastAsia="仿宋" w:cs="仿宋"/>
          <w:sz w:val="32"/>
          <w:szCs w:val="32"/>
        </w:rPr>
      </w:pPr>
      <w:r>
        <w:rPr>
          <w:rFonts w:hint="eastAsia" w:ascii="仿宋" w:hAnsi="仿宋" w:eastAsia="仿宋" w:cs="仿宋"/>
          <w:sz w:val="32"/>
          <w:szCs w:val="32"/>
        </w:rPr>
        <w:t>项目主要为支撑西尔镇现代农业科技示范园农事生产管理日常运营，主要内容包含了：1.大棚两侧新增卷膜通风，增加卷膜杆，散射膜，防虫网，等其他配件；2.大棚内新增滴灌主管，滴灌带；3.包含首部灌溉过滤系统，田间及泵房管材，预调酸罐，带螺旋3通道全自动精量施肥机、变频柜、启动柜；4.2.5m吊蔓绳、2.5mm防锈铁丝/4.0mm塑钢线等。</w:t>
      </w:r>
    </w:p>
    <w:p>
      <w:pPr>
        <w:adjustRightInd w:val="0"/>
        <w:snapToGrid w:val="0"/>
        <w:spacing w:line="578" w:lineRule="exact"/>
        <w:ind w:firstLine="624" w:firstLineChars="200"/>
        <w:rPr>
          <w:rFonts w:ascii="仿宋" w:hAnsi="仿宋" w:eastAsia="仿宋" w:cs="仿宋"/>
          <w:sz w:val="32"/>
          <w:szCs w:val="32"/>
        </w:rPr>
      </w:pPr>
      <w:r>
        <w:rPr>
          <w:rFonts w:hint="eastAsia" w:ascii="仿宋" w:hAnsi="仿宋" w:eastAsia="仿宋" w:cs="仿宋"/>
          <w:sz w:val="32"/>
          <w:szCs w:val="32"/>
        </w:rPr>
        <w:t>4、主管部门职能</w:t>
      </w:r>
    </w:p>
    <w:p>
      <w:pPr>
        <w:ind w:firstLine="624" w:firstLineChars="200"/>
        <w:jc w:val="left"/>
        <w:rPr>
          <w:rFonts w:ascii="仿宋" w:hAnsi="仿宋" w:eastAsia="仿宋" w:cs="仿宋"/>
          <w:sz w:val="32"/>
          <w:szCs w:val="32"/>
        </w:rPr>
      </w:pPr>
      <w:r>
        <w:rPr>
          <w:rFonts w:hint="eastAsia" w:ascii="仿宋" w:hAnsi="仿宋" w:eastAsia="仿宋" w:cs="仿宋"/>
          <w:sz w:val="32"/>
          <w:szCs w:val="32"/>
        </w:rPr>
        <w:t>本单位承担专项资金绩效管理的主体责任，主要负责提出专项资金分配方案，制定项目管理制度，组织项目评审和实施，开展项目验收、绩效评价和监督检查等工作。</w:t>
      </w:r>
    </w:p>
    <w:p>
      <w:pPr>
        <w:ind w:firstLine="624" w:firstLineChars="200"/>
        <w:jc w:val="left"/>
        <w:rPr>
          <w:rFonts w:ascii="楷体" w:hAnsi="楷体" w:eastAsia="楷体" w:cs="楷体"/>
          <w:sz w:val="32"/>
          <w:szCs w:val="32"/>
          <w:lang w:val="zh-CN"/>
        </w:rPr>
      </w:pPr>
      <w:r>
        <w:rPr>
          <w:rFonts w:hint="eastAsia" w:ascii="楷体" w:hAnsi="楷体" w:eastAsia="楷体" w:cs="楷体"/>
          <w:sz w:val="32"/>
          <w:szCs w:val="32"/>
          <w:lang w:val="zh-CN"/>
        </w:rPr>
        <w:t>（二）实施目的及支持方向。</w:t>
      </w:r>
    </w:p>
    <w:p>
      <w:pPr>
        <w:ind w:firstLine="624" w:firstLineChars="200"/>
        <w:jc w:val="left"/>
        <w:rPr>
          <w:rFonts w:ascii="仿宋" w:hAnsi="仿宋" w:eastAsia="仿宋" w:cs="仿宋"/>
          <w:sz w:val="32"/>
          <w:szCs w:val="32"/>
        </w:rPr>
      </w:pPr>
      <w:r>
        <w:rPr>
          <w:rFonts w:hint="eastAsia" w:ascii="仿宋" w:hAnsi="仿宋" w:eastAsia="仿宋" w:cs="仿宋"/>
          <w:sz w:val="32"/>
          <w:szCs w:val="32"/>
        </w:rPr>
        <w:t>1、项目资金管理办法制定情况</w:t>
      </w:r>
    </w:p>
    <w:p>
      <w:pPr>
        <w:ind w:firstLine="624" w:firstLineChars="200"/>
        <w:jc w:val="left"/>
        <w:rPr>
          <w:rFonts w:ascii="仿宋" w:hAnsi="仿宋" w:eastAsia="仿宋" w:cs="仿宋"/>
          <w:sz w:val="32"/>
          <w:szCs w:val="32"/>
        </w:rPr>
      </w:pPr>
      <w:r>
        <w:rPr>
          <w:rFonts w:hint="eastAsia" w:ascii="仿宋" w:hAnsi="仿宋" w:eastAsia="仿宋" w:cs="仿宋"/>
          <w:sz w:val="32"/>
          <w:szCs w:val="32"/>
        </w:rPr>
        <w:t>本单位结合实际制定和完善了项目资金管理办法，项目管理办法有效执行。</w:t>
      </w:r>
    </w:p>
    <w:p>
      <w:pPr>
        <w:ind w:firstLine="624" w:firstLineChars="200"/>
        <w:jc w:val="left"/>
        <w:rPr>
          <w:rFonts w:ascii="仿宋" w:hAnsi="仿宋" w:eastAsia="仿宋" w:cs="仿宋"/>
          <w:sz w:val="32"/>
          <w:szCs w:val="32"/>
        </w:rPr>
      </w:pPr>
      <w:r>
        <w:rPr>
          <w:rFonts w:hint="eastAsia" w:ascii="仿宋" w:hAnsi="仿宋" w:eastAsia="仿宋" w:cs="仿宋"/>
          <w:sz w:val="32"/>
          <w:szCs w:val="32"/>
        </w:rPr>
        <w:t>2、项目实施目的和主要工作任务</w:t>
      </w:r>
    </w:p>
    <w:p>
      <w:pPr>
        <w:ind w:firstLine="624" w:firstLineChars="200"/>
        <w:jc w:val="left"/>
        <w:rPr>
          <w:rFonts w:ascii="仿宋" w:hAnsi="仿宋" w:eastAsia="仿宋" w:cs="仿宋"/>
          <w:sz w:val="32"/>
          <w:szCs w:val="32"/>
        </w:rPr>
      </w:pPr>
      <w:r>
        <w:rPr>
          <w:rFonts w:hint="eastAsia" w:ascii="仿宋" w:hAnsi="仿宋" w:eastAsia="仿宋" w:cs="仿宋"/>
          <w:sz w:val="32"/>
          <w:szCs w:val="32"/>
        </w:rPr>
        <w:t>本项目建成后将实现黑水县高半山青红脆李避雨栽培技术的应用，通过试验阶段的研究，避免高半山李子花期遭受冻害、采收期遭受裂果等，研究出适合高半山避雨栽培的关键技术，形成一套黑水县高半山李子避雨栽培技术体系，实现高半山李子避雨栽培，推广带动周边农户利用李子避雨栽培技术，形成示范效应，带动乡村产业振兴。根据黑水县高半山地理特征，搭建钢架简易型避雨棚，搭建标准以连栋塑料固定式避雨防霜设施、四线拉帘式、三线拉帘式避雨防霜设施。</w:t>
      </w:r>
    </w:p>
    <w:p>
      <w:pPr>
        <w:ind w:firstLine="624" w:firstLineChars="200"/>
        <w:jc w:val="left"/>
        <w:rPr>
          <w:rFonts w:ascii="仿宋" w:hAnsi="仿宋" w:eastAsia="仿宋" w:cs="仿宋"/>
          <w:sz w:val="32"/>
          <w:szCs w:val="32"/>
        </w:rPr>
      </w:pPr>
      <w:r>
        <w:rPr>
          <w:rFonts w:hint="eastAsia" w:ascii="仿宋" w:hAnsi="仿宋" w:eastAsia="仿宋" w:cs="仿宋"/>
          <w:sz w:val="32"/>
          <w:szCs w:val="32"/>
        </w:rPr>
        <w:t>3、项目支持方向</w:t>
      </w:r>
    </w:p>
    <w:p>
      <w:pPr>
        <w:ind w:firstLine="624" w:firstLineChars="200"/>
        <w:jc w:val="left"/>
        <w:rPr>
          <w:rFonts w:ascii="仿宋" w:hAnsi="仿宋" w:eastAsia="仿宋" w:cs="仿宋"/>
          <w:sz w:val="32"/>
          <w:szCs w:val="32"/>
        </w:rPr>
      </w:pPr>
      <w:r>
        <w:rPr>
          <w:rFonts w:hint="eastAsia" w:ascii="仿宋" w:hAnsi="仿宋" w:eastAsia="仿宋" w:cs="仿宋"/>
          <w:sz w:val="32"/>
          <w:szCs w:val="32"/>
        </w:rPr>
        <w:t>该项目资金主要用于西尔镇木日窝村温室大棚配套设施项目的所有开支。</w:t>
      </w:r>
    </w:p>
    <w:p>
      <w:pPr>
        <w:ind w:firstLine="624" w:firstLineChars="200"/>
        <w:jc w:val="left"/>
        <w:rPr>
          <w:rFonts w:ascii="楷体" w:hAnsi="楷体" w:eastAsia="楷体" w:cs="楷体"/>
          <w:sz w:val="32"/>
          <w:szCs w:val="32"/>
          <w:lang w:val="zh-CN"/>
        </w:rPr>
      </w:pPr>
      <w:r>
        <w:rPr>
          <w:rFonts w:hint="eastAsia" w:ascii="楷体" w:hAnsi="楷体" w:eastAsia="楷体" w:cs="楷体"/>
          <w:sz w:val="32"/>
          <w:szCs w:val="32"/>
          <w:lang w:val="zh-CN"/>
        </w:rPr>
        <w:t>（三）预算安排及分配管理。</w:t>
      </w:r>
    </w:p>
    <w:p>
      <w:pPr>
        <w:ind w:firstLine="624" w:firstLineChars="200"/>
        <w:jc w:val="left"/>
        <w:rPr>
          <w:rFonts w:ascii="仿宋" w:hAnsi="仿宋" w:eastAsia="仿宋" w:cs="仿宋"/>
          <w:sz w:val="32"/>
          <w:szCs w:val="32"/>
        </w:rPr>
      </w:pPr>
      <w:r>
        <w:rPr>
          <w:rFonts w:hint="eastAsia" w:ascii="仿宋" w:hAnsi="仿宋" w:eastAsia="仿宋" w:cs="仿宋"/>
          <w:sz w:val="32"/>
          <w:szCs w:val="32"/>
        </w:rPr>
        <w:t>1、项目预算安排情况</w:t>
      </w:r>
    </w:p>
    <w:p>
      <w:pPr>
        <w:ind w:firstLine="624" w:firstLineChars="200"/>
        <w:jc w:val="left"/>
        <w:rPr>
          <w:rFonts w:ascii="仿宋" w:hAnsi="仿宋" w:eastAsia="仿宋" w:cs="仿宋"/>
          <w:sz w:val="32"/>
          <w:szCs w:val="32"/>
        </w:rPr>
      </w:pPr>
      <w:r>
        <w:rPr>
          <w:rFonts w:hint="eastAsia" w:ascii="仿宋" w:hAnsi="仿宋" w:eastAsia="仿宋" w:cs="仿宋"/>
          <w:sz w:val="32"/>
          <w:szCs w:val="32"/>
        </w:rPr>
        <w:t>预算申报项目资金金额为70万元，批复金额为60万元，实际使用金额60万元，项目资金符合资金管理办法等相关规定。资金按批复金额在项目实施前全部到位，与资金计划相契合，资金到位率、到位及时性均为100%，保障项目能够如期开展。</w:t>
      </w:r>
    </w:p>
    <w:p>
      <w:pPr>
        <w:ind w:firstLine="624" w:firstLineChars="200"/>
        <w:jc w:val="left"/>
        <w:rPr>
          <w:rFonts w:ascii="仿宋" w:hAnsi="仿宋" w:eastAsia="仿宋" w:cs="仿宋"/>
          <w:sz w:val="32"/>
          <w:szCs w:val="32"/>
        </w:rPr>
      </w:pPr>
      <w:r>
        <w:rPr>
          <w:rFonts w:hint="eastAsia" w:ascii="仿宋" w:hAnsi="仿宋" w:eastAsia="仿宋" w:cs="仿宋"/>
          <w:sz w:val="32"/>
          <w:szCs w:val="32"/>
        </w:rPr>
        <w:t>2、项目资金分配原则及考虑因素</w:t>
      </w:r>
    </w:p>
    <w:p>
      <w:pPr>
        <w:ind w:firstLine="624" w:firstLineChars="200"/>
        <w:jc w:val="left"/>
        <w:rPr>
          <w:rFonts w:ascii="仿宋" w:hAnsi="仿宋" w:eastAsia="仿宋" w:cs="仿宋"/>
          <w:sz w:val="32"/>
          <w:szCs w:val="32"/>
        </w:rPr>
      </w:pPr>
      <w:r>
        <w:rPr>
          <w:rFonts w:hint="eastAsia" w:ascii="仿宋" w:hAnsi="仿宋" w:eastAsia="仿宋" w:cs="仿宋"/>
          <w:sz w:val="32"/>
          <w:szCs w:val="32"/>
        </w:rPr>
        <w:t>项目采用因素法进行项目资金分配，因素法分配财政资金是指事先设定财政资金分配时考虑的主要因素以及不同因素各占的比重，将资金分配到部门或地方，由部门或地方政府按照特定的资金用途，确定具体支持的项目并组织实施。</w:t>
      </w:r>
    </w:p>
    <w:p>
      <w:pPr>
        <w:ind w:firstLine="624" w:firstLineChars="200"/>
        <w:jc w:val="left"/>
        <w:rPr>
          <w:rFonts w:ascii="仿宋" w:hAnsi="仿宋" w:eastAsia="仿宋" w:cs="仿宋"/>
          <w:sz w:val="32"/>
          <w:szCs w:val="32"/>
        </w:rPr>
      </w:pPr>
      <w:r>
        <w:rPr>
          <w:rFonts w:hint="eastAsia" w:ascii="仿宋" w:hAnsi="仿宋" w:eastAsia="仿宋" w:cs="仿宋"/>
          <w:sz w:val="32"/>
          <w:szCs w:val="32"/>
        </w:rPr>
        <w:t>3、项目资金分配情况</w:t>
      </w:r>
    </w:p>
    <w:p>
      <w:pPr>
        <w:ind w:firstLine="624" w:firstLineChars="200"/>
        <w:jc w:val="left"/>
        <w:rPr>
          <w:rFonts w:ascii="仿宋" w:hAnsi="仿宋" w:eastAsia="仿宋" w:cs="仿宋"/>
          <w:sz w:val="32"/>
          <w:szCs w:val="32"/>
        </w:rPr>
      </w:pPr>
      <w:r>
        <w:rPr>
          <w:rFonts w:hint="eastAsia" w:ascii="仿宋" w:hAnsi="仿宋" w:eastAsia="仿宋" w:cs="仿宋"/>
          <w:sz w:val="32"/>
          <w:szCs w:val="32"/>
        </w:rPr>
        <w:t>项目总预算资金为60万元，来源为2023年中央和省级财政衔接推进乡村振兴补助资金，预算资金分配充分，资金分配额度合理，与项目单位实际相适应。目前项目资金已全部支付完成，支付依据合规合法，与预算相符。</w:t>
      </w:r>
    </w:p>
    <w:p>
      <w:pPr>
        <w:ind w:firstLine="624" w:firstLineChars="200"/>
        <w:jc w:val="left"/>
        <w:rPr>
          <w:rFonts w:ascii="楷体" w:hAnsi="楷体" w:eastAsia="楷体" w:cs="楷体"/>
          <w:sz w:val="32"/>
          <w:szCs w:val="32"/>
          <w:lang w:val="zh-CN"/>
        </w:rPr>
      </w:pPr>
      <w:r>
        <w:rPr>
          <w:rFonts w:hint="eastAsia" w:ascii="楷体" w:hAnsi="楷体" w:eastAsia="楷体" w:cs="楷体"/>
          <w:sz w:val="32"/>
          <w:szCs w:val="32"/>
          <w:lang w:val="zh-CN"/>
        </w:rPr>
        <w:t>（四）项目绩效目标设置。</w:t>
      </w:r>
    </w:p>
    <w:p>
      <w:pPr>
        <w:ind w:firstLine="624" w:firstLineChars="200"/>
        <w:jc w:val="left"/>
        <w:rPr>
          <w:rFonts w:ascii="仿宋" w:hAnsi="仿宋" w:eastAsia="仿宋" w:cs="仿宋"/>
          <w:sz w:val="32"/>
          <w:szCs w:val="32"/>
        </w:rPr>
      </w:pPr>
      <w:r>
        <w:rPr>
          <w:rFonts w:hint="eastAsia" w:ascii="仿宋" w:hAnsi="仿宋" w:eastAsia="仿宋" w:cs="仿宋"/>
          <w:color w:val="000000" w:themeColor="text1"/>
          <w:sz w:val="32"/>
          <w:szCs w:val="32"/>
        </w:rPr>
        <w:t>西尔镇木日窝村温室大棚配套设施项目资金用于大棚两侧新增卷膜通风，大棚内新增滴灌主管等等，提高生产效率和生产收益。项目的建设将带动一大批农民走上科</w:t>
      </w:r>
      <w:r>
        <w:rPr>
          <w:rFonts w:hint="eastAsia" w:ascii="仿宋" w:hAnsi="仿宋" w:eastAsia="仿宋" w:cs="仿宋"/>
          <w:sz w:val="32"/>
          <w:szCs w:val="32"/>
        </w:rPr>
        <w:t>学化、规模化从事农业生产的道路，让农民通过科技提高生产效率和生产收益，使农业生产走向依靠科技发展的道路。</w:t>
      </w:r>
    </w:p>
    <w:p>
      <w:pPr>
        <w:adjustRightInd w:val="0"/>
        <w:snapToGrid w:val="0"/>
        <w:spacing w:line="578" w:lineRule="exact"/>
        <w:ind w:firstLine="624" w:firstLineChars="200"/>
        <w:rPr>
          <w:rFonts w:ascii="黑体" w:hAnsi="宋体" w:eastAsia="黑体" w:cs="Times New Roman"/>
          <w:sz w:val="32"/>
          <w:szCs w:val="32"/>
          <w:lang w:val="zh-CN"/>
        </w:rPr>
      </w:pPr>
      <w:r>
        <w:rPr>
          <w:rFonts w:hint="eastAsia" w:ascii="黑体" w:hAnsi="宋体" w:eastAsia="黑体" w:cs="Times New Roman"/>
          <w:sz w:val="32"/>
          <w:szCs w:val="32"/>
          <w:lang w:val="zh-CN"/>
        </w:rPr>
        <w:t>二、评价实施</w:t>
      </w:r>
    </w:p>
    <w:p>
      <w:pPr>
        <w:ind w:firstLine="624" w:firstLineChars="200"/>
        <w:jc w:val="left"/>
        <w:rPr>
          <w:rFonts w:ascii="楷体" w:hAnsi="楷体" w:eastAsia="楷体" w:cs="楷体"/>
          <w:sz w:val="32"/>
          <w:szCs w:val="32"/>
          <w:lang w:val="zh-CN"/>
        </w:rPr>
      </w:pPr>
      <w:r>
        <w:rPr>
          <w:rFonts w:hint="eastAsia" w:ascii="楷体" w:hAnsi="楷体" w:eastAsia="楷体" w:cs="楷体"/>
          <w:sz w:val="32"/>
          <w:szCs w:val="32"/>
          <w:lang w:val="zh-CN"/>
        </w:rPr>
        <w:t>（一）评价目的。</w:t>
      </w:r>
    </w:p>
    <w:p>
      <w:pPr>
        <w:ind w:firstLine="624" w:firstLineChars="200"/>
        <w:jc w:val="left"/>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阿坝州财政局印发《阿坝州财政局关于开展 2024年州级部门绩效自评工作的通知》（阿州财监绩〔2024〕19号），要求各部门（单位）按照州财政局制定的相关制度办法和共性绩效指标框架，建立涵盖项目决策、项目管理、项目实施、项目结果、民生保障五个板块，覆盖所有管理对象，贯穿绩效目标管理、事前评估、事中监控、事后评价以及绩效结果应用全过程的本部门的具体措施、实施细则和指标体系，形成全州全面实施预算绩效管理制度体系格局。通过本次评价总结经验，发现问题，提出改进建议，进一步提升加强项目支出绩效管理水平、提升预算管理水平、提升项目管理水平。</w:t>
      </w:r>
    </w:p>
    <w:p>
      <w:pPr>
        <w:ind w:firstLine="624" w:firstLineChars="200"/>
        <w:jc w:val="left"/>
        <w:rPr>
          <w:rFonts w:ascii="楷体" w:hAnsi="楷体" w:eastAsia="楷体" w:cs="楷体"/>
          <w:sz w:val="32"/>
          <w:szCs w:val="32"/>
          <w:lang w:val="zh-CN"/>
        </w:rPr>
      </w:pPr>
      <w:r>
        <w:rPr>
          <w:rFonts w:hint="eastAsia" w:ascii="楷体" w:hAnsi="楷体" w:eastAsia="楷体" w:cs="楷体"/>
          <w:sz w:val="32"/>
          <w:szCs w:val="32"/>
          <w:lang w:val="zh-CN"/>
        </w:rPr>
        <w:t xml:space="preserve">（二）预设问题及评价重点。 </w:t>
      </w:r>
    </w:p>
    <w:p>
      <w:pPr>
        <w:ind w:firstLine="624" w:firstLineChars="200"/>
        <w:jc w:val="left"/>
        <w:rPr>
          <w:rFonts w:ascii="仿宋" w:hAnsi="仿宋" w:eastAsia="仿宋" w:cs="仿宋"/>
          <w:color w:val="000000" w:themeColor="text1"/>
          <w:sz w:val="32"/>
          <w:szCs w:val="32"/>
          <w:lang w:val="zh-CN"/>
        </w:rPr>
      </w:pPr>
      <w:r>
        <w:rPr>
          <w:rFonts w:hint="eastAsia" w:ascii="仿宋" w:hAnsi="仿宋" w:eastAsia="仿宋" w:cs="仿宋"/>
          <w:color w:val="000000" w:themeColor="text1"/>
          <w:sz w:val="32"/>
          <w:szCs w:val="32"/>
        </w:rPr>
        <w:t>本次评价主要针对该项目的规划编制的内容完整性和项目实施工作的质量问题，结合该项目资金的使用情况来完整</w:t>
      </w:r>
      <w:r>
        <w:rPr>
          <w:rFonts w:hint="default" w:ascii="仿宋" w:hAnsi="仿宋" w:eastAsia="仿宋" w:cs="仿宋"/>
          <w:color w:val="000000" w:themeColor="text1"/>
          <w:sz w:val="32"/>
          <w:szCs w:val="32"/>
        </w:rPr>
        <w:t>地</w:t>
      </w:r>
      <w:r>
        <w:rPr>
          <w:rFonts w:hint="eastAsia" w:ascii="仿宋" w:hAnsi="仿宋" w:eastAsia="仿宋" w:cs="仿宋"/>
          <w:color w:val="000000" w:themeColor="text1"/>
          <w:sz w:val="32"/>
          <w:szCs w:val="32"/>
        </w:rPr>
        <w:t>体现。</w:t>
      </w:r>
    </w:p>
    <w:p>
      <w:pPr>
        <w:ind w:firstLine="624" w:firstLineChars="200"/>
        <w:jc w:val="left"/>
        <w:rPr>
          <w:rFonts w:ascii="楷体" w:hAnsi="楷体" w:eastAsia="楷体" w:cs="楷体"/>
          <w:sz w:val="32"/>
          <w:szCs w:val="32"/>
          <w:lang w:val="zh-CN"/>
        </w:rPr>
      </w:pPr>
      <w:r>
        <w:rPr>
          <w:rFonts w:hint="eastAsia" w:ascii="楷体" w:hAnsi="楷体" w:eastAsia="楷体" w:cs="楷体"/>
          <w:sz w:val="32"/>
          <w:szCs w:val="32"/>
          <w:lang w:val="zh-CN"/>
        </w:rPr>
        <w:t>（三）评价选点。</w:t>
      </w:r>
    </w:p>
    <w:p>
      <w:pPr>
        <w:adjustRightInd w:val="0"/>
        <w:snapToGrid w:val="0"/>
        <w:spacing w:line="578" w:lineRule="exact"/>
        <w:ind w:firstLine="624" w:firstLineChars="200"/>
        <w:rPr>
          <w:kern w:val="0"/>
          <w:szCs w:val="28"/>
        </w:rPr>
      </w:pPr>
      <w:r>
        <w:rPr>
          <w:rFonts w:hint="eastAsia" w:ascii="仿宋" w:hAnsi="仿宋" w:eastAsia="仿宋" w:cs="仿宋"/>
          <w:color w:val="000000" w:themeColor="text1"/>
          <w:sz w:val="32"/>
          <w:szCs w:val="32"/>
        </w:rPr>
        <w:t>西尔镇木日窝村温室大棚配套设施项目实施主要地点为黑水县西尔镇木日窝村，项目不涉及其他点位。</w:t>
      </w:r>
    </w:p>
    <w:p>
      <w:pPr>
        <w:ind w:firstLine="624" w:firstLineChars="200"/>
        <w:jc w:val="left"/>
        <w:rPr>
          <w:rFonts w:ascii="楷体" w:hAnsi="楷体" w:eastAsia="楷体" w:cs="楷体"/>
          <w:sz w:val="32"/>
          <w:szCs w:val="32"/>
          <w:lang w:val="zh-CN"/>
        </w:rPr>
      </w:pPr>
      <w:r>
        <w:rPr>
          <w:rFonts w:hint="eastAsia" w:ascii="楷体" w:hAnsi="楷体" w:eastAsia="楷体" w:cs="楷体"/>
          <w:sz w:val="32"/>
          <w:szCs w:val="32"/>
          <w:lang w:val="zh-CN"/>
        </w:rPr>
        <w:t>（四）评价方法。</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采用先进的绩效评价方法和科学的数据分析是取得正确客观评价结论的重要保障，评价组从以下方法中择优组织，对项目实施评价，通过定量和定性分析得出评价结论。</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1.比较分析法。是指通过对绩效目标与实施效果、历史与当期情况、不同部门和地区同类支出的比较，综合分析绩效目标实现程度。</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2.因素分析法。是指通过综合分析影响绩效目标实现、实施效果的内外因素，评价绩效目标实现程度。</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3.最低成本分析法。是指对效益确定却不易计量的多个同类对象的实施成本进行比较，评价绩效目标实现程度。</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4.双重交叉分析法。通过对项目建设前后的比较，根据成效等方面去寻找和分析政策产生的影响。</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5.随机访谈法。针对部分项目负责人及实施主体进行了询问和访谈，如项目实施情况的必要性、可行性和满意度等进行随机访谈。</w:t>
      </w:r>
    </w:p>
    <w:p>
      <w:pPr>
        <w:ind w:firstLine="624" w:firstLineChars="200"/>
        <w:jc w:val="left"/>
        <w:rPr>
          <w:rFonts w:ascii="楷体" w:hAnsi="楷体" w:eastAsia="楷体" w:cs="楷体"/>
          <w:sz w:val="32"/>
          <w:szCs w:val="32"/>
          <w:lang w:val="zh-CN"/>
        </w:rPr>
      </w:pPr>
      <w:r>
        <w:rPr>
          <w:rFonts w:hint="eastAsia" w:ascii="楷体" w:hAnsi="楷体" w:eastAsia="楷体" w:cs="楷体"/>
          <w:sz w:val="32"/>
          <w:szCs w:val="32"/>
          <w:lang w:val="zh-CN"/>
        </w:rPr>
        <w:t>（五）评价组织。</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1.领导小组职责：</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（1）研究和决定管理绩效评价中的重大问题。</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（2）组织协调绩效评价工作，确保评价的顺利进行。</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（3）对本单位工作目标、绩效考核结果和等次、奖惩方案进行审核。</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2.办公室职责：</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（1）提出本单位管理绩效评价的工作方案，并负责具体组织实施。</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（2）综合评价信息，提出评价结果等次认定方案及奖惩方案等。</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（3）负责绩效评价的日常工作，包括宣传、沟通、协调等。</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（4）根据评价结果撰写绩效评价报告，并递交给领导小组。</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3.具体执行人员职责：</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（1）组长：审批绩效自评方案，监督、检查、核实绩效自评结果。</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（2）副组长：审核修改拟定的绩效自评方案，并提交领导小组经会议讨论通过，监督、部署、确认绩效自评过程及反馈意见的处理。</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（3）小组成员：起草和修改绩效考评方案报自评领导工作组会议讨论通过，实施执行绩效自评方案；牵头组织并实施年度绩效自评，根据组长、副组长指示，对考评结果进行复核，完成绩效</w:t>
      </w:r>
      <w:r>
        <w:rPr>
          <w:rFonts w:hint="default" w:ascii="仿宋" w:hAnsi="仿宋" w:eastAsia="仿宋" w:cs="仿宋"/>
          <w:color w:val="000000" w:themeColor="text1"/>
          <w:sz w:val="32"/>
          <w:szCs w:val="32"/>
        </w:rPr>
        <w:t>考</w:t>
      </w:r>
      <w:r>
        <w:rPr>
          <w:rFonts w:hint="eastAsia" w:ascii="仿宋" w:hAnsi="仿宋" w:eastAsia="仿宋" w:cs="仿宋"/>
          <w:color w:val="000000" w:themeColor="text1"/>
          <w:sz w:val="32"/>
          <w:szCs w:val="32"/>
        </w:rPr>
        <w:t>核工作组安排的其他工作。</w:t>
      </w:r>
    </w:p>
    <w:p>
      <w:pPr>
        <w:adjustRightInd w:val="0"/>
        <w:snapToGrid w:val="0"/>
        <w:spacing w:line="578" w:lineRule="exact"/>
        <w:ind w:firstLine="624" w:firstLineChars="200"/>
        <w:rPr>
          <w:rFonts w:ascii="黑体" w:hAnsi="宋体" w:eastAsia="黑体" w:cs="Times New Roman"/>
          <w:sz w:val="32"/>
          <w:szCs w:val="32"/>
          <w:lang w:val="zh-CN"/>
        </w:rPr>
      </w:pPr>
      <w:r>
        <w:rPr>
          <w:rFonts w:hint="eastAsia" w:ascii="黑体" w:hAnsi="宋体" w:eastAsia="黑体" w:cs="Times New Roman"/>
          <w:sz w:val="32"/>
          <w:szCs w:val="32"/>
          <w:lang w:val="zh-CN"/>
        </w:rPr>
        <w:t>三、绩效分析</w:t>
      </w:r>
      <w:r>
        <w:rPr>
          <w:rFonts w:hint="eastAsia" w:ascii="黑体" w:hAnsi="宋体" w:eastAsia="黑体" w:cs="Times New Roman"/>
          <w:sz w:val="32"/>
          <w:szCs w:val="32"/>
          <w:lang w:val="zh-CN"/>
        </w:rPr>
        <w:tab/>
      </w:r>
    </w:p>
    <w:p>
      <w:pPr>
        <w:ind w:firstLine="624" w:firstLineChars="200"/>
        <w:jc w:val="left"/>
        <w:rPr>
          <w:rFonts w:ascii="楷体" w:hAnsi="楷体" w:eastAsia="楷体" w:cs="楷体"/>
          <w:sz w:val="32"/>
          <w:szCs w:val="32"/>
          <w:lang w:val="zh-CN"/>
        </w:rPr>
      </w:pPr>
      <w:r>
        <w:rPr>
          <w:rFonts w:hint="eastAsia" w:ascii="楷体" w:hAnsi="楷体" w:eastAsia="楷体" w:cs="楷体"/>
          <w:sz w:val="32"/>
          <w:szCs w:val="32"/>
          <w:lang w:val="zh-CN"/>
        </w:rPr>
        <w:t>（一）通用指标绩效分析。</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1.项目决策。</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（1）决策程序</w:t>
      </w:r>
    </w:p>
    <w:p>
      <w:pPr>
        <w:adjustRightInd w:val="0"/>
        <w:snapToGrid w:val="0"/>
        <w:spacing w:line="578" w:lineRule="exact"/>
        <w:ind w:firstLine="624" w:firstLineChars="200"/>
        <w:rPr>
          <w:rFonts w:ascii="仿宋" w:hAnsi="仿宋" w:eastAsia="仿宋" w:cs="仿宋"/>
          <w:sz w:val="32"/>
          <w:szCs w:val="32"/>
        </w:rPr>
      </w:pPr>
      <w:r>
        <w:rPr>
          <w:rFonts w:hint="eastAsia" w:ascii="仿宋" w:hAnsi="仿宋" w:eastAsia="仿宋" w:cs="仿宋"/>
          <w:sz w:val="32"/>
          <w:szCs w:val="32"/>
        </w:rPr>
        <w:t>项目设立、调整延续等方面符合资金管理基本规范和决策程序要求，该项指标得分6分。</w:t>
      </w:r>
    </w:p>
    <w:p>
      <w:pPr>
        <w:adjustRightInd w:val="0"/>
        <w:snapToGrid w:val="0"/>
        <w:spacing w:line="578" w:lineRule="exact"/>
        <w:ind w:firstLine="624" w:firstLineChars="200"/>
        <w:rPr>
          <w:rFonts w:ascii="仿宋" w:hAnsi="仿宋" w:eastAsia="仿宋" w:cs="仿宋"/>
          <w:sz w:val="32"/>
          <w:szCs w:val="32"/>
        </w:rPr>
      </w:pPr>
      <w:r>
        <w:rPr>
          <w:rFonts w:hint="eastAsia" w:ascii="仿宋" w:hAnsi="仿宋" w:eastAsia="仿宋" w:cs="仿宋"/>
          <w:sz w:val="32"/>
          <w:szCs w:val="32"/>
        </w:rPr>
        <w:t>（2）规划论证</w:t>
      </w:r>
    </w:p>
    <w:p>
      <w:pPr>
        <w:adjustRightInd w:val="0"/>
        <w:snapToGrid w:val="0"/>
        <w:spacing w:line="578" w:lineRule="exact"/>
        <w:ind w:firstLine="624" w:firstLineChars="200"/>
        <w:rPr>
          <w:rFonts w:ascii="仿宋" w:hAnsi="仿宋" w:eastAsia="仿宋" w:cs="仿宋"/>
          <w:sz w:val="32"/>
          <w:szCs w:val="32"/>
        </w:rPr>
      </w:pPr>
      <w:r>
        <w:rPr>
          <w:rFonts w:hint="eastAsia" w:ascii="仿宋" w:hAnsi="仿宋" w:eastAsia="仿宋" w:cs="仿宋"/>
          <w:sz w:val="32"/>
          <w:szCs w:val="32"/>
        </w:rPr>
        <w:t>项目充分评估论证了立项必要性、前瞻性、合理性和可行性。项目总体绩效目标设置合理性的偏离度≤15%，绩效目标科学合理、规范完整、量化细化、预算匹配，但部门绩效存在设置不规范的情况，扣2分，该项指标得分4分。</w:t>
      </w:r>
    </w:p>
    <w:p>
      <w:pPr>
        <w:adjustRightInd w:val="0"/>
        <w:snapToGrid w:val="0"/>
        <w:spacing w:line="578" w:lineRule="exact"/>
        <w:ind w:firstLine="624" w:firstLineChars="200"/>
        <w:rPr>
          <w:rFonts w:ascii="仿宋" w:hAnsi="仿宋" w:eastAsia="仿宋" w:cs="仿宋"/>
          <w:sz w:val="32"/>
          <w:szCs w:val="32"/>
        </w:rPr>
      </w:pPr>
      <w:r>
        <w:rPr>
          <w:rFonts w:hint="eastAsia" w:ascii="仿宋" w:hAnsi="仿宋" w:eastAsia="仿宋" w:cs="仿宋"/>
          <w:sz w:val="32"/>
          <w:szCs w:val="32"/>
        </w:rPr>
        <w:t>（3）资金投向</w:t>
      </w:r>
    </w:p>
    <w:p>
      <w:pPr>
        <w:adjustRightInd w:val="0"/>
        <w:snapToGrid w:val="0"/>
        <w:spacing w:line="578" w:lineRule="exact"/>
        <w:ind w:firstLine="624" w:firstLineChars="200"/>
        <w:rPr>
          <w:rFonts w:ascii="仿宋" w:hAnsi="仿宋" w:eastAsia="仿宋" w:cs="仿宋"/>
          <w:sz w:val="32"/>
          <w:szCs w:val="32"/>
        </w:rPr>
      </w:pPr>
      <w:r>
        <w:rPr>
          <w:rFonts w:hint="eastAsia" w:ascii="仿宋" w:hAnsi="仿宋" w:eastAsia="仿宋" w:cs="仿宋"/>
          <w:sz w:val="32"/>
          <w:szCs w:val="32"/>
        </w:rPr>
        <w:t>项目属于政府支持范围，且符合财政事权支出责任划分规定，资金投向与项目总体规划、相关行业事业发展相匹配，聚焦重大任务、重点领域、重点环节和重点项目，体现“集中财力办大事”原则，避免“撒胡椒面”，未与其他同类项目或部门内部相关项目交叉重复，该项指标得分6分。</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2.项目管理。</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（1）制度办法</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资金管理办法等管理制度体系健全完善，不存在管理制度缺失、管理办法过期情况，该项指标得分2分。</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（2）分配管理</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资金分配因素选取充分考虑了相关行业事业发展实际和发展需求，资金分配因素的权重设置有效突出了项目实施重点，资金区域分布结果公平合理，建设了项目储备库，实行了入库项目动态管理、推动了资金竞争性分配，明确了项目申报审核程序，按规定程序履行了项目审批，资金分配依据充分合理，资金分配严格按管理办法执行，决策程序符合管理要求，及时高效，该项指标得分10分。</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（3）绩效监管</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项目按要求全面完成绩效目标（含事前评估）、绩效评价等预算绩效管理工作，不存在资金分配和项目管理指导力度不够的情况，对本村开展了评价、监督、指导等工作，该项指标得分6分。</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3.项目实施。围绕、进行绩效分析。</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（1）预算执行</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财政资金已按照要求拨付完毕，拨付率100%，该项指标得分=财政资金拨付率×100%×6=6分。</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（2）资金使用</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该项指标得分3分。</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4.项目结果。</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（1）目标完成</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项目完成预期目标，实施结果与绩效目标相匹配，该项指标得分6分。</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（2）完成时效</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项目实际完成时间与计划完成时间相符，该项指标得分3分。</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（二）专用指标绩效分析。</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1.产业发展。</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(1) 符合性</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项目实施与省委省政府支持重点、产业支持政策符合。该项指标得分10分。</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(2) 成长性</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项目实施对村上鼓励发展创业和发展集体经济</w:t>
      </w:r>
      <w:r>
        <w:rPr>
          <w:rFonts w:hint="default" w:ascii="仿宋" w:hAnsi="仿宋" w:eastAsia="仿宋" w:cs="仿宋"/>
          <w:color w:val="000000" w:themeColor="text1"/>
          <w:sz w:val="32"/>
          <w:szCs w:val="32"/>
        </w:rPr>
        <w:t>有</w:t>
      </w:r>
      <w:r>
        <w:rPr>
          <w:rFonts w:hint="eastAsia" w:ascii="仿宋" w:hAnsi="仿宋" w:eastAsia="仿宋" w:cs="仿宋"/>
          <w:color w:val="000000" w:themeColor="text1"/>
          <w:sz w:val="32"/>
          <w:szCs w:val="32"/>
        </w:rPr>
        <w:t>很大的促进作用，该项指标得分10分。</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(3) 经济性</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项目实施提高了村民的增收，提高了村民的满意度，该项指标得分10分。</w:t>
      </w:r>
    </w:p>
    <w:p>
      <w:pPr>
        <w:adjustRightInd w:val="0"/>
        <w:snapToGrid w:val="0"/>
        <w:spacing w:line="578" w:lineRule="exact"/>
        <w:ind w:firstLine="312" w:firstLineChars="1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（三）个性指标绩效分析。</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1.个性指标。</w:t>
      </w:r>
    </w:p>
    <w:p>
      <w:pPr>
        <w:adjustRightInd w:val="0"/>
        <w:snapToGrid w:val="0"/>
        <w:spacing w:line="578" w:lineRule="exact"/>
        <w:ind w:firstLine="312" w:firstLineChars="1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（1）执行进度</w:t>
      </w:r>
    </w:p>
    <w:p>
      <w:pPr>
        <w:adjustRightInd w:val="0"/>
        <w:snapToGrid w:val="0"/>
        <w:spacing w:line="578" w:lineRule="exact"/>
        <w:ind w:firstLine="312" w:firstLineChars="1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项目是如期完成，该项指标得分5分。</w:t>
      </w:r>
    </w:p>
    <w:p>
      <w:pPr>
        <w:adjustRightInd w:val="0"/>
        <w:snapToGrid w:val="0"/>
        <w:spacing w:line="578" w:lineRule="exact"/>
        <w:ind w:firstLine="312" w:firstLineChars="1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（2）资金拨付进度</w:t>
      </w:r>
    </w:p>
    <w:p>
      <w:pPr>
        <w:adjustRightInd w:val="0"/>
        <w:snapToGrid w:val="0"/>
        <w:spacing w:line="578" w:lineRule="exact"/>
        <w:ind w:firstLine="312" w:firstLineChars="1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资金按期拨付，该项指标得分5分。</w:t>
      </w:r>
    </w:p>
    <w:p>
      <w:pPr>
        <w:adjustRightInd w:val="0"/>
        <w:snapToGrid w:val="0"/>
        <w:spacing w:line="578" w:lineRule="exact"/>
        <w:ind w:firstLine="312" w:firstLineChars="1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（3）项目效果</w:t>
      </w: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项目实施后，拉动了经济，增加了村民的收入，提高了村民的满意度，该项指标得分6分。</w:t>
      </w:r>
    </w:p>
    <w:p>
      <w:pPr>
        <w:adjustRightInd w:val="0"/>
        <w:snapToGrid w:val="0"/>
        <w:spacing w:line="578" w:lineRule="exact"/>
        <w:ind w:firstLine="312" w:firstLineChars="100"/>
        <w:rPr>
          <w:rFonts w:ascii="黑体" w:hAnsi="黑体" w:eastAsia="黑体" w:cs="黑体"/>
          <w:color w:val="000000" w:themeColor="text1"/>
          <w:sz w:val="32"/>
          <w:szCs w:val="32"/>
        </w:rPr>
      </w:pPr>
      <w:r>
        <w:rPr>
          <w:rFonts w:hint="eastAsia" w:ascii="黑体" w:hAnsi="黑体" w:eastAsia="黑体" w:cs="黑体"/>
          <w:color w:val="000000" w:themeColor="text1"/>
          <w:sz w:val="32"/>
          <w:szCs w:val="32"/>
        </w:rPr>
        <w:t>四、评价结论</w:t>
      </w:r>
    </w:p>
    <w:p>
      <w:pPr>
        <w:adjustRightInd w:val="0"/>
        <w:snapToGrid w:val="0"/>
        <w:spacing w:line="578" w:lineRule="exact"/>
        <w:ind w:firstLine="312" w:firstLineChars="1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本单位严格按照绩效自评工作要求，秉承客观公正、实事求是的原则开展了西尔镇木日窝村温室大棚配套设施项目资金支出绩效自评工作，经对各类指标进行评分和汇总分析，2023年西尔镇木日窝村温室大棚配套设施项目资金支出绩效评价综合得分98分。评价结果显示，2023年西尔镇木日窝村温室大棚配套设施项目按照相关规定进行使用和管理，程序较为规范，项目支出使用效益达到预期。</w:t>
      </w:r>
    </w:p>
    <w:p>
      <w:pPr>
        <w:adjustRightInd w:val="0"/>
        <w:snapToGrid w:val="0"/>
        <w:spacing w:line="578" w:lineRule="exact"/>
        <w:ind w:firstLine="624" w:firstLineChars="200"/>
        <w:rPr>
          <w:rFonts w:ascii="黑体" w:hAnsi="黑体" w:eastAsia="黑体" w:cs="黑体"/>
          <w:color w:val="000000" w:themeColor="text1"/>
          <w:sz w:val="32"/>
          <w:szCs w:val="32"/>
        </w:rPr>
      </w:pPr>
      <w:r>
        <w:rPr>
          <w:rFonts w:hint="eastAsia" w:ascii="黑体" w:hAnsi="黑体" w:eastAsia="黑体" w:cs="黑体"/>
          <w:color w:val="000000" w:themeColor="text1"/>
          <w:sz w:val="32"/>
          <w:szCs w:val="32"/>
        </w:rPr>
        <w:t>五、存在主要问题</w:t>
      </w:r>
    </w:p>
    <w:p>
      <w:pPr>
        <w:adjustRightInd w:val="0"/>
        <w:snapToGrid w:val="0"/>
        <w:spacing w:line="578" w:lineRule="exact"/>
        <w:ind w:firstLine="624" w:firstLineChars="200"/>
        <w:rPr>
          <w:rFonts w:ascii="仿宋" w:hAnsi="仿宋" w:eastAsia="仿宋" w:cs="仿宋"/>
          <w:color w:val="000000" w:themeColor="text1"/>
          <w:sz w:val="32"/>
          <w:szCs w:val="32"/>
        </w:rPr>
      </w:pPr>
      <w:r>
        <w:rPr>
          <w:rFonts w:ascii="仿宋" w:hAnsi="仿宋" w:eastAsia="仿宋" w:cs="仿宋"/>
          <w:color w:val="000000" w:themeColor="text1"/>
          <w:sz w:val="32"/>
          <w:szCs w:val="32"/>
        </w:rPr>
        <w:t>绩效目标编报</w:t>
      </w:r>
      <w:r>
        <w:rPr>
          <w:rFonts w:hint="eastAsia" w:ascii="仿宋" w:hAnsi="仿宋" w:eastAsia="仿宋" w:cs="仿宋"/>
          <w:color w:val="000000" w:themeColor="text1"/>
          <w:sz w:val="32"/>
          <w:szCs w:val="32"/>
        </w:rPr>
        <w:t>有待</w:t>
      </w:r>
      <w:r>
        <w:rPr>
          <w:rFonts w:ascii="仿宋" w:hAnsi="仿宋" w:eastAsia="仿宋" w:cs="仿宋"/>
          <w:color w:val="000000" w:themeColor="text1"/>
          <w:sz w:val="32"/>
          <w:szCs w:val="32"/>
        </w:rPr>
        <w:t>规范</w:t>
      </w:r>
      <w:r>
        <w:rPr>
          <w:rFonts w:hint="eastAsia" w:ascii="仿宋" w:hAnsi="仿宋" w:eastAsia="仿宋" w:cs="仿宋"/>
          <w:color w:val="000000" w:themeColor="text1"/>
          <w:sz w:val="32"/>
          <w:szCs w:val="32"/>
        </w:rPr>
        <w:t>，绩效指标编制要素不完整，该项目绩效目标申报表中的产出指标下未设置数量指标，没有成本指标。</w:t>
      </w:r>
    </w:p>
    <w:p>
      <w:pPr>
        <w:adjustRightInd w:val="0"/>
        <w:snapToGrid w:val="0"/>
        <w:spacing w:line="578" w:lineRule="exact"/>
        <w:ind w:firstLine="624" w:firstLineChars="200"/>
        <w:rPr>
          <w:rFonts w:ascii="黑体" w:hAnsi="黑体" w:eastAsia="黑体" w:cs="黑体"/>
          <w:color w:val="000000" w:themeColor="text1"/>
          <w:sz w:val="32"/>
          <w:szCs w:val="32"/>
          <w:lang w:val="zh-CN"/>
        </w:rPr>
      </w:pPr>
      <w:r>
        <w:rPr>
          <w:rFonts w:hint="eastAsia" w:ascii="黑体" w:hAnsi="黑体" w:eastAsia="黑体" w:cs="黑体"/>
          <w:color w:val="000000" w:themeColor="text1"/>
          <w:sz w:val="32"/>
          <w:szCs w:val="32"/>
          <w:lang w:val="zh-CN"/>
        </w:rPr>
        <w:t>六、改进建议</w:t>
      </w:r>
    </w:p>
    <w:p>
      <w:pPr>
        <w:adjustRightInd w:val="0"/>
        <w:snapToGrid w:val="0"/>
        <w:spacing w:line="578" w:lineRule="exact"/>
        <w:ind w:firstLine="624" w:firstLineChars="200"/>
        <w:rPr>
          <w:rFonts w:ascii="仿宋" w:hAnsi="仿宋" w:eastAsia="仿宋" w:cs="仿宋"/>
          <w:color w:val="000000" w:themeColor="text1"/>
          <w:sz w:val="32"/>
          <w:szCs w:val="32"/>
        </w:rPr>
      </w:pPr>
      <w:bookmarkStart w:id="0" w:name="_Hlk110546638"/>
      <w:r>
        <w:rPr>
          <w:rFonts w:hint="eastAsia" w:ascii="仿宋" w:hAnsi="仿宋" w:eastAsia="仿宋" w:cs="仿宋"/>
          <w:color w:val="000000" w:themeColor="text1"/>
          <w:sz w:val="32"/>
          <w:szCs w:val="32"/>
        </w:rPr>
        <w:t>加强绩效目标管理，提高绩效目标编制质量，建议单位今后在编制部门整体绩效目标申报时，增加工作人员相关理论知识的培训与学习，按照项目具体内容，设置要素完整、指向明确、细化量化、合理可行、相应匹配的项目支出绩效目标，设置高度关联、重点突出、量化易评的项目支出绩效指标。</w:t>
      </w:r>
    </w:p>
    <w:p>
      <w:pPr>
        <w:adjustRightInd w:val="0"/>
        <w:snapToGrid w:val="0"/>
        <w:spacing w:line="578" w:lineRule="exact"/>
        <w:ind w:firstLine="624" w:firstLineChars="200"/>
        <w:rPr>
          <w:rFonts w:ascii="仿宋" w:hAnsi="仿宋" w:eastAsia="仿宋" w:cs="仿宋"/>
          <w:color w:val="000000" w:themeColor="text1"/>
          <w:sz w:val="32"/>
          <w:szCs w:val="32"/>
        </w:rPr>
      </w:pPr>
    </w:p>
    <w:bookmarkEnd w:id="0"/>
    <w:p>
      <w:pPr>
        <w:adjustRightInd w:val="0"/>
        <w:snapToGrid w:val="0"/>
        <w:spacing w:line="578" w:lineRule="exact"/>
        <w:ind w:firstLine="624" w:firstLineChars="200"/>
        <w:rPr>
          <w:rFonts w:ascii="仿宋" w:hAnsi="仿宋" w:eastAsia="仿宋" w:cs="仿宋"/>
          <w:color w:val="000000" w:themeColor="text1"/>
          <w:sz w:val="32"/>
          <w:szCs w:val="32"/>
          <w:lang w:val="zh-CN"/>
        </w:rPr>
      </w:pPr>
    </w:p>
    <w:p>
      <w:pPr>
        <w:adjustRightInd w:val="0"/>
        <w:snapToGrid w:val="0"/>
        <w:spacing w:line="578" w:lineRule="exact"/>
        <w:ind w:firstLine="624" w:firstLineChars="2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附表：1、项目资金分配涉及所有点位自评得分情况表</w:t>
      </w:r>
    </w:p>
    <w:p>
      <w:pPr>
        <w:adjustRightInd w:val="0"/>
        <w:snapToGrid w:val="0"/>
        <w:spacing w:line="578" w:lineRule="exact"/>
        <w:ind w:firstLine="1560" w:firstLineChars="500"/>
        <w:rPr>
          <w:rFonts w:ascii="仿宋" w:hAnsi="仿宋" w:eastAsia="仿宋" w:cs="仿宋"/>
          <w:color w:val="000000" w:themeColor="text1"/>
          <w:sz w:val="32"/>
          <w:szCs w:val="32"/>
        </w:rPr>
      </w:pPr>
      <w:r>
        <w:rPr>
          <w:rFonts w:hint="eastAsia" w:ascii="仿宋" w:hAnsi="仿宋" w:eastAsia="仿宋" w:cs="仿宋"/>
          <w:color w:val="000000" w:themeColor="text1"/>
          <w:sz w:val="32"/>
          <w:szCs w:val="32"/>
        </w:rPr>
        <w:t>2、专项预算项目绩效目标完成情况自评表</w:t>
      </w:r>
    </w:p>
    <w:p>
      <w:pPr>
        <w:pStyle w:val="2"/>
      </w:pPr>
    </w:p>
    <w:p>
      <w:pPr>
        <w:snapToGrid w:val="0"/>
        <w:spacing w:line="578" w:lineRule="exact"/>
        <w:rPr>
          <w:rFonts w:ascii="仿宋_GB2312" w:hAnsi="仿宋_GB2312" w:cs="仿宋_GB2312"/>
          <w:kern w:val="0"/>
          <w:lang w:val="zh-CN"/>
        </w:rPr>
      </w:pPr>
    </w:p>
    <w:p>
      <w:pPr>
        <w:snapToGrid w:val="0"/>
        <w:spacing w:line="578" w:lineRule="exact"/>
        <w:rPr>
          <w:rFonts w:ascii="仿宋_GB2312" w:hAnsi="仿宋_GB2312" w:cs="仿宋_GB2312"/>
          <w:kern w:val="0"/>
          <w:lang w:val="zh-CN"/>
        </w:rPr>
      </w:pPr>
    </w:p>
    <w:p>
      <w:pPr>
        <w:pStyle w:val="2"/>
        <w:rPr>
          <w:rFonts w:ascii="仿宋_GB2312" w:hAnsi="仿宋_GB2312" w:cs="仿宋_GB2312"/>
          <w:kern w:val="0"/>
          <w:lang w:val="zh-CN"/>
        </w:rPr>
      </w:pPr>
    </w:p>
    <w:p>
      <w:pPr>
        <w:pStyle w:val="2"/>
        <w:rPr>
          <w:rFonts w:ascii="仿宋_GB2312" w:hAnsi="仿宋_GB2312" w:cs="仿宋_GB2312"/>
          <w:kern w:val="0"/>
          <w:lang w:val="zh-CN"/>
        </w:rPr>
      </w:pPr>
    </w:p>
    <w:p>
      <w:pPr>
        <w:pStyle w:val="2"/>
        <w:rPr>
          <w:rFonts w:ascii="仿宋_GB2312" w:hAnsi="仿宋_GB2312" w:cs="仿宋_GB2312"/>
          <w:kern w:val="0"/>
          <w:lang w:val="zh-CN"/>
        </w:rPr>
      </w:pPr>
    </w:p>
    <w:p>
      <w:pPr>
        <w:pStyle w:val="2"/>
        <w:rPr>
          <w:rFonts w:ascii="仿宋_GB2312" w:hAnsi="仿宋_GB2312" w:cs="仿宋_GB2312"/>
          <w:kern w:val="0"/>
          <w:lang w:val="zh-CN"/>
        </w:rPr>
      </w:pPr>
    </w:p>
    <w:p>
      <w:pPr>
        <w:pStyle w:val="2"/>
        <w:rPr>
          <w:rFonts w:ascii="仿宋_GB2312" w:hAnsi="仿宋_GB2312" w:cs="仿宋_GB2312"/>
          <w:kern w:val="0"/>
          <w:lang w:val="zh-CN"/>
        </w:rPr>
      </w:pPr>
    </w:p>
    <w:p>
      <w:pPr>
        <w:pStyle w:val="2"/>
        <w:rPr>
          <w:rFonts w:ascii="仿宋_GB2312" w:hAnsi="仿宋_GB2312" w:cs="仿宋_GB2312"/>
          <w:kern w:val="0"/>
          <w:lang w:val="zh-CN"/>
        </w:rPr>
      </w:pPr>
    </w:p>
    <w:p>
      <w:pPr>
        <w:pStyle w:val="2"/>
        <w:rPr>
          <w:rFonts w:ascii="仿宋_GB2312" w:hAnsi="仿宋_GB2312" w:cs="仿宋_GB2312"/>
          <w:kern w:val="0"/>
          <w:lang w:val="zh-CN"/>
        </w:rPr>
      </w:pPr>
    </w:p>
    <w:p>
      <w:pPr>
        <w:pStyle w:val="2"/>
        <w:rPr>
          <w:rFonts w:ascii="仿宋_GB2312" w:hAnsi="仿宋_GB2312" w:cs="仿宋_GB2312"/>
          <w:kern w:val="0"/>
          <w:lang w:val="zh-CN"/>
        </w:rPr>
      </w:pPr>
    </w:p>
    <w:p>
      <w:pPr>
        <w:pStyle w:val="2"/>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p>
    <w:p>
      <w:pPr>
        <w:pStyle w:val="2"/>
        <w:rPr>
          <w:rFonts w:ascii="仿宋_GB2312" w:hAnsi="仿宋_GB2312" w:eastAsia="仿宋_GB2312" w:cs="仿宋_GB2312"/>
          <w:sz w:val="32"/>
          <w:szCs w:val="32"/>
        </w:rPr>
      </w:pPr>
    </w:p>
    <w:p>
      <w:pPr>
        <w:pStyle w:val="2"/>
        <w:rPr>
          <w:rFonts w:ascii="仿宋_GB2312" w:hAnsi="仿宋_GB2312" w:eastAsia="仿宋_GB2312" w:cs="仿宋_GB2312"/>
          <w:sz w:val="32"/>
          <w:szCs w:val="32"/>
        </w:rPr>
      </w:pPr>
    </w:p>
    <w:p>
      <w:pPr>
        <w:pStyle w:val="2"/>
        <w:rPr>
          <w:rFonts w:ascii="仿宋_GB2312" w:hAnsi="仿宋_GB2312" w:eastAsia="仿宋_GB2312" w:cs="仿宋_GB2312"/>
          <w:sz w:val="32"/>
          <w:szCs w:val="32"/>
        </w:rPr>
      </w:pPr>
    </w:p>
    <w:p>
      <w:pPr>
        <w:pStyle w:val="2"/>
        <w:rPr>
          <w:rFonts w:ascii="仿宋_GB2312" w:hAnsi="仿宋_GB2312" w:eastAsia="仿宋_GB2312" w:cs="仿宋_GB2312"/>
          <w:sz w:val="32"/>
          <w:szCs w:val="32"/>
        </w:rPr>
      </w:pPr>
    </w:p>
    <w:p>
      <w:pPr>
        <w:pStyle w:val="2"/>
        <w:rPr>
          <w:rFonts w:ascii="仿宋_GB2312" w:hAnsi="仿宋_GB2312" w:eastAsia="仿宋_GB2312" w:cs="仿宋_GB2312"/>
          <w:sz w:val="32"/>
          <w:szCs w:val="32"/>
        </w:rPr>
      </w:pPr>
    </w:p>
    <w:p>
      <w:pPr>
        <w:pStyle w:val="2"/>
        <w:rPr>
          <w:rFonts w:ascii="仿宋_GB2312" w:hAnsi="仿宋_GB2312" w:eastAsia="仿宋_GB2312" w:cs="仿宋_GB2312"/>
          <w:sz w:val="32"/>
          <w:szCs w:val="32"/>
        </w:rPr>
      </w:pPr>
    </w:p>
    <w:p>
      <w:pPr>
        <w:pStyle w:val="2"/>
        <w:rPr>
          <w:rFonts w:ascii="仿宋_GB2312" w:hAnsi="仿宋_GB2312" w:eastAsia="仿宋_GB2312" w:cs="仿宋_GB2312"/>
          <w:sz w:val="32"/>
          <w:szCs w:val="32"/>
        </w:rPr>
      </w:pPr>
    </w:p>
    <w:p>
      <w:pPr>
        <w:pStyle w:val="2"/>
        <w:rPr>
          <w:rFonts w:ascii="仿宋_GB2312" w:hAnsi="仿宋_GB2312" w:eastAsia="仿宋_GB2312" w:cs="仿宋_GB2312"/>
          <w:sz w:val="32"/>
          <w:szCs w:val="32"/>
        </w:rPr>
      </w:pPr>
    </w:p>
    <w:p>
      <w:pPr>
        <w:pStyle w:val="2"/>
        <w:rPr>
          <w:rFonts w:ascii="仿宋_GB2312" w:hAnsi="仿宋_GB2312" w:eastAsia="仿宋_GB2312" w:cs="仿宋_GB2312"/>
          <w:sz w:val="32"/>
          <w:szCs w:val="32"/>
        </w:rPr>
      </w:pPr>
    </w:p>
    <w:p>
      <w:pPr>
        <w:pStyle w:val="2"/>
        <w:rPr>
          <w:rFonts w:ascii="仿宋_GB2312" w:hAnsi="仿宋_GB2312" w:eastAsia="仿宋_GB2312" w:cs="仿宋_GB2312"/>
          <w:sz w:val="32"/>
          <w:szCs w:val="32"/>
        </w:rPr>
      </w:pPr>
    </w:p>
    <w:p>
      <w:pPr>
        <w:pStyle w:val="2"/>
        <w:rPr>
          <w:rFonts w:ascii="仿宋_GB2312" w:hAnsi="仿宋_GB2312" w:eastAsia="仿宋_GB2312" w:cs="仿宋_GB2312"/>
          <w:sz w:val="32"/>
          <w:szCs w:val="32"/>
        </w:rPr>
      </w:pPr>
    </w:p>
    <w:p>
      <w:pPr>
        <w:pStyle w:val="2"/>
        <w:rPr>
          <w:rFonts w:ascii="仿宋_GB2312" w:hAnsi="仿宋_GB2312" w:eastAsia="仿宋_GB2312" w:cs="仿宋_GB2312"/>
          <w:sz w:val="32"/>
          <w:szCs w:val="32"/>
        </w:rPr>
      </w:pPr>
      <w:r>
        <w:rPr>
          <w:rFonts w:hint="eastAsia" w:ascii="仿宋_GB2312" w:hAnsi="仿宋_GB2312" w:eastAsia="仿宋_GB2312" w:cs="仿宋_GB2312"/>
          <w:sz w:val="32"/>
          <w:szCs w:val="32"/>
        </w:rPr>
        <w:drawing>
          <wp:anchor distT="0" distB="0" distL="114300" distR="114300" simplePos="0" relativeHeight="251660288" behindDoc="0" locked="0" layoutInCell="1" allowOverlap="1">
            <wp:simplePos x="0" y="0"/>
            <wp:positionH relativeFrom="column">
              <wp:posOffset>3410585</wp:posOffset>
            </wp:positionH>
            <wp:positionV relativeFrom="paragraph">
              <wp:posOffset>126365</wp:posOffset>
            </wp:positionV>
            <wp:extent cx="1456055" cy="1475105"/>
            <wp:effectExtent l="19050" t="0" r="0" b="0"/>
            <wp:wrapNone/>
            <wp:docPr id="2" name="图片 2" descr="公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公章"/>
                    <pic:cNvPicPr>
                      <a:picLocks noChangeAspect="1"/>
                    </pic:cNvPicPr>
                  </pic:nvPicPr>
                  <pic:blipFill>
                    <a:blip r:embed="rId7" cstate="print"/>
                    <a:stretch>
                      <a:fillRect/>
                    </a:stretch>
                  </pic:blipFill>
                  <pic:spPr>
                    <a:xfrm>
                      <a:off x="0" y="0"/>
                      <a:ext cx="1456067" cy="1475117"/>
                    </a:xfrm>
                    <a:prstGeom prst="rect">
                      <a:avLst/>
                    </a:prstGeom>
                  </pic:spPr>
                </pic:pic>
              </a:graphicData>
            </a:graphic>
          </wp:anchor>
        </w:drawing>
      </w:r>
    </w:p>
    <w:p>
      <w:pPr>
        <w:pStyle w:val="2"/>
        <w:rPr>
          <w:rFonts w:ascii="仿宋_GB2312" w:hAnsi="仿宋_GB2312" w:eastAsia="仿宋_GB2312" w:cs="仿宋_GB2312"/>
          <w:sz w:val="32"/>
          <w:szCs w:val="32"/>
        </w:rPr>
      </w:pPr>
    </w:p>
    <w:p>
      <w:pPr>
        <w:pStyle w:val="2"/>
        <w:ind w:firstLine="4524" w:firstLineChars="1450"/>
        <w:rPr>
          <w:rFonts w:ascii="仿宋_GB2312" w:hAnsi="仿宋_GB2312" w:cs="仿宋_GB2312"/>
          <w:kern w:val="0"/>
          <w:lang w:val="zh-CN"/>
        </w:rPr>
      </w:pPr>
      <w:r>
        <w:rPr>
          <w:rFonts w:hint="eastAsia" w:ascii="仿宋_GB2312" w:hAnsi="仿宋_GB2312" w:eastAsia="仿宋_GB2312" w:cs="仿宋_GB2312"/>
          <w:sz w:val="32"/>
          <w:szCs w:val="32"/>
        </w:rPr>
        <w:t>黑水县西尔镇人民政府</w:t>
      </w:r>
    </w:p>
    <w:p>
      <w:pPr>
        <w:pStyle w:val="2"/>
        <w:rPr>
          <w:rFonts w:ascii="仿宋_GB2312" w:hAnsi="仿宋_GB2312" w:cs="仿宋_GB2312"/>
          <w:kern w:val="0"/>
          <w:lang w:val="zh-CN"/>
        </w:rPr>
      </w:pPr>
    </w:p>
    <w:p>
      <w:pPr>
        <w:spacing w:line="560" w:lineRule="exact"/>
        <w:ind w:firstLine="4836" w:firstLineChars="1550"/>
        <w:rPr>
          <w:rFonts w:ascii="仿宋_GB2312" w:hAnsi="仿宋_GB2312" w:eastAsia="仿宋_GB2312" w:cs="仿宋_GB2312"/>
          <w:sz w:val="32"/>
          <w:szCs w:val="32"/>
        </w:rPr>
      </w:pPr>
      <w:r>
        <w:rPr>
          <w:rFonts w:hint="eastAsia" w:ascii="仿宋_GB2312" w:hAnsi="仿宋_GB2312" w:eastAsia="仿宋_GB2312" w:cs="仿宋_GB2312"/>
          <w:sz w:val="32"/>
          <w:szCs w:val="32"/>
        </w:rPr>
        <w:t>2023年8</w:t>
      </w:r>
      <w:r>
        <w:rPr>
          <w:rFonts w:ascii="仿宋_GB2312" w:hAnsi="仿宋_GB2312" w:eastAsia="仿宋_GB2312" w:cs="仿宋_GB2312"/>
          <w:sz w:val="32"/>
          <w:szCs w:val="32"/>
        </w:rPr>
        <w:t>月</w:t>
      </w:r>
      <w:r>
        <w:rPr>
          <w:rFonts w:hint="eastAsia" w:ascii="仿宋_GB2312" w:hAnsi="仿宋_GB2312" w:eastAsia="仿宋_GB2312" w:cs="仿宋_GB2312"/>
          <w:sz w:val="32"/>
          <w:szCs w:val="32"/>
        </w:rPr>
        <w:t>6日</w:t>
      </w:r>
    </w:p>
    <w:p>
      <w:pPr>
        <w:spacing w:line="576" w:lineRule="exact"/>
        <w:ind w:firstLine="624" w:firstLineChars="200"/>
        <w:rPr>
          <w:rFonts w:ascii="Times New Roman" w:hAnsi="Times New Roman" w:eastAsia="黑体" w:cs="Times New Roman"/>
          <w:sz w:val="32"/>
          <w:szCs w:val="32"/>
        </w:rPr>
      </w:pPr>
    </w:p>
    <w:p>
      <w:pPr>
        <w:spacing w:line="576" w:lineRule="exact"/>
        <w:ind w:firstLine="624" w:firstLineChars="200"/>
        <w:rPr>
          <w:rFonts w:ascii="Times New Roman" w:hAnsi="Times New Roman" w:eastAsia="黑体" w:cs="Times New Roman"/>
          <w:sz w:val="32"/>
          <w:szCs w:val="32"/>
        </w:rPr>
      </w:pPr>
    </w:p>
    <w:p>
      <w:pPr>
        <w:pStyle w:val="2"/>
      </w:pPr>
    </w:p>
    <w:p>
      <w:pPr>
        <w:pStyle w:val="2"/>
      </w:pPr>
    </w:p>
    <w:p>
      <w:pPr>
        <w:pStyle w:val="2"/>
      </w:pPr>
    </w:p>
    <w:p>
      <w:pPr>
        <w:pStyle w:val="2"/>
      </w:pPr>
    </w:p>
    <w:p>
      <w:pPr>
        <w:pStyle w:val="2"/>
        <w:rPr>
          <w:rFonts w:eastAsia="黑体"/>
          <w:sz w:val="32"/>
          <w:szCs w:val="32"/>
        </w:rPr>
      </w:pPr>
    </w:p>
    <w:p>
      <w:pPr>
        <w:pStyle w:val="2"/>
        <w:rPr>
          <w:rFonts w:ascii="Calibri" w:hAnsi="Calibri" w:eastAsia="方正小标宋_GBK"/>
          <w:sz w:val="28"/>
          <w:szCs w:val="28"/>
        </w:rPr>
      </w:pPr>
    </w:p>
    <w:tbl>
      <w:tblPr>
        <w:tblStyle w:val="9"/>
        <w:tblW w:w="9053" w:type="dxa"/>
        <w:tblInd w:w="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53" w:type="dxa"/>
            <w:tcBorders>
              <w:top w:val="single" w:color="auto" w:sz="4" w:space="0"/>
              <w:left w:val="nil"/>
              <w:bottom w:val="single" w:color="auto" w:sz="4" w:space="0"/>
              <w:right w:val="nil"/>
            </w:tcBorders>
          </w:tcPr>
          <w:p>
            <w:pPr>
              <w:spacing w:line="560" w:lineRule="exact"/>
              <w:ind w:firstLine="272" w:firstLineChars="1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西尔镇党政综合办</w:t>
            </w:r>
            <w:r>
              <w:rPr>
                <w:rFonts w:hint="eastAsia" w:eastAsia="仿宋_GB2312" w:cs="Times New Roman"/>
                <w:sz w:val="28"/>
                <w:szCs w:val="28"/>
              </w:rPr>
              <w:t xml:space="preserve">     </w:t>
            </w:r>
            <w:r>
              <w:rPr>
                <w:rFonts w:ascii="Times New Roman" w:hAnsi="Times New Roman" w:eastAsia="仿宋_GB2312" w:cs="Times New Roman"/>
                <w:sz w:val="28"/>
                <w:szCs w:val="28"/>
              </w:rPr>
              <w:t xml:space="preserve">　　　　　　　 </w:t>
            </w:r>
            <w:r>
              <w:rPr>
                <w:rFonts w:hint="eastAsia" w:ascii="Times New Roman" w:hAnsi="Times New Roman" w:eastAsia="仿宋_GB2312" w:cs="Times New Roman"/>
                <w:sz w:val="28"/>
                <w:szCs w:val="28"/>
              </w:rPr>
              <w:t xml:space="preserve">     </w:t>
            </w:r>
            <w:r>
              <w:rPr>
                <w:rFonts w:ascii="Times New Roman" w:hAnsi="Times New Roman" w:eastAsia="仿宋_GB2312" w:cs="Times New Roman"/>
                <w:sz w:val="28"/>
                <w:szCs w:val="28"/>
              </w:rPr>
              <w:t xml:space="preserve">  </w:t>
            </w:r>
            <w:r>
              <w:rPr>
                <w:rFonts w:hint="eastAsia" w:ascii="仿宋_GB2312" w:hAnsi="仿宋_GB2312" w:eastAsia="仿宋_GB2312" w:cs="仿宋_GB2312"/>
                <w:sz w:val="28"/>
                <w:szCs w:val="28"/>
              </w:rPr>
              <w:t>2024年8月6日印发</w:t>
            </w:r>
          </w:p>
        </w:tc>
      </w:tr>
    </w:tbl>
    <w:p>
      <w:pPr>
        <w:pStyle w:val="5"/>
        <w:spacing w:after="0" w:line="560" w:lineRule="exact"/>
        <w:ind w:left="0" w:leftChars="0" w:firstLine="0" w:firstLineChars="0"/>
        <w:jc w:val="center"/>
        <w:rPr>
          <w:rFonts w:eastAsia="仿宋_GB2312"/>
          <w:sz w:val="32"/>
          <w:szCs w:val="32"/>
        </w:rPr>
      </w:pPr>
      <w:r>
        <w:rPr>
          <w:rFonts w:hint="eastAsia" w:eastAsia="仿宋_GB2312"/>
          <w:sz w:val="28"/>
          <w:szCs w:val="28"/>
        </w:rPr>
        <w:t xml:space="preserve">                                                 </w:t>
      </w:r>
      <w:r>
        <w:rPr>
          <w:rFonts w:eastAsia="仿宋_GB2312"/>
          <w:sz w:val="28"/>
          <w:szCs w:val="28"/>
        </w:rPr>
        <w:t>（共印</w:t>
      </w:r>
      <w:r>
        <w:rPr>
          <w:rFonts w:hint="eastAsia" w:eastAsia="仿宋_GB2312"/>
          <w:sz w:val="28"/>
          <w:szCs w:val="28"/>
        </w:rPr>
        <w:t>1</w:t>
      </w:r>
      <w:r>
        <w:rPr>
          <w:rFonts w:eastAsia="仿宋_GB2312"/>
          <w:sz w:val="28"/>
          <w:szCs w:val="28"/>
        </w:rPr>
        <w:t>份）</w:t>
      </w:r>
    </w:p>
    <w:p>
      <w:pPr>
        <w:pStyle w:val="2"/>
        <w:rPr>
          <w:rFonts w:ascii="仿宋_GB2312" w:hAnsi="仿宋_GB2312" w:cs="仿宋_GB2312"/>
          <w:kern w:val="0"/>
          <w:lang w:val="zh-CN"/>
        </w:rPr>
      </w:pPr>
    </w:p>
    <w:p>
      <w:pPr>
        <w:rPr>
          <w:rFonts w:ascii="仿宋_GB2312" w:hAnsi="仿宋_GB2312" w:cs="仿宋_GB2312"/>
          <w:kern w:val="0"/>
          <w:lang w:val="zh-CN"/>
        </w:rPr>
      </w:pPr>
      <w:r>
        <w:rPr>
          <w:rFonts w:hint="eastAsia" w:ascii="仿宋_GB2312" w:hAnsi="仿宋_GB2312" w:cs="仿宋_GB2312"/>
          <w:kern w:val="0"/>
          <w:lang w:val="zh-CN"/>
        </w:rPr>
        <w:t>附表</w:t>
      </w:r>
      <w:r>
        <w:rPr>
          <w:rFonts w:hint="eastAsia" w:ascii="仿宋_GB2312" w:hAnsi="仿宋_GB2312" w:cs="仿宋_GB2312"/>
          <w:kern w:val="0"/>
        </w:rPr>
        <w:t>1</w:t>
      </w:r>
    </w:p>
    <w:p>
      <w:pPr>
        <w:spacing w:line="578" w:lineRule="exact"/>
        <w:jc w:val="center"/>
        <w:rPr>
          <w:rFonts w:ascii="方正小标宋_GBK" w:hAnsi="方正小标宋_GBK" w:eastAsia="方正小标宋_GBK" w:cs="方正小标宋_GBK"/>
          <w:sz w:val="40"/>
          <w:szCs w:val="40"/>
        </w:rPr>
      </w:pPr>
    </w:p>
    <w:p>
      <w:pPr>
        <w:spacing w:line="578" w:lineRule="exact"/>
        <w:jc w:val="center"/>
        <w:rPr>
          <w:rFonts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项目资金分配涉及所有点位自评得分情况表</w:t>
      </w:r>
    </w:p>
    <w:p>
      <w:pPr>
        <w:pStyle w:val="2"/>
      </w:pPr>
    </w:p>
    <w:tbl>
      <w:tblPr>
        <w:tblStyle w:val="9"/>
        <w:tblW w:w="88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3843"/>
        <w:gridCol w:w="2861"/>
        <w:gridCol w:w="9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exact"/>
          <w:jc w:val="center"/>
        </w:trPr>
        <w:tc>
          <w:tcPr>
            <w:tcW w:w="1123" w:type="dxa"/>
          </w:tcPr>
          <w:p>
            <w:pPr>
              <w:spacing w:line="300" w:lineRule="exact"/>
              <w:jc w:val="center"/>
              <w:rPr>
                <w:rFonts w:ascii="黑体" w:hAnsi="黑体" w:eastAsia="黑体" w:cs="黑体"/>
                <w:sz w:val="24"/>
              </w:rPr>
            </w:pPr>
            <w:r>
              <w:rPr>
                <w:rFonts w:hint="eastAsia" w:ascii="黑体" w:hAnsi="黑体" w:eastAsia="黑体" w:cs="黑体"/>
                <w:sz w:val="24"/>
              </w:rPr>
              <w:t>序号</w:t>
            </w:r>
          </w:p>
        </w:tc>
        <w:tc>
          <w:tcPr>
            <w:tcW w:w="3843" w:type="dxa"/>
          </w:tcPr>
          <w:p>
            <w:pPr>
              <w:spacing w:line="300" w:lineRule="exact"/>
              <w:jc w:val="center"/>
              <w:rPr>
                <w:rFonts w:ascii="黑体" w:hAnsi="黑体" w:eastAsia="黑体" w:cs="黑体"/>
                <w:sz w:val="24"/>
              </w:rPr>
            </w:pPr>
            <w:r>
              <w:rPr>
                <w:rFonts w:hint="eastAsia" w:ascii="黑体" w:hAnsi="黑体" w:eastAsia="黑体" w:cs="黑体"/>
                <w:sz w:val="24"/>
              </w:rPr>
              <w:t>项目资金末端分配点位</w:t>
            </w:r>
          </w:p>
        </w:tc>
        <w:tc>
          <w:tcPr>
            <w:tcW w:w="2861" w:type="dxa"/>
          </w:tcPr>
          <w:p>
            <w:pPr>
              <w:spacing w:line="300" w:lineRule="exact"/>
              <w:jc w:val="center"/>
              <w:rPr>
                <w:rFonts w:ascii="黑体" w:hAnsi="黑体" w:eastAsia="黑体" w:cs="黑体"/>
                <w:sz w:val="24"/>
              </w:rPr>
            </w:pPr>
            <w:r>
              <w:rPr>
                <w:rFonts w:hint="eastAsia" w:ascii="黑体" w:hAnsi="黑体" w:eastAsia="黑体" w:cs="黑体"/>
                <w:sz w:val="24"/>
              </w:rPr>
              <w:t>自评得分（百分制）</w:t>
            </w:r>
          </w:p>
        </w:tc>
        <w:tc>
          <w:tcPr>
            <w:tcW w:w="993" w:type="dxa"/>
          </w:tcPr>
          <w:p>
            <w:pPr>
              <w:spacing w:line="300" w:lineRule="exact"/>
              <w:jc w:val="center"/>
              <w:rPr>
                <w:rFonts w:ascii="黑体" w:hAnsi="黑体" w:eastAsia="黑体" w:cs="黑体"/>
                <w:sz w:val="24"/>
              </w:rPr>
            </w:pPr>
            <w:r>
              <w:rPr>
                <w:rFonts w:hint="eastAsia" w:ascii="黑体" w:hAnsi="黑体" w:eastAsia="黑体" w:cs="黑体"/>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Pr>
          <w:p>
            <w:pPr>
              <w:spacing w:line="300" w:lineRule="exact"/>
              <w:jc w:val="center"/>
              <w:rPr>
                <w:rFonts w:ascii="宋体" w:hAnsi="宋体" w:eastAsia="宋体" w:cs="宋体"/>
                <w:sz w:val="24"/>
              </w:rPr>
            </w:pPr>
            <w:r>
              <w:rPr>
                <w:rFonts w:hint="eastAsia" w:ascii="宋体" w:hAnsi="宋体" w:eastAsia="宋体" w:cs="宋体"/>
                <w:sz w:val="24"/>
              </w:rPr>
              <w:t>1</w:t>
            </w:r>
          </w:p>
        </w:tc>
        <w:tc>
          <w:tcPr>
            <w:tcW w:w="3843" w:type="dxa"/>
          </w:tcPr>
          <w:p>
            <w:pPr>
              <w:spacing w:line="300" w:lineRule="exact"/>
              <w:jc w:val="center"/>
              <w:rPr>
                <w:rFonts w:ascii="宋体" w:hAnsi="宋体" w:eastAsia="宋体" w:cs="宋体"/>
                <w:sz w:val="24"/>
              </w:rPr>
            </w:pPr>
            <w:r>
              <w:rPr>
                <w:rFonts w:hint="eastAsia" w:ascii="宋体" w:hAnsi="宋体" w:eastAsia="宋体" w:cs="宋体"/>
                <w:sz w:val="24"/>
              </w:rPr>
              <w:t>黑水县西尔镇木日窝村</w:t>
            </w:r>
          </w:p>
        </w:tc>
        <w:tc>
          <w:tcPr>
            <w:tcW w:w="2861" w:type="dxa"/>
          </w:tcPr>
          <w:p>
            <w:pPr>
              <w:spacing w:line="300" w:lineRule="exact"/>
              <w:jc w:val="center"/>
              <w:rPr>
                <w:rFonts w:ascii="宋体" w:hAnsi="宋体" w:eastAsia="宋体" w:cs="宋体"/>
                <w:sz w:val="24"/>
              </w:rPr>
            </w:pPr>
            <w:r>
              <w:rPr>
                <w:rFonts w:hint="eastAsia" w:ascii="宋体" w:hAnsi="宋体" w:eastAsia="宋体" w:cs="宋体"/>
                <w:sz w:val="24"/>
              </w:rPr>
              <w:t>98</w:t>
            </w:r>
          </w:p>
        </w:tc>
        <w:tc>
          <w:tcPr>
            <w:tcW w:w="993" w:type="dxa"/>
          </w:tcPr>
          <w:p>
            <w:pPr>
              <w:spacing w:line="300" w:lineRule="exact"/>
              <w:rPr>
                <w:rFonts w:ascii="宋体" w:hAnsi="宋体" w:eastAsia="宋体" w:cs="宋体"/>
                <w:sz w:val="24"/>
              </w:rPr>
            </w:pPr>
          </w:p>
        </w:tc>
      </w:tr>
    </w:tbl>
    <w:p>
      <w:pPr>
        <w:spacing w:line="400" w:lineRule="exact"/>
        <w:jc w:val="left"/>
        <w:rPr>
          <w:rFonts w:ascii="宋体" w:hAnsi="宋体" w:eastAsia="宋体" w:cs="宋体"/>
          <w:sz w:val="24"/>
        </w:rPr>
      </w:pPr>
    </w:p>
    <w:p>
      <w:pPr>
        <w:spacing w:line="400" w:lineRule="exact"/>
        <w:jc w:val="left"/>
        <w:rPr>
          <w:rFonts w:ascii="宋体" w:hAnsi="宋体" w:eastAsia="宋体" w:cs="宋体"/>
          <w:sz w:val="24"/>
        </w:rPr>
      </w:pPr>
      <w:r>
        <w:rPr>
          <w:rFonts w:hint="eastAsia" w:ascii="宋体" w:hAnsi="宋体" w:eastAsia="宋体" w:cs="宋体"/>
          <w:sz w:val="24"/>
        </w:rPr>
        <w:t>备注：1.项目资金末端分配点位包括市（州）本级、县（市、区）、省级部门下属单位及一次性单位等。</w:t>
      </w:r>
    </w:p>
    <w:p>
      <w:pPr>
        <w:numPr>
          <w:ilvl w:val="0"/>
          <w:numId w:val="3"/>
        </w:numPr>
        <w:spacing w:line="400" w:lineRule="exact"/>
        <w:ind w:firstLine="696" w:firstLineChars="300"/>
        <w:jc w:val="left"/>
        <w:rPr>
          <w:rFonts w:ascii="宋体" w:hAnsi="宋体" w:eastAsia="宋体" w:cs="宋体"/>
          <w:sz w:val="24"/>
        </w:rPr>
      </w:pPr>
      <w:r>
        <w:rPr>
          <w:rFonts w:hint="eastAsia" w:ascii="宋体" w:hAnsi="宋体" w:eastAsia="宋体" w:cs="宋体"/>
          <w:sz w:val="24"/>
        </w:rPr>
        <w:t>自评得分（百分制）从高到低划分为优、良、中、差四个档次，各个档次数量占比分别为20%、20%、55%、5%，且不同档次间得分分值应体现差异化，同档次得分分值相同的比例不超过该档次总数量的10%。</w:t>
      </w:r>
    </w:p>
    <w:p>
      <w:pPr>
        <w:pStyle w:val="2"/>
        <w:rPr>
          <w:rFonts w:ascii="宋体" w:hAnsi="宋体" w:cs="宋体"/>
          <w:sz w:val="24"/>
          <w:szCs w:val="24"/>
        </w:rPr>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pStyle w:val="2"/>
      </w:pPr>
    </w:p>
    <w:p>
      <w:pPr>
        <w:rPr>
          <w:rFonts w:ascii="仿宋_GB2312" w:hAnsi="仿宋_GB2312" w:cs="仿宋_GB2312"/>
          <w:kern w:val="0"/>
        </w:rPr>
      </w:pPr>
      <w:r>
        <w:rPr>
          <w:rFonts w:ascii="仿宋_GB2312" w:hAnsi="仿宋_GB2312" w:cs="仿宋_GB2312"/>
          <w:kern w:val="0"/>
        </w:rPr>
        <w:t>附表2</w:t>
      </w:r>
    </w:p>
    <w:tbl>
      <w:tblPr>
        <w:tblStyle w:val="9"/>
        <w:tblW w:w="10233" w:type="dxa"/>
        <w:jc w:val="center"/>
        <w:tblLayout w:type="fixed"/>
        <w:tblCellMar>
          <w:top w:w="15" w:type="dxa"/>
          <w:left w:w="15" w:type="dxa"/>
          <w:bottom w:w="15" w:type="dxa"/>
          <w:right w:w="15" w:type="dxa"/>
        </w:tblCellMar>
      </w:tblPr>
      <w:tblGrid>
        <w:gridCol w:w="652"/>
        <w:gridCol w:w="1081"/>
        <w:gridCol w:w="1250"/>
        <w:gridCol w:w="1312"/>
        <w:gridCol w:w="1127"/>
        <w:gridCol w:w="971"/>
        <w:gridCol w:w="1061"/>
        <w:gridCol w:w="858"/>
        <w:gridCol w:w="1921"/>
      </w:tblGrid>
      <w:tr>
        <w:tblPrEx>
          <w:tblCellMar>
            <w:top w:w="15" w:type="dxa"/>
            <w:left w:w="15" w:type="dxa"/>
            <w:bottom w:w="15" w:type="dxa"/>
            <w:right w:w="15" w:type="dxa"/>
          </w:tblCellMar>
        </w:tblPrEx>
        <w:trPr>
          <w:trHeight w:val="576" w:hRule="atLeast"/>
          <w:jc w:val="center"/>
        </w:trPr>
        <w:tc>
          <w:tcPr>
            <w:tcW w:w="10233" w:type="dxa"/>
            <w:gridSpan w:val="9"/>
            <w:vAlign w:val="center"/>
          </w:tcPr>
          <w:p>
            <w:pPr>
              <w:widowControl/>
              <w:spacing w:line="600" w:lineRule="exact"/>
              <w:jc w:val="center"/>
              <w:textAlignment w:val="center"/>
              <w:rPr>
                <w:rFonts w:ascii="黑体" w:hAnsi="宋体" w:eastAsia="黑体" w:cs="黑体"/>
                <w:color w:val="000000"/>
                <w:sz w:val="30"/>
                <w:szCs w:val="30"/>
              </w:rPr>
            </w:pPr>
            <w:r>
              <w:rPr>
                <w:rFonts w:hint="eastAsia" w:ascii="方正小标宋简体" w:hAnsi="方正小标宋简体" w:eastAsia="方正小标宋简体" w:cs="方正小标宋简体"/>
                <w:color w:val="000000"/>
                <w:kern w:val="0"/>
                <w:sz w:val="40"/>
                <w:szCs w:val="40"/>
              </w:rPr>
              <w:t>专项预算项目绩效目标完成情况自评表</w:t>
            </w:r>
          </w:p>
        </w:tc>
      </w:tr>
      <w:tr>
        <w:tblPrEx>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项目名称</w:t>
            </w:r>
          </w:p>
        </w:tc>
        <w:tc>
          <w:tcPr>
            <w:tcW w:w="5938" w:type="dxa"/>
            <w:gridSpan w:val="5"/>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rFonts w:ascii="宋体" w:hAnsi="宋体" w:eastAsia="宋体" w:cs="宋体"/>
                <w:color w:val="000000"/>
                <w:kern w:val="0"/>
                <w:sz w:val="24"/>
              </w:rPr>
            </w:pPr>
            <w:r>
              <w:rPr>
                <w:rFonts w:hint="eastAsia" w:ascii="宋体" w:hAnsi="宋体" w:eastAsia="宋体" w:cs="宋体"/>
                <w:color w:val="000000" w:themeColor="text1"/>
                <w:sz w:val="24"/>
              </w:rPr>
              <w:t>西尔镇木日窝村温室大棚配套设施项目</w:t>
            </w:r>
          </w:p>
        </w:tc>
      </w:tr>
      <w:tr>
        <w:tblPrEx>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预算单位</w:t>
            </w:r>
          </w:p>
        </w:tc>
        <w:tc>
          <w:tcPr>
            <w:tcW w:w="5938" w:type="dxa"/>
            <w:gridSpan w:val="5"/>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西尔镇人民政府</w:t>
            </w:r>
          </w:p>
        </w:tc>
      </w:tr>
      <w:tr>
        <w:tblPrEx>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项目类型</w:t>
            </w:r>
          </w:p>
        </w:tc>
        <w:tc>
          <w:tcPr>
            <w:tcW w:w="5938" w:type="dxa"/>
            <w:gridSpan w:val="5"/>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rFonts w:ascii="宋体" w:hAnsi="宋体" w:eastAsia="宋体" w:cs="宋体"/>
                <w:sz w:val="24"/>
              </w:rPr>
            </w:pPr>
            <w:r>
              <w:rPr>
                <w:rFonts w:hint="eastAsia" w:ascii="宋体" w:hAnsi="宋体" w:eastAsia="宋体" w:cs="宋体"/>
                <w:color w:val="000000"/>
                <w:kern w:val="0"/>
                <w:sz w:val="24"/>
              </w:rPr>
              <w:t>一次性项目</w:t>
            </w:r>
          </w:p>
        </w:tc>
      </w:tr>
      <w:tr>
        <w:tblPrEx>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项目 概况</w:t>
            </w:r>
          </w:p>
        </w:tc>
        <w:tc>
          <w:tcPr>
            <w:tcW w:w="3643"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中长期规划（名称、文号，仅指</w:t>
            </w:r>
          </w:p>
          <w:p>
            <w:pPr>
              <w:widowControl/>
              <w:spacing w:line="30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常年项目）</w:t>
            </w:r>
          </w:p>
        </w:tc>
        <w:tc>
          <w:tcPr>
            <w:tcW w:w="5938" w:type="dxa"/>
            <w:gridSpan w:val="5"/>
            <w:tcBorders>
              <w:top w:val="single" w:color="000000" w:sz="4" w:space="0"/>
              <w:left w:val="single" w:color="000000" w:sz="4" w:space="0"/>
              <w:bottom w:val="single" w:color="000000" w:sz="4" w:space="0"/>
              <w:right w:val="single" w:color="000000" w:sz="4" w:space="0"/>
            </w:tcBorders>
            <w:vAlign w:val="center"/>
          </w:tcPr>
          <w:p>
            <w:pPr>
              <w:spacing w:line="300" w:lineRule="exact"/>
              <w:jc w:val="left"/>
              <w:rPr>
                <w:rFonts w:ascii="宋体" w:hAnsi="宋体" w:eastAsia="宋体" w:cs="宋体"/>
                <w:color w:val="000000"/>
                <w:sz w:val="24"/>
              </w:rPr>
            </w:pPr>
            <w:r>
              <w:rPr>
                <w:rFonts w:hint="eastAsia" w:ascii="宋体" w:hAnsi="宋体" w:eastAsia="宋体" w:cs="宋体"/>
                <w:color w:val="000000"/>
                <w:sz w:val="24"/>
              </w:rPr>
              <w:t>无</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vAlign w:val="center"/>
          </w:tcPr>
          <w:p>
            <w:pPr>
              <w:spacing w:line="300" w:lineRule="exact"/>
              <w:rPr>
                <w:rFonts w:ascii="宋体" w:hAnsi="宋体" w:eastAsia="宋体" w:cs="宋体"/>
                <w:color w:val="000000"/>
                <w:sz w:val="24"/>
              </w:rPr>
            </w:pPr>
          </w:p>
        </w:tc>
        <w:tc>
          <w:tcPr>
            <w:tcW w:w="3643"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vAlign w:val="center"/>
          </w:tcPr>
          <w:p>
            <w:pPr>
              <w:spacing w:line="300" w:lineRule="exact"/>
              <w:jc w:val="left"/>
              <w:rPr>
                <w:rFonts w:ascii="宋体" w:hAnsi="宋体" w:eastAsia="宋体" w:cs="宋体"/>
                <w:color w:val="000000"/>
                <w:sz w:val="24"/>
              </w:rPr>
            </w:pPr>
            <w:r>
              <w:rPr>
                <w:rFonts w:hint="eastAsia" w:ascii="宋体" w:hAnsi="宋体" w:eastAsia="宋体" w:cs="宋体"/>
                <w:color w:val="000000"/>
                <w:sz w:val="24"/>
              </w:rPr>
              <w:t>无</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vAlign w:val="center"/>
          </w:tcPr>
          <w:p>
            <w:pPr>
              <w:spacing w:line="300" w:lineRule="exact"/>
              <w:rPr>
                <w:rFonts w:ascii="宋体" w:hAnsi="宋体" w:eastAsia="宋体" w:cs="宋体"/>
                <w:color w:val="000000"/>
                <w:sz w:val="24"/>
              </w:rPr>
            </w:pPr>
          </w:p>
        </w:tc>
        <w:tc>
          <w:tcPr>
            <w:tcW w:w="3643"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绩效分配方式</w:t>
            </w:r>
          </w:p>
        </w:tc>
        <w:tc>
          <w:tcPr>
            <w:tcW w:w="1127"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rFonts w:ascii="宋体" w:hAnsi="宋体" w:eastAsia="宋体" w:cs="宋体"/>
                <w:color w:val="000000"/>
                <w:sz w:val="24"/>
              </w:rPr>
            </w:pPr>
            <w:r>
              <w:rPr>
                <w:rFonts w:ascii="Wingdings 2" w:hAnsi="Wingdings 2" w:eastAsia="Wingdings 2" w:cs="Wingdings 2"/>
                <w:color w:val="000000"/>
                <w:kern w:val="0"/>
                <w:sz w:val="24"/>
              </w:rPr>
              <w:t></w:t>
            </w:r>
            <w:r>
              <w:rPr>
                <w:rFonts w:ascii="宋体" w:hAnsi="宋体" w:eastAsia="宋体" w:cs="宋体"/>
                <w:color w:val="000000"/>
                <w:kern w:val="0"/>
                <w:sz w:val="24"/>
              </w:rPr>
              <w:t>因素法</w:t>
            </w:r>
          </w:p>
        </w:tc>
        <w:tc>
          <w:tcPr>
            <w:tcW w:w="2032"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rFonts w:ascii="宋体" w:hAnsi="宋体" w:eastAsia="宋体" w:cs="宋体"/>
                <w:color w:val="000000"/>
                <w:sz w:val="24"/>
              </w:rPr>
            </w:pPr>
            <w:r>
              <w:rPr>
                <w:rFonts w:ascii="Wingdings 2" w:hAnsi="Wingdings 2" w:eastAsia="Wingdings 2" w:cs="Wingdings 2"/>
                <w:color w:val="000000"/>
                <w:kern w:val="0"/>
                <w:sz w:val="24"/>
              </w:rPr>
              <w:t>项目法</w:t>
            </w:r>
          </w:p>
        </w:tc>
        <w:tc>
          <w:tcPr>
            <w:tcW w:w="858"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rFonts w:ascii="宋体" w:hAnsi="宋体" w:eastAsia="宋体" w:cs="宋体"/>
                <w:color w:val="000000"/>
                <w:sz w:val="24"/>
              </w:rPr>
            </w:pPr>
            <w:r>
              <w:rPr>
                <w:rFonts w:ascii="Wingdings 2" w:hAnsi="Wingdings 2" w:eastAsia="Wingdings 2" w:cs="Wingdings 2"/>
                <w:color w:val="000000"/>
                <w:kern w:val="0"/>
                <w:sz w:val="24"/>
              </w:rPr>
              <w:t></w:t>
            </w:r>
            <w:r>
              <w:rPr>
                <w:rFonts w:ascii="宋体" w:hAnsi="宋体" w:eastAsia="宋体" w:cs="宋体"/>
                <w:color w:val="000000"/>
                <w:kern w:val="0"/>
                <w:sz w:val="24"/>
              </w:rPr>
              <w:t>据实据效</w:t>
            </w:r>
          </w:p>
        </w:tc>
        <w:tc>
          <w:tcPr>
            <w:tcW w:w="1921"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√因素法与项目法相结合</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vAlign w:val="center"/>
          </w:tcPr>
          <w:p>
            <w:pPr>
              <w:spacing w:line="300" w:lineRule="exact"/>
              <w:rPr>
                <w:rFonts w:ascii="宋体" w:hAnsi="宋体" w:eastAsia="宋体" w:cs="宋体"/>
                <w:color w:val="000000"/>
                <w:sz w:val="24"/>
              </w:rPr>
            </w:pPr>
          </w:p>
        </w:tc>
        <w:tc>
          <w:tcPr>
            <w:tcW w:w="3643"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立项依据</w:t>
            </w:r>
          </w:p>
        </w:tc>
        <w:tc>
          <w:tcPr>
            <w:tcW w:w="5938" w:type="dxa"/>
            <w:gridSpan w:val="5"/>
            <w:tcBorders>
              <w:top w:val="single" w:color="000000" w:sz="4" w:space="0"/>
              <w:left w:val="single" w:color="000000" w:sz="4" w:space="0"/>
              <w:bottom w:val="single" w:color="000000" w:sz="4" w:space="0"/>
              <w:right w:val="single" w:color="000000" w:sz="4" w:space="0"/>
            </w:tcBorders>
            <w:vAlign w:val="center"/>
          </w:tcPr>
          <w:p>
            <w:pPr>
              <w:ind w:firstLine="464" w:firstLineChars="200"/>
              <w:jc w:val="left"/>
              <w:rPr>
                <w:rFonts w:ascii="宋体" w:hAnsi="宋体" w:eastAsia="宋体" w:cs="宋体"/>
                <w:color w:val="000000"/>
                <w:kern w:val="0"/>
                <w:sz w:val="24"/>
              </w:rPr>
            </w:pPr>
            <w:r>
              <w:rPr>
                <w:rFonts w:hint="eastAsia" w:ascii="宋体" w:hAnsi="宋体" w:eastAsia="宋体" w:cs="宋体"/>
                <w:sz w:val="24"/>
              </w:rPr>
              <w:t>党的十九大后正式实施乡村振兴战略，乡村基础设施建设作为制约乡村发展的重要因素，同时也是乡村振兴战略在乡村实施的一个具体措施。近年来，黑水县坚持走乡村振兴道路，认真贯彻落实习近平总书记</w:t>
            </w:r>
            <w:r>
              <w:rPr>
                <w:rFonts w:hint="default" w:ascii="宋体" w:hAnsi="宋体" w:eastAsia="宋体" w:cs="宋体"/>
                <w:sz w:val="24"/>
              </w:rPr>
              <w:t>系列</w:t>
            </w:r>
            <w:bookmarkStart w:id="1" w:name="_GoBack"/>
            <w:bookmarkEnd w:id="1"/>
            <w:r>
              <w:rPr>
                <w:rFonts w:hint="eastAsia" w:ascii="宋体" w:hAnsi="宋体" w:eastAsia="宋体" w:cs="宋体"/>
                <w:sz w:val="24"/>
              </w:rPr>
              <w:t>重要讲话精神，持续加大就业和产业扶持力度，继续完善安置区配套基础设施、产业园区配套设施、公共服务设施，切实提升农业产业化能力，补助区域发展短板有助于项目区域产业园健康发展，持续巩固脱贫成果。</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vAlign w:val="center"/>
          </w:tcPr>
          <w:p>
            <w:pPr>
              <w:spacing w:line="300" w:lineRule="exact"/>
              <w:rPr>
                <w:rFonts w:ascii="宋体" w:hAnsi="宋体" w:eastAsia="宋体" w:cs="宋体"/>
                <w:color w:val="000000"/>
                <w:sz w:val="24"/>
              </w:rPr>
            </w:pPr>
          </w:p>
        </w:tc>
        <w:tc>
          <w:tcPr>
            <w:tcW w:w="3643"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使用范围</w:t>
            </w:r>
          </w:p>
        </w:tc>
        <w:tc>
          <w:tcPr>
            <w:tcW w:w="5938" w:type="dxa"/>
            <w:gridSpan w:val="5"/>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该项目资金主要用于</w:t>
            </w:r>
            <w:r>
              <w:rPr>
                <w:rFonts w:hint="eastAsia" w:ascii="宋体" w:hAnsi="宋体" w:eastAsia="宋体" w:cs="宋体"/>
                <w:color w:val="000000" w:themeColor="text1"/>
                <w:sz w:val="24"/>
              </w:rPr>
              <w:t>西尔镇木日窝村温室大棚配套设施项目</w:t>
            </w:r>
            <w:r>
              <w:rPr>
                <w:rFonts w:hint="eastAsia" w:ascii="宋体" w:hAnsi="宋体" w:eastAsia="宋体" w:cs="宋体"/>
                <w:color w:val="000000"/>
                <w:kern w:val="0"/>
                <w:sz w:val="24"/>
              </w:rPr>
              <w:t>开支。</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vAlign w:val="center"/>
          </w:tcPr>
          <w:p>
            <w:pPr>
              <w:spacing w:line="300" w:lineRule="exact"/>
              <w:rPr>
                <w:rFonts w:ascii="宋体" w:hAnsi="宋体" w:eastAsia="宋体" w:cs="宋体"/>
                <w:color w:val="000000"/>
                <w:sz w:val="24"/>
              </w:rPr>
            </w:pPr>
          </w:p>
        </w:tc>
        <w:tc>
          <w:tcPr>
            <w:tcW w:w="3643"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vAlign w:val="center"/>
          </w:tcPr>
          <w:p>
            <w:pPr>
              <w:spacing w:line="300" w:lineRule="exact"/>
              <w:jc w:val="left"/>
              <w:rPr>
                <w:rFonts w:ascii="宋体" w:hAnsi="宋体" w:eastAsia="宋体" w:cs="宋体"/>
                <w:color w:val="000000"/>
                <w:sz w:val="24"/>
              </w:rPr>
            </w:pPr>
            <w:r>
              <w:rPr>
                <w:rFonts w:hint="eastAsia" w:ascii="宋体" w:hAnsi="宋体" w:eastAsia="宋体" w:cs="宋体"/>
                <w:color w:val="000000"/>
                <w:sz w:val="24"/>
              </w:rPr>
              <w:t>无。</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vAlign w:val="center"/>
          </w:tcPr>
          <w:p>
            <w:pPr>
              <w:spacing w:line="300" w:lineRule="exact"/>
              <w:rPr>
                <w:rFonts w:ascii="宋体" w:hAnsi="宋体" w:eastAsia="宋体" w:cs="宋体"/>
                <w:color w:val="000000"/>
                <w:sz w:val="24"/>
              </w:rPr>
            </w:pPr>
          </w:p>
        </w:tc>
        <w:tc>
          <w:tcPr>
            <w:tcW w:w="3643" w:type="dxa"/>
            <w:gridSpan w:val="3"/>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2023年1月至2023年12月</w:t>
            </w:r>
          </w:p>
        </w:tc>
      </w:tr>
      <w:tr>
        <w:tblPrEx>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项目资金</w:t>
            </w:r>
          </w:p>
          <w:p>
            <w:pPr>
              <w:widowControl/>
              <w:spacing w:line="30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（万元）</w:t>
            </w:r>
          </w:p>
        </w:tc>
        <w:tc>
          <w:tcPr>
            <w:tcW w:w="2562"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60</w:t>
            </w:r>
          </w:p>
        </w:tc>
      </w:tr>
      <w:tr>
        <w:tblPrEx>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vAlign w:val="center"/>
          </w:tcPr>
          <w:p>
            <w:pPr>
              <w:spacing w:line="300" w:lineRule="exact"/>
              <w:rPr>
                <w:rFonts w:ascii="宋体" w:hAnsi="宋体" w:eastAsia="宋体" w:cs="宋体"/>
                <w:color w:val="000000"/>
                <w:sz w:val="24"/>
              </w:rPr>
            </w:pPr>
          </w:p>
        </w:tc>
        <w:tc>
          <w:tcPr>
            <w:tcW w:w="2562"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 xml:space="preserve">      其中：财政拨款</w:t>
            </w:r>
          </w:p>
        </w:tc>
        <w:tc>
          <w:tcPr>
            <w:tcW w:w="5938" w:type="dxa"/>
            <w:gridSpan w:val="5"/>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40</w:t>
            </w:r>
          </w:p>
        </w:tc>
      </w:tr>
      <w:tr>
        <w:tblPrEx>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vAlign w:val="center"/>
          </w:tcPr>
          <w:p>
            <w:pPr>
              <w:spacing w:line="300" w:lineRule="exact"/>
              <w:rPr>
                <w:rFonts w:ascii="宋体" w:hAnsi="宋体" w:eastAsia="宋体" w:cs="宋体"/>
                <w:color w:val="000000"/>
                <w:sz w:val="24"/>
              </w:rPr>
            </w:pPr>
          </w:p>
        </w:tc>
        <w:tc>
          <w:tcPr>
            <w:tcW w:w="2562"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0</w:t>
            </w:r>
          </w:p>
        </w:tc>
      </w:tr>
      <w:tr>
        <w:tblPrEx>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总体 目标</w:t>
            </w:r>
          </w:p>
        </w:tc>
        <w:tc>
          <w:tcPr>
            <w:tcW w:w="9581" w:type="dxa"/>
            <w:gridSpan w:val="8"/>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年度目标</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vAlign w:val="center"/>
          </w:tcPr>
          <w:p>
            <w:pPr>
              <w:spacing w:line="300" w:lineRule="exact"/>
              <w:rPr>
                <w:rFonts w:ascii="宋体" w:hAnsi="宋体" w:eastAsia="宋体" w:cs="宋体"/>
                <w:color w:val="000000"/>
                <w:sz w:val="24"/>
              </w:rPr>
            </w:pPr>
          </w:p>
        </w:tc>
        <w:tc>
          <w:tcPr>
            <w:tcW w:w="9581" w:type="dxa"/>
            <w:gridSpan w:val="8"/>
            <w:tcBorders>
              <w:top w:val="single" w:color="000000" w:sz="4" w:space="0"/>
              <w:left w:val="single" w:color="000000" w:sz="4" w:space="0"/>
              <w:bottom w:val="single" w:color="000000" w:sz="4" w:space="0"/>
              <w:right w:val="single" w:color="000000" w:sz="4" w:space="0"/>
            </w:tcBorders>
            <w:vAlign w:val="center"/>
          </w:tcPr>
          <w:p>
            <w:pPr>
              <w:ind w:firstLine="464" w:firstLineChars="200"/>
              <w:jc w:val="left"/>
              <w:rPr>
                <w:rFonts w:ascii="宋体" w:hAnsi="宋体" w:eastAsia="宋体" w:cs="宋体"/>
                <w:sz w:val="24"/>
              </w:rPr>
            </w:pPr>
            <w:r>
              <w:rPr>
                <w:rFonts w:hint="eastAsia" w:ascii="宋体" w:hAnsi="宋体" w:eastAsia="宋体" w:cs="宋体"/>
                <w:sz w:val="24"/>
              </w:rPr>
              <w:t>本项目建成后将实现黑水县高半山青红脆李避雨栽培技术的应用，通过试验阶段的研究，避免高半山李子花期遭受冻害、采收期遭受裂果等，研究出适合高半山避雨栽培的关键技术，形成一套黑水县高半山李子避雨栽培技术体系，实现高半山李子避雨栽培，推广带动周边农户利用李子避雨栽培技术，形成示范效应，带动乡村产业振兴。根据黑水县高半山地理特征，搭建钢架简易型避雨棚，搭建标准以连栋塑料固定式避雨防霜设施、四线拉帘式、三线拉帘式避雨防霜设施，完成木日窝村温室大棚配套设施建设。</w:t>
            </w:r>
          </w:p>
          <w:p>
            <w:pPr>
              <w:widowControl/>
              <w:spacing w:line="300" w:lineRule="exact"/>
              <w:jc w:val="left"/>
              <w:textAlignment w:val="center"/>
              <w:rPr>
                <w:rFonts w:ascii="宋体" w:hAnsi="宋体" w:eastAsia="宋体" w:cs="宋体"/>
                <w:color w:val="000000"/>
                <w:kern w:val="0"/>
                <w:sz w:val="24"/>
              </w:rPr>
            </w:pPr>
          </w:p>
        </w:tc>
      </w:tr>
      <w:tr>
        <w:tblPrEx>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vAlign w:val="center"/>
          </w:tcPr>
          <w:p>
            <w:pPr>
              <w:widowControl/>
              <w:spacing w:line="30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绩效 指标</w:t>
            </w:r>
          </w:p>
        </w:tc>
        <w:tc>
          <w:tcPr>
            <w:tcW w:w="1081"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一级指标</w:t>
            </w:r>
          </w:p>
        </w:tc>
        <w:tc>
          <w:tcPr>
            <w:tcW w:w="1250"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二级指标</w:t>
            </w:r>
          </w:p>
        </w:tc>
        <w:tc>
          <w:tcPr>
            <w:tcW w:w="1312"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三级指标</w:t>
            </w:r>
          </w:p>
        </w:tc>
        <w:tc>
          <w:tcPr>
            <w:tcW w:w="1127"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指标性质</w:t>
            </w:r>
          </w:p>
        </w:tc>
        <w:tc>
          <w:tcPr>
            <w:tcW w:w="971"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指标值</w:t>
            </w:r>
          </w:p>
        </w:tc>
        <w:tc>
          <w:tcPr>
            <w:tcW w:w="1061"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度量单位</w:t>
            </w:r>
          </w:p>
        </w:tc>
        <w:tc>
          <w:tcPr>
            <w:tcW w:w="858"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权重</w:t>
            </w:r>
          </w:p>
        </w:tc>
        <w:tc>
          <w:tcPr>
            <w:tcW w:w="1921"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实际完成指标值</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vAlign w:val="center"/>
          </w:tcPr>
          <w:p>
            <w:pPr>
              <w:spacing w:line="300" w:lineRule="exact"/>
              <w:jc w:val="center"/>
              <w:rPr>
                <w:rFonts w:ascii="宋体" w:hAnsi="宋体" w:eastAsia="宋体" w:cs="宋体"/>
                <w:color w:val="000000"/>
                <w:sz w:val="24"/>
              </w:rPr>
            </w:pPr>
          </w:p>
        </w:tc>
        <w:tc>
          <w:tcPr>
            <w:tcW w:w="1081" w:type="dxa"/>
            <w:vMerge w:val="restart"/>
            <w:tcBorders>
              <w:left w:val="single" w:color="000000" w:sz="4" w:space="0"/>
              <w:right w:val="single" w:color="000000" w:sz="4" w:space="0"/>
            </w:tcBorders>
            <w:vAlign w:val="center"/>
          </w:tcPr>
          <w:p>
            <w:pPr>
              <w:spacing w:line="300" w:lineRule="exact"/>
              <w:jc w:val="center"/>
              <w:rPr>
                <w:rFonts w:ascii="宋体" w:hAnsi="宋体" w:eastAsia="宋体" w:cs="宋体"/>
                <w:color w:val="000000"/>
                <w:sz w:val="24"/>
              </w:rPr>
            </w:pPr>
            <w:r>
              <w:rPr>
                <w:rFonts w:hint="eastAsia" w:ascii="宋体" w:hAnsi="宋体" w:eastAsia="宋体" w:cs="宋体"/>
                <w:color w:val="000000"/>
                <w:sz w:val="24"/>
              </w:rPr>
              <w:t>产出</w:t>
            </w:r>
          </w:p>
          <w:p>
            <w:pPr>
              <w:spacing w:line="300" w:lineRule="exact"/>
              <w:jc w:val="center"/>
              <w:rPr>
                <w:rFonts w:ascii="宋体" w:hAnsi="宋体" w:eastAsia="宋体" w:cs="宋体"/>
                <w:color w:val="000000"/>
                <w:sz w:val="24"/>
              </w:rPr>
            </w:pPr>
            <w:r>
              <w:rPr>
                <w:rFonts w:hint="eastAsia" w:ascii="宋体" w:hAnsi="宋体" w:eastAsia="宋体" w:cs="宋体"/>
                <w:color w:val="000000"/>
                <w:sz w:val="24"/>
              </w:rPr>
              <w:t>指标</w:t>
            </w:r>
          </w:p>
        </w:tc>
        <w:tc>
          <w:tcPr>
            <w:tcW w:w="1250" w:type="dxa"/>
            <w:tcBorders>
              <w:left w:val="single" w:color="000000" w:sz="4" w:space="0"/>
              <w:bottom w:val="single" w:color="000000" w:sz="4" w:space="0"/>
              <w:right w:val="single" w:color="000000" w:sz="4" w:space="0"/>
            </w:tcBorders>
            <w:vAlign w:val="center"/>
          </w:tcPr>
          <w:p>
            <w:pPr>
              <w:widowControl/>
              <w:spacing w:line="30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质量指标</w:t>
            </w:r>
          </w:p>
        </w:tc>
        <w:tc>
          <w:tcPr>
            <w:tcW w:w="1312" w:type="dxa"/>
            <w:tcBorders>
              <w:top w:val="single" w:color="000000" w:sz="4" w:space="0"/>
              <w:left w:val="single" w:color="000000" w:sz="4" w:space="0"/>
              <w:bottom w:val="single" w:color="000000" w:sz="4" w:space="0"/>
              <w:right w:val="single" w:color="000000" w:sz="4" w:space="0"/>
            </w:tcBorders>
            <w:vAlign w:val="center"/>
          </w:tcPr>
          <w:p>
            <w:pPr>
              <w:spacing w:line="300" w:lineRule="exact"/>
              <w:rPr>
                <w:rFonts w:ascii="宋体" w:hAnsi="宋体" w:eastAsia="宋体" w:cs="宋体"/>
                <w:color w:val="000000"/>
                <w:sz w:val="24"/>
              </w:rPr>
            </w:pPr>
            <w:r>
              <w:rPr>
                <w:rFonts w:hint="eastAsia" w:ascii="宋体" w:hAnsi="宋体" w:eastAsia="宋体" w:cs="宋体"/>
                <w:color w:val="000000"/>
                <w:sz w:val="24"/>
              </w:rPr>
              <w:t>项目质量达标率</w:t>
            </w:r>
          </w:p>
        </w:tc>
        <w:tc>
          <w:tcPr>
            <w:tcW w:w="1127"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rFonts w:ascii="宋体" w:hAnsi="宋体" w:eastAsia="宋体" w:cs="宋体"/>
                <w:color w:val="000000"/>
                <w:sz w:val="24"/>
              </w:rPr>
            </w:pPr>
            <w:r>
              <w:rPr>
                <w:rFonts w:hint="eastAsia" w:ascii="宋体" w:hAnsi="宋体" w:eastAsia="宋体" w:cs="宋体"/>
                <w:color w:val="000000"/>
                <w:sz w:val="24"/>
              </w:rPr>
              <w:t>＝</w:t>
            </w:r>
          </w:p>
        </w:tc>
        <w:tc>
          <w:tcPr>
            <w:tcW w:w="971"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rFonts w:ascii="宋体" w:hAnsi="宋体" w:eastAsia="宋体" w:cs="宋体"/>
                <w:color w:val="000000"/>
                <w:sz w:val="24"/>
              </w:rPr>
            </w:pPr>
            <w:r>
              <w:rPr>
                <w:rFonts w:hint="eastAsia" w:ascii="宋体" w:hAnsi="宋体" w:eastAsia="宋体" w:cs="宋体"/>
                <w:color w:val="000000"/>
                <w:sz w:val="24"/>
              </w:rPr>
              <w:t>100</w:t>
            </w:r>
          </w:p>
        </w:tc>
        <w:tc>
          <w:tcPr>
            <w:tcW w:w="1061"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rFonts w:ascii="宋体" w:hAnsi="宋体" w:eastAsia="宋体" w:cs="宋体"/>
                <w:color w:val="000000"/>
                <w:sz w:val="24"/>
              </w:rPr>
            </w:pPr>
            <w:r>
              <w:rPr>
                <w:rFonts w:hint="eastAsia" w:ascii="宋体" w:hAnsi="宋体" w:eastAsia="宋体" w:cs="宋体"/>
                <w:color w:val="000000"/>
                <w:sz w:val="24"/>
              </w:rPr>
              <w:t>%</w:t>
            </w:r>
          </w:p>
        </w:tc>
        <w:tc>
          <w:tcPr>
            <w:tcW w:w="858"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rFonts w:ascii="宋体" w:hAnsi="宋体" w:eastAsia="宋体" w:cs="宋体"/>
                <w:color w:val="000000"/>
                <w:sz w:val="24"/>
              </w:rPr>
            </w:pPr>
            <w:r>
              <w:rPr>
                <w:rFonts w:hint="eastAsia" w:ascii="宋体" w:hAnsi="宋体" w:eastAsia="宋体" w:cs="宋体"/>
                <w:color w:val="000000"/>
                <w:sz w:val="24"/>
              </w:rPr>
              <w:t>30</w:t>
            </w:r>
          </w:p>
        </w:tc>
        <w:tc>
          <w:tcPr>
            <w:tcW w:w="1921"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rFonts w:ascii="宋体" w:hAnsi="宋体" w:eastAsia="宋体" w:cs="宋体"/>
                <w:color w:val="000000"/>
                <w:sz w:val="24"/>
              </w:rPr>
            </w:pPr>
            <w:r>
              <w:rPr>
                <w:rFonts w:hint="eastAsia" w:ascii="宋体" w:hAnsi="宋体" w:eastAsia="宋体" w:cs="宋体"/>
                <w:color w:val="000000"/>
                <w:sz w:val="24"/>
              </w:rPr>
              <w:t>100</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vAlign w:val="center"/>
          </w:tcPr>
          <w:p>
            <w:pPr>
              <w:spacing w:line="300" w:lineRule="exact"/>
              <w:jc w:val="center"/>
              <w:rPr>
                <w:rFonts w:ascii="宋体" w:hAnsi="宋体" w:eastAsia="宋体" w:cs="宋体"/>
                <w:color w:val="000000"/>
                <w:sz w:val="24"/>
              </w:rPr>
            </w:pPr>
          </w:p>
        </w:tc>
        <w:tc>
          <w:tcPr>
            <w:tcW w:w="1081" w:type="dxa"/>
            <w:vMerge w:val="continue"/>
            <w:tcBorders>
              <w:left w:val="single" w:color="000000" w:sz="4" w:space="0"/>
              <w:bottom w:val="single" w:color="000000" w:sz="4" w:space="0"/>
              <w:right w:val="single" w:color="000000" w:sz="4" w:space="0"/>
            </w:tcBorders>
            <w:vAlign w:val="center"/>
          </w:tcPr>
          <w:p>
            <w:pPr>
              <w:spacing w:line="300" w:lineRule="exact"/>
              <w:jc w:val="center"/>
              <w:rPr>
                <w:rFonts w:ascii="宋体" w:hAnsi="宋体" w:eastAsia="宋体" w:cs="宋体"/>
                <w:color w:val="000000"/>
                <w:sz w:val="24"/>
              </w:rPr>
            </w:pPr>
          </w:p>
        </w:tc>
        <w:tc>
          <w:tcPr>
            <w:tcW w:w="1250"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时效指标</w:t>
            </w:r>
          </w:p>
        </w:tc>
        <w:tc>
          <w:tcPr>
            <w:tcW w:w="1312" w:type="dxa"/>
            <w:tcBorders>
              <w:top w:val="single" w:color="000000" w:sz="4" w:space="0"/>
              <w:left w:val="single" w:color="000000" w:sz="4" w:space="0"/>
              <w:bottom w:val="single" w:color="000000" w:sz="4" w:space="0"/>
              <w:right w:val="single" w:color="000000" w:sz="4" w:space="0"/>
            </w:tcBorders>
            <w:vAlign w:val="center"/>
          </w:tcPr>
          <w:p>
            <w:pPr>
              <w:spacing w:line="300" w:lineRule="exact"/>
              <w:rPr>
                <w:rFonts w:ascii="宋体" w:hAnsi="宋体" w:eastAsia="宋体" w:cs="宋体"/>
                <w:color w:val="000000"/>
                <w:sz w:val="24"/>
              </w:rPr>
            </w:pPr>
            <w:r>
              <w:rPr>
                <w:rFonts w:hint="eastAsia" w:ascii="宋体" w:hAnsi="宋体" w:eastAsia="宋体" w:cs="宋体"/>
                <w:color w:val="000000"/>
                <w:kern w:val="0"/>
                <w:sz w:val="24"/>
              </w:rPr>
              <w:t>完成时限</w:t>
            </w:r>
          </w:p>
        </w:tc>
        <w:tc>
          <w:tcPr>
            <w:tcW w:w="1127"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宋体" w:hAnsi="宋体" w:eastAsia="宋体" w:cs="宋体"/>
                <w:color w:val="000000"/>
                <w:sz w:val="18"/>
                <w:szCs w:val="18"/>
              </w:rPr>
            </w:pPr>
            <w:r>
              <w:rPr>
                <w:rFonts w:ascii="宋体" w:hAnsi="宋体" w:eastAsia="宋体" w:cs="宋体"/>
                <w:color w:val="000000"/>
                <w:kern w:val="0"/>
                <w:sz w:val="18"/>
                <w:szCs w:val="18"/>
              </w:rPr>
              <w:t>≤</w:t>
            </w:r>
          </w:p>
        </w:tc>
        <w:tc>
          <w:tcPr>
            <w:tcW w:w="971"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rFonts w:ascii="宋体" w:hAnsi="宋体" w:eastAsia="宋体" w:cs="宋体"/>
                <w:color w:val="000000"/>
                <w:sz w:val="24"/>
              </w:rPr>
            </w:pPr>
            <w:r>
              <w:rPr>
                <w:rFonts w:hint="eastAsia" w:ascii="宋体" w:hAnsi="宋体" w:eastAsia="宋体" w:cs="宋体"/>
                <w:color w:val="000000"/>
                <w:sz w:val="24"/>
              </w:rPr>
              <w:t>12</w:t>
            </w:r>
          </w:p>
        </w:tc>
        <w:tc>
          <w:tcPr>
            <w:tcW w:w="1061"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rFonts w:ascii="宋体" w:hAnsi="宋体" w:eastAsia="宋体" w:cs="宋体"/>
                <w:color w:val="000000"/>
                <w:sz w:val="24"/>
              </w:rPr>
            </w:pPr>
            <w:r>
              <w:rPr>
                <w:rFonts w:hint="eastAsia" w:ascii="宋体" w:hAnsi="宋体" w:eastAsia="宋体" w:cs="宋体"/>
                <w:color w:val="000000"/>
                <w:sz w:val="24"/>
              </w:rPr>
              <w:t>月</w:t>
            </w:r>
          </w:p>
        </w:tc>
        <w:tc>
          <w:tcPr>
            <w:tcW w:w="858"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rFonts w:ascii="宋体" w:hAnsi="宋体" w:eastAsia="宋体" w:cs="宋体"/>
                <w:color w:val="000000"/>
                <w:sz w:val="24"/>
              </w:rPr>
            </w:pPr>
            <w:r>
              <w:rPr>
                <w:rFonts w:hint="eastAsia" w:ascii="宋体" w:hAnsi="宋体" w:eastAsia="宋体" w:cs="宋体"/>
                <w:color w:val="000000"/>
                <w:sz w:val="24"/>
              </w:rPr>
              <w:t>30</w:t>
            </w:r>
          </w:p>
        </w:tc>
        <w:tc>
          <w:tcPr>
            <w:tcW w:w="1921"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rFonts w:ascii="宋体" w:hAnsi="宋体" w:eastAsia="宋体" w:cs="宋体"/>
                <w:color w:val="000000"/>
                <w:sz w:val="24"/>
              </w:rPr>
            </w:pPr>
            <w:r>
              <w:rPr>
                <w:rFonts w:hint="eastAsia" w:ascii="宋体" w:hAnsi="宋体" w:eastAsia="宋体" w:cs="宋体"/>
                <w:color w:val="000000"/>
                <w:sz w:val="24"/>
              </w:rPr>
              <w:t>12</w:t>
            </w:r>
          </w:p>
        </w:tc>
      </w:tr>
      <w:tr>
        <w:tblPrEx>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vAlign w:val="center"/>
          </w:tcPr>
          <w:p>
            <w:pPr>
              <w:spacing w:line="300" w:lineRule="exact"/>
              <w:jc w:val="center"/>
              <w:rPr>
                <w:rFonts w:ascii="宋体" w:hAnsi="宋体" w:eastAsia="宋体" w:cs="宋体"/>
                <w:color w:val="000000"/>
                <w:sz w:val="24"/>
              </w:rPr>
            </w:pPr>
          </w:p>
        </w:tc>
        <w:tc>
          <w:tcPr>
            <w:tcW w:w="1081" w:type="dxa"/>
            <w:tcBorders>
              <w:top w:val="single" w:color="000000" w:sz="4" w:space="0"/>
              <w:left w:val="single" w:color="000000" w:sz="4" w:space="0"/>
              <w:right w:val="single" w:color="000000" w:sz="4" w:space="0"/>
            </w:tcBorders>
            <w:vAlign w:val="center"/>
          </w:tcPr>
          <w:p>
            <w:pPr>
              <w:widowControl/>
              <w:spacing w:line="30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效益指标</w:t>
            </w:r>
          </w:p>
        </w:tc>
        <w:tc>
          <w:tcPr>
            <w:tcW w:w="1250" w:type="dxa"/>
            <w:tcBorders>
              <w:top w:val="single" w:color="000000" w:sz="4" w:space="0"/>
              <w:left w:val="single" w:color="000000" w:sz="4" w:space="0"/>
              <w:bottom w:val="single" w:color="000000" w:sz="4" w:space="0"/>
              <w:right w:val="single" w:color="000000" w:sz="4" w:space="0"/>
            </w:tcBorders>
            <w:vAlign w:val="center"/>
          </w:tcPr>
          <w:p>
            <w:pPr>
              <w:widowControl/>
              <w:spacing w:line="30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经济效益</w:t>
            </w:r>
          </w:p>
          <w:p>
            <w:pPr>
              <w:widowControl/>
              <w:spacing w:line="30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指标</w:t>
            </w:r>
          </w:p>
        </w:tc>
        <w:tc>
          <w:tcPr>
            <w:tcW w:w="1312" w:type="dxa"/>
            <w:tcBorders>
              <w:top w:val="single" w:color="000000" w:sz="4" w:space="0"/>
              <w:left w:val="single" w:color="000000" w:sz="4" w:space="0"/>
              <w:bottom w:val="single" w:color="000000" w:sz="4" w:space="0"/>
              <w:right w:val="single" w:color="000000" w:sz="4" w:space="0"/>
            </w:tcBorders>
            <w:vAlign w:val="center"/>
          </w:tcPr>
          <w:p>
            <w:pPr>
              <w:spacing w:line="300" w:lineRule="exact"/>
              <w:rPr>
                <w:rFonts w:ascii="宋体" w:hAnsi="宋体" w:eastAsia="宋体" w:cs="宋体"/>
                <w:color w:val="000000"/>
                <w:sz w:val="24"/>
              </w:rPr>
            </w:pPr>
            <w:r>
              <w:rPr>
                <w:rFonts w:hint="eastAsia" w:ascii="宋体" w:hAnsi="宋体" w:eastAsia="宋体" w:cs="宋体"/>
                <w:color w:val="000000"/>
                <w:sz w:val="24"/>
              </w:rPr>
              <w:t>为当地农民增收创造条件，使一大批农民脱贫致富，国家增加财政税收。</w:t>
            </w:r>
          </w:p>
        </w:tc>
        <w:tc>
          <w:tcPr>
            <w:tcW w:w="1127"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rFonts w:ascii="宋体" w:hAnsi="宋体" w:eastAsia="宋体" w:cs="宋体"/>
                <w:color w:val="000000"/>
                <w:sz w:val="24"/>
              </w:rPr>
            </w:pPr>
            <w:r>
              <w:rPr>
                <w:rFonts w:hint="eastAsia" w:ascii="宋体" w:hAnsi="宋体" w:eastAsia="宋体" w:cs="宋体"/>
                <w:color w:val="000000"/>
                <w:sz w:val="24"/>
              </w:rPr>
              <w:t>≥</w:t>
            </w:r>
          </w:p>
        </w:tc>
        <w:tc>
          <w:tcPr>
            <w:tcW w:w="971"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rFonts w:ascii="宋体" w:hAnsi="宋体" w:eastAsia="宋体" w:cs="宋体"/>
                <w:color w:val="000000"/>
                <w:sz w:val="24"/>
              </w:rPr>
            </w:pPr>
            <w:r>
              <w:rPr>
                <w:rFonts w:hint="eastAsia" w:ascii="宋体" w:hAnsi="宋体" w:eastAsia="宋体" w:cs="宋体"/>
                <w:color w:val="000000"/>
                <w:sz w:val="24"/>
              </w:rPr>
              <w:t>98</w:t>
            </w:r>
          </w:p>
        </w:tc>
        <w:tc>
          <w:tcPr>
            <w:tcW w:w="1061"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rFonts w:ascii="宋体" w:hAnsi="宋体" w:eastAsia="宋体" w:cs="宋体"/>
                <w:color w:val="000000"/>
                <w:sz w:val="24"/>
              </w:rPr>
            </w:pPr>
            <w:r>
              <w:rPr>
                <w:rFonts w:hint="eastAsia" w:ascii="宋体" w:hAnsi="宋体" w:eastAsia="宋体" w:cs="宋体"/>
                <w:color w:val="000000"/>
                <w:sz w:val="24"/>
              </w:rPr>
              <w:t>%</w:t>
            </w:r>
          </w:p>
        </w:tc>
        <w:tc>
          <w:tcPr>
            <w:tcW w:w="858"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rFonts w:ascii="宋体" w:hAnsi="宋体" w:eastAsia="宋体" w:cs="宋体"/>
                <w:color w:val="000000"/>
                <w:sz w:val="24"/>
              </w:rPr>
            </w:pPr>
            <w:r>
              <w:rPr>
                <w:rFonts w:hint="eastAsia" w:ascii="宋体" w:hAnsi="宋体" w:eastAsia="宋体" w:cs="宋体"/>
                <w:color w:val="000000"/>
                <w:sz w:val="24"/>
              </w:rPr>
              <w:t>20</w:t>
            </w:r>
          </w:p>
        </w:tc>
        <w:tc>
          <w:tcPr>
            <w:tcW w:w="1921"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rFonts w:ascii="宋体" w:hAnsi="宋体" w:eastAsia="宋体" w:cs="宋体"/>
                <w:color w:val="000000"/>
                <w:sz w:val="24"/>
              </w:rPr>
            </w:pPr>
            <w:r>
              <w:rPr>
                <w:rFonts w:hint="eastAsia" w:ascii="宋体" w:hAnsi="宋体" w:eastAsia="宋体" w:cs="宋体"/>
                <w:color w:val="000000"/>
                <w:sz w:val="24"/>
              </w:rPr>
              <w:t>98</w:t>
            </w:r>
          </w:p>
        </w:tc>
      </w:tr>
      <w:tr>
        <w:tblPrEx>
          <w:tblCellMar>
            <w:top w:w="15" w:type="dxa"/>
            <w:left w:w="15" w:type="dxa"/>
            <w:bottom w:w="15" w:type="dxa"/>
            <w:right w:w="15" w:type="dxa"/>
          </w:tblCellMar>
        </w:tblPrEx>
        <w:trPr>
          <w:trHeight w:val="1158" w:hRule="atLeast"/>
          <w:jc w:val="center"/>
        </w:trPr>
        <w:tc>
          <w:tcPr>
            <w:tcW w:w="652" w:type="dxa"/>
            <w:vMerge w:val="continue"/>
            <w:tcBorders>
              <w:top w:val="single" w:color="000000" w:sz="4" w:space="0"/>
              <w:left w:val="single" w:color="000000" w:sz="4" w:space="0"/>
              <w:bottom w:val="single" w:color="000000" w:sz="4" w:space="0"/>
            </w:tcBorders>
            <w:vAlign w:val="center"/>
          </w:tcPr>
          <w:p>
            <w:pPr>
              <w:spacing w:line="300" w:lineRule="exact"/>
              <w:jc w:val="center"/>
              <w:rPr>
                <w:rFonts w:ascii="宋体" w:hAnsi="宋体" w:eastAsia="宋体" w:cs="宋体"/>
                <w:color w:val="000000"/>
                <w:sz w:val="24"/>
              </w:rPr>
            </w:pPr>
          </w:p>
        </w:tc>
        <w:tc>
          <w:tcPr>
            <w:tcW w:w="1081" w:type="dxa"/>
            <w:tcBorders>
              <w:top w:val="single" w:color="000000" w:sz="4" w:space="0"/>
              <w:left w:val="single" w:color="000000" w:sz="4" w:space="0"/>
              <w:right w:val="single" w:color="000000" w:sz="4" w:space="0"/>
            </w:tcBorders>
            <w:vAlign w:val="center"/>
          </w:tcPr>
          <w:p>
            <w:pPr>
              <w:widowControl/>
              <w:spacing w:line="30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满意度</w:t>
            </w:r>
          </w:p>
          <w:p>
            <w:pPr>
              <w:widowControl/>
              <w:spacing w:line="30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指标</w:t>
            </w:r>
          </w:p>
        </w:tc>
        <w:tc>
          <w:tcPr>
            <w:tcW w:w="1250" w:type="dxa"/>
            <w:tcBorders>
              <w:top w:val="single" w:color="000000" w:sz="4" w:space="0"/>
              <w:left w:val="single" w:color="000000" w:sz="4" w:space="0"/>
              <w:right w:val="single" w:color="000000" w:sz="4" w:space="0"/>
            </w:tcBorders>
            <w:vAlign w:val="center"/>
          </w:tcPr>
          <w:p>
            <w:pPr>
              <w:widowControl/>
              <w:spacing w:line="300" w:lineRule="exact"/>
              <w:jc w:val="center"/>
              <w:textAlignment w:val="center"/>
              <w:rPr>
                <w:rFonts w:ascii="宋体" w:hAnsi="宋体" w:eastAsia="宋体" w:cs="宋体"/>
                <w:color w:val="000000"/>
                <w:kern w:val="0"/>
                <w:sz w:val="24"/>
              </w:rPr>
            </w:pPr>
          </w:p>
          <w:p>
            <w:pPr>
              <w:widowControl/>
              <w:spacing w:line="30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满意度指标</w:t>
            </w:r>
          </w:p>
        </w:tc>
        <w:tc>
          <w:tcPr>
            <w:tcW w:w="1312" w:type="dxa"/>
            <w:tcBorders>
              <w:top w:val="single" w:color="000000" w:sz="4" w:space="0"/>
              <w:left w:val="single" w:color="000000" w:sz="4" w:space="0"/>
              <w:bottom w:val="single" w:color="000000" w:sz="4" w:space="0"/>
              <w:right w:val="single" w:color="000000" w:sz="4" w:space="0"/>
            </w:tcBorders>
            <w:vAlign w:val="center"/>
          </w:tcPr>
          <w:p>
            <w:pPr>
              <w:spacing w:line="300" w:lineRule="exact"/>
              <w:rPr>
                <w:rFonts w:ascii="宋体" w:hAnsi="宋体" w:eastAsia="宋体" w:cs="宋体"/>
                <w:color w:val="000000"/>
                <w:sz w:val="24"/>
              </w:rPr>
            </w:pPr>
            <w:r>
              <w:rPr>
                <w:rFonts w:hint="eastAsia" w:ascii="宋体" w:hAnsi="宋体" w:eastAsia="宋体" w:cs="宋体"/>
                <w:color w:val="000000"/>
                <w:sz w:val="24"/>
              </w:rPr>
              <w:t>提升产业园区配套，补助区域发展短板有助于项目区域产业园健康发展，持续巩固脱贫成果。提升村民幸福感</w:t>
            </w:r>
          </w:p>
        </w:tc>
        <w:tc>
          <w:tcPr>
            <w:tcW w:w="1127"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rFonts w:ascii="宋体" w:hAnsi="宋体" w:eastAsia="宋体" w:cs="宋体"/>
                <w:color w:val="000000"/>
                <w:sz w:val="24"/>
              </w:rPr>
            </w:pPr>
            <w:r>
              <w:rPr>
                <w:rFonts w:hint="eastAsia" w:ascii="宋体" w:hAnsi="宋体" w:eastAsia="宋体" w:cs="宋体"/>
                <w:color w:val="000000"/>
                <w:sz w:val="24"/>
              </w:rPr>
              <w:t>≥</w:t>
            </w:r>
          </w:p>
        </w:tc>
        <w:tc>
          <w:tcPr>
            <w:tcW w:w="971"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rFonts w:ascii="宋体" w:hAnsi="宋体" w:eastAsia="宋体" w:cs="宋体"/>
                <w:color w:val="000000"/>
                <w:sz w:val="24"/>
              </w:rPr>
            </w:pPr>
            <w:r>
              <w:rPr>
                <w:rFonts w:hint="eastAsia" w:ascii="宋体" w:hAnsi="宋体" w:eastAsia="宋体" w:cs="宋体"/>
                <w:color w:val="000000"/>
                <w:sz w:val="24"/>
              </w:rPr>
              <w:t>95</w:t>
            </w:r>
          </w:p>
        </w:tc>
        <w:tc>
          <w:tcPr>
            <w:tcW w:w="1061"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rFonts w:ascii="宋体" w:hAnsi="宋体" w:eastAsia="宋体" w:cs="宋体"/>
                <w:color w:val="000000"/>
                <w:sz w:val="24"/>
              </w:rPr>
            </w:pPr>
            <w:r>
              <w:rPr>
                <w:rFonts w:hint="eastAsia" w:ascii="宋体" w:hAnsi="宋体" w:eastAsia="宋体" w:cs="宋体"/>
                <w:color w:val="000000"/>
                <w:sz w:val="24"/>
              </w:rPr>
              <w:t>%</w:t>
            </w:r>
          </w:p>
        </w:tc>
        <w:tc>
          <w:tcPr>
            <w:tcW w:w="858"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rFonts w:ascii="宋体" w:hAnsi="宋体" w:eastAsia="宋体" w:cs="宋体"/>
                <w:color w:val="000000"/>
                <w:sz w:val="24"/>
              </w:rPr>
            </w:pPr>
            <w:r>
              <w:rPr>
                <w:rFonts w:hint="eastAsia" w:ascii="宋体" w:hAnsi="宋体" w:eastAsia="宋体" w:cs="宋体"/>
                <w:color w:val="000000"/>
                <w:sz w:val="24"/>
              </w:rPr>
              <w:t>10</w:t>
            </w:r>
          </w:p>
        </w:tc>
        <w:tc>
          <w:tcPr>
            <w:tcW w:w="1921" w:type="dxa"/>
            <w:tcBorders>
              <w:top w:val="single" w:color="000000" w:sz="4" w:space="0"/>
              <w:left w:val="single" w:color="000000" w:sz="4" w:space="0"/>
              <w:bottom w:val="single" w:color="000000" w:sz="4" w:space="0"/>
              <w:right w:val="single" w:color="000000" w:sz="4" w:space="0"/>
            </w:tcBorders>
            <w:vAlign w:val="center"/>
          </w:tcPr>
          <w:p>
            <w:pPr>
              <w:spacing w:line="300" w:lineRule="exact"/>
              <w:jc w:val="center"/>
              <w:rPr>
                <w:rFonts w:ascii="宋体" w:hAnsi="宋体" w:eastAsia="宋体" w:cs="宋体"/>
                <w:color w:val="000000"/>
                <w:sz w:val="24"/>
              </w:rPr>
            </w:pPr>
            <w:r>
              <w:rPr>
                <w:rFonts w:hint="eastAsia" w:ascii="宋体" w:hAnsi="宋体" w:eastAsia="宋体" w:cs="宋体"/>
                <w:color w:val="000000"/>
                <w:sz w:val="24"/>
              </w:rPr>
              <w:t>95</w:t>
            </w:r>
          </w:p>
        </w:tc>
      </w:tr>
    </w:tbl>
    <w:p>
      <w:pPr>
        <w:rPr>
          <w:rFonts w:ascii="Times New Roman" w:hAnsi="Times New Roman" w:eastAsia="仿宋_GB2312" w:cs="Times New Roman"/>
          <w:sz w:val="32"/>
          <w:szCs w:val="32"/>
        </w:rPr>
      </w:pPr>
    </w:p>
    <w:sectPr>
      <w:headerReference r:id="rId3" w:type="default"/>
      <w:footerReference r:id="rId4" w:type="default"/>
      <w:pgSz w:w="11906" w:h="16838"/>
      <w:pgMar w:top="2098" w:right="1474" w:bottom="1984" w:left="1587" w:header="851" w:footer="992" w:gutter="0"/>
      <w:pgNumType w:fmt="numberInDash" w:start="1"/>
      <w:cols w:space="0" w:num="1"/>
      <w:docGrid w:type="linesAndChars" w:linePitch="289" w:charSpace="-183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_GBK">
    <w:panose1 w:val="02000000000000000000"/>
    <w:charset w:val="86"/>
    <w:family w:val="script"/>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小标宋简体">
    <w:altName w:val="方正小标宋_GBK"/>
    <w:panose1 w:val="00000000000000000000"/>
    <w:charset w:val="86"/>
    <w:family w:val="auto"/>
    <w:pitch w:val="default"/>
    <w:sig w:usb0="00000000" w:usb1="00000000" w:usb2="00000000" w:usb3="00000000" w:csb0="00000000" w:csb1="00000000"/>
  </w:font>
  <w:font w:name="楷体">
    <w:altName w:val="方正楷体_GBK"/>
    <w:panose1 w:val="02010609060101010101"/>
    <w:charset w:val="86"/>
    <w:family w:val="modern"/>
    <w:pitch w:val="default"/>
    <w:sig w:usb0="00000000" w:usb1="00000000" w:usb2="00000016"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Wingdings 2">
    <w:panose1 w:val="05020102010507070707"/>
    <w:charset w:val="02"/>
    <w:family w:val="roman"/>
    <w:pitch w:val="default"/>
    <w:sig w:usb0="00000000" w:usb1="00000000" w:usb2="00000000" w:usb3="00000000" w:csb0="80000000"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pict>
        <v:shape id="_x0000_s2049" o:spid="_x0000_s2049"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JvSDC8VAgAAEwQAAA4AAAAAAAAA&#10;AQAgAAAAHwEAAGRycy9lMm9Eb2MueG1sUEsFBgAAAAAGAAYAWQEAAKYFAAAAAA==&#10;">
          <v:path/>
          <v:fill on="f" focussize="0,0"/>
          <v:stroke on="f" weight="0.5pt" joinstyle="miter"/>
          <v:imagedata o:title=""/>
          <o:lock v:ext="edit"/>
          <v:textbox inset="0mm,0mm,0mm,0mm" style="mso-fit-shape-to-text:t;">
            <w:txbxContent>
              <w:p>
                <w:pPr>
                  <w:pStyle w:val="2"/>
                  <w:rPr>
                    <w:rFonts w:ascii="仿宋_GB2312" w:hAnsi="仿宋_GB2312" w:eastAsia="仿宋_GB2312" w:cs="仿宋_GB2312"/>
                    <w:sz w:val="28"/>
                    <w:szCs w:val="28"/>
                  </w:rPr>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ascii="仿宋_GB2312" w:hAnsi="仿宋_GB2312" w:eastAsia="仿宋_GB2312" w:cs="仿宋_GB2312"/>
                    <w:sz w:val="28"/>
                    <w:szCs w:val="28"/>
                  </w:rPr>
                  <w:t>- 15 -</w:t>
                </w:r>
                <w:r>
                  <w:rPr>
                    <w:rFonts w:hint="eastAsia" w:ascii="仿宋_GB2312" w:hAnsi="仿宋_GB2312" w:eastAsia="仿宋_GB2312" w:cs="仿宋_GB2312"/>
                    <w:sz w:val="28"/>
                    <w:szCs w:val="28"/>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3D3656"/>
    <w:multiLevelType w:val="singleLevel"/>
    <w:tmpl w:val="873D3656"/>
    <w:lvl w:ilvl="0" w:tentative="0">
      <w:start w:val="1"/>
      <w:numFmt w:val="chineseCounting"/>
      <w:suff w:val="nothing"/>
      <w:lvlText w:val="%1、"/>
      <w:lvlJc w:val="left"/>
      <w:rPr>
        <w:rFonts w:hint="eastAsia"/>
      </w:rPr>
    </w:lvl>
  </w:abstractNum>
  <w:abstractNum w:abstractNumId="1">
    <w:nsid w:val="E2F8D747"/>
    <w:multiLevelType w:val="singleLevel"/>
    <w:tmpl w:val="E2F8D747"/>
    <w:lvl w:ilvl="0" w:tentative="0">
      <w:start w:val="1"/>
      <w:numFmt w:val="chineseCounting"/>
      <w:suff w:val="nothing"/>
      <w:lvlText w:val="（%1）"/>
      <w:lvlJc w:val="left"/>
      <w:rPr>
        <w:rFonts w:hint="eastAsia"/>
      </w:rPr>
    </w:lvl>
  </w:abstractNum>
  <w:abstractNum w:abstractNumId="2">
    <w:nsid w:val="EDE6F930"/>
    <w:multiLevelType w:val="singleLevel"/>
    <w:tmpl w:val="EDE6F930"/>
    <w:lvl w:ilvl="0" w:tentative="0">
      <w:start w:val="2"/>
      <w:numFmt w:val="decimal"/>
      <w:lvlText w:val="%1."/>
      <w:lvlJc w:val="left"/>
      <w:pPr>
        <w:tabs>
          <w:tab w:val="left" w:pos="312"/>
        </w:tabs>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HorizontalSpacing w:val="101"/>
  <w:drawingGridVerticalSpacing w:val="144"/>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ZWVhYzZhOWZkMzcxMDAyOTE4NjhmYWNlOTM1MGFkMTcifQ=="/>
  </w:docVars>
  <w:rsids>
    <w:rsidRoot w:val="002C3A3C"/>
    <w:rsid w:val="00067F44"/>
    <w:rsid w:val="00081F84"/>
    <w:rsid w:val="001D4D5D"/>
    <w:rsid w:val="002C3A3C"/>
    <w:rsid w:val="003F5915"/>
    <w:rsid w:val="00425047"/>
    <w:rsid w:val="00465501"/>
    <w:rsid w:val="004C263A"/>
    <w:rsid w:val="006E6B77"/>
    <w:rsid w:val="00735E28"/>
    <w:rsid w:val="00745236"/>
    <w:rsid w:val="007966E3"/>
    <w:rsid w:val="008D5088"/>
    <w:rsid w:val="0090032B"/>
    <w:rsid w:val="009B4FA2"/>
    <w:rsid w:val="00AF2BF5"/>
    <w:rsid w:val="00C861D7"/>
    <w:rsid w:val="00CA60CA"/>
    <w:rsid w:val="00D57106"/>
    <w:rsid w:val="00DD6FB4"/>
    <w:rsid w:val="00DE3ACB"/>
    <w:rsid w:val="00E22BE0"/>
    <w:rsid w:val="00FC7B08"/>
    <w:rsid w:val="016A4507"/>
    <w:rsid w:val="02A661AB"/>
    <w:rsid w:val="03CA2AD2"/>
    <w:rsid w:val="041B757A"/>
    <w:rsid w:val="045F2785"/>
    <w:rsid w:val="06091C50"/>
    <w:rsid w:val="07375BAD"/>
    <w:rsid w:val="09F52F79"/>
    <w:rsid w:val="0B322536"/>
    <w:rsid w:val="0B82757F"/>
    <w:rsid w:val="0C343C96"/>
    <w:rsid w:val="0CE056AD"/>
    <w:rsid w:val="0D187019"/>
    <w:rsid w:val="0DE708FE"/>
    <w:rsid w:val="0E1A1C15"/>
    <w:rsid w:val="0EC26852"/>
    <w:rsid w:val="0F0C769B"/>
    <w:rsid w:val="0FAA79C0"/>
    <w:rsid w:val="101C2E7A"/>
    <w:rsid w:val="104E5CA1"/>
    <w:rsid w:val="10EF56BC"/>
    <w:rsid w:val="1125116C"/>
    <w:rsid w:val="15300D39"/>
    <w:rsid w:val="15990CAC"/>
    <w:rsid w:val="15FD3616"/>
    <w:rsid w:val="17253C74"/>
    <w:rsid w:val="182203F7"/>
    <w:rsid w:val="19262884"/>
    <w:rsid w:val="19EA1601"/>
    <w:rsid w:val="1A950EB5"/>
    <w:rsid w:val="1B3D035A"/>
    <w:rsid w:val="1BA94E4D"/>
    <w:rsid w:val="1BC83D47"/>
    <w:rsid w:val="1C0E621E"/>
    <w:rsid w:val="1C8D282E"/>
    <w:rsid w:val="1E0A4DD5"/>
    <w:rsid w:val="1E37428D"/>
    <w:rsid w:val="1F0A656E"/>
    <w:rsid w:val="1FC263E0"/>
    <w:rsid w:val="2081315A"/>
    <w:rsid w:val="227C640C"/>
    <w:rsid w:val="23AD3EFF"/>
    <w:rsid w:val="245A3099"/>
    <w:rsid w:val="275F3C97"/>
    <w:rsid w:val="27C6290A"/>
    <w:rsid w:val="295247BA"/>
    <w:rsid w:val="29935198"/>
    <w:rsid w:val="299917C2"/>
    <w:rsid w:val="2A74521B"/>
    <w:rsid w:val="2A7A13A5"/>
    <w:rsid w:val="2AA57F0A"/>
    <w:rsid w:val="2AF368C4"/>
    <w:rsid w:val="2CCB2770"/>
    <w:rsid w:val="2D341BF8"/>
    <w:rsid w:val="2E0C7C15"/>
    <w:rsid w:val="2EBA2A9C"/>
    <w:rsid w:val="2F6C2559"/>
    <w:rsid w:val="2F803BF7"/>
    <w:rsid w:val="31F31648"/>
    <w:rsid w:val="326A44DE"/>
    <w:rsid w:val="326B74D5"/>
    <w:rsid w:val="327F3C78"/>
    <w:rsid w:val="33413D18"/>
    <w:rsid w:val="361F62AC"/>
    <w:rsid w:val="38027305"/>
    <w:rsid w:val="3A8B1791"/>
    <w:rsid w:val="3AF9684B"/>
    <w:rsid w:val="3BC73FED"/>
    <w:rsid w:val="3CEE6046"/>
    <w:rsid w:val="3D093C3D"/>
    <w:rsid w:val="3D4A45CC"/>
    <w:rsid w:val="3DBA6615"/>
    <w:rsid w:val="3DD6679B"/>
    <w:rsid w:val="3DFB59A1"/>
    <w:rsid w:val="3E0203F7"/>
    <w:rsid w:val="413035A5"/>
    <w:rsid w:val="41986C6D"/>
    <w:rsid w:val="442768AF"/>
    <w:rsid w:val="458D22A4"/>
    <w:rsid w:val="460438C3"/>
    <w:rsid w:val="460743C1"/>
    <w:rsid w:val="46465302"/>
    <w:rsid w:val="47433BED"/>
    <w:rsid w:val="482B0E2E"/>
    <w:rsid w:val="48442B31"/>
    <w:rsid w:val="491E6785"/>
    <w:rsid w:val="49303C2F"/>
    <w:rsid w:val="493C1665"/>
    <w:rsid w:val="49971FEA"/>
    <w:rsid w:val="4A0704C0"/>
    <w:rsid w:val="4DA7325B"/>
    <w:rsid w:val="4E5308F2"/>
    <w:rsid w:val="4E541876"/>
    <w:rsid w:val="4EDB378F"/>
    <w:rsid w:val="4FA31C2C"/>
    <w:rsid w:val="4FD60CE5"/>
    <w:rsid w:val="514534B9"/>
    <w:rsid w:val="51D64290"/>
    <w:rsid w:val="539F549B"/>
    <w:rsid w:val="53EA035F"/>
    <w:rsid w:val="53F817ED"/>
    <w:rsid w:val="548E3029"/>
    <w:rsid w:val="56FE2CAA"/>
    <w:rsid w:val="57FE057B"/>
    <w:rsid w:val="59BC79EA"/>
    <w:rsid w:val="5A92160A"/>
    <w:rsid w:val="5C930A0A"/>
    <w:rsid w:val="5CB03F37"/>
    <w:rsid w:val="5D670B7A"/>
    <w:rsid w:val="5DAD6FAF"/>
    <w:rsid w:val="5F227DFF"/>
    <w:rsid w:val="603D630E"/>
    <w:rsid w:val="61B65CD8"/>
    <w:rsid w:val="641C3BC5"/>
    <w:rsid w:val="66FA3D5D"/>
    <w:rsid w:val="672F439A"/>
    <w:rsid w:val="67505C5F"/>
    <w:rsid w:val="67D60DDC"/>
    <w:rsid w:val="68E17DE6"/>
    <w:rsid w:val="6A4173C3"/>
    <w:rsid w:val="6B805A63"/>
    <w:rsid w:val="6D026D1C"/>
    <w:rsid w:val="6DFF06D5"/>
    <w:rsid w:val="6E493F8C"/>
    <w:rsid w:val="6E8B1920"/>
    <w:rsid w:val="6EAC06E5"/>
    <w:rsid w:val="6EB93713"/>
    <w:rsid w:val="73A03A5A"/>
    <w:rsid w:val="73E83AC8"/>
    <w:rsid w:val="76056513"/>
    <w:rsid w:val="796C5F86"/>
    <w:rsid w:val="7B7F36B7"/>
    <w:rsid w:val="7C6B5AB5"/>
    <w:rsid w:val="7DFF0A6A"/>
    <w:rsid w:val="7E9E2B34"/>
    <w:rsid w:val="7EBE138E"/>
    <w:rsid w:val="7F854DD2"/>
    <w:rsid w:val="9FAF6163"/>
    <w:rsid w:val="F7FADC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3">
    <w:name w:val="Body Text"/>
    <w:basedOn w:val="1"/>
    <w:next w:val="1"/>
    <w:qFormat/>
    <w:uiPriority w:val="0"/>
    <w:rPr>
      <w:sz w:val="28"/>
    </w:rPr>
  </w:style>
  <w:style w:type="paragraph" w:styleId="4">
    <w:name w:val="Body Text Indent"/>
    <w:basedOn w:val="1"/>
    <w:next w:val="5"/>
    <w:qFormat/>
    <w:uiPriority w:val="0"/>
    <w:pPr>
      <w:spacing w:after="120"/>
      <w:ind w:left="200" w:leftChars="200"/>
    </w:pPr>
    <w:rPr>
      <w:rFonts w:ascii="Times New Roman" w:hAnsi="Times New Roman" w:eastAsia="宋体" w:cs="Times New Roman"/>
    </w:rPr>
  </w:style>
  <w:style w:type="paragraph" w:styleId="5">
    <w:name w:val="Body Text First Indent 2"/>
    <w:basedOn w:val="4"/>
    <w:next w:val="1"/>
    <w:qFormat/>
    <w:uiPriority w:val="0"/>
    <w:pPr>
      <w:ind w:firstLine="200" w:firstLineChars="200"/>
    </w:p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table of figures"/>
    <w:basedOn w:val="1"/>
    <w:next w:val="1"/>
    <w:qFormat/>
    <w:uiPriority w:val="0"/>
    <w:pPr>
      <w:ind w:left="400" w:leftChars="200" w:hanging="200" w:hangingChars="200"/>
    </w:pPr>
    <w:rPr>
      <w:rFonts w:ascii="Calibri" w:hAnsi="Calibri"/>
    </w:rPr>
  </w:style>
  <w:style w:type="paragraph" w:styleId="8">
    <w:name w:val="Normal (Web)"/>
    <w:basedOn w:val="1"/>
    <w:qFormat/>
    <w:uiPriority w:val="0"/>
    <w:pPr>
      <w:spacing w:beforeAutospacing="1" w:afterAutospacing="1"/>
      <w:jc w:val="left"/>
    </w:pPr>
    <w:rPr>
      <w:rFonts w:cs="Times New Roman"/>
      <w:kern w:val="0"/>
      <w:sz w:val="24"/>
    </w:rPr>
  </w:style>
  <w:style w:type="character" w:styleId="11">
    <w:name w:val="page number"/>
    <w:basedOn w:val="10"/>
    <w:qFormat/>
    <w:uiPriority w:val="0"/>
    <w:rPr>
      <w:rFonts w:ascii="Times New Roman" w:hAnsi="Times New Roman" w:eastAsia="宋体" w:cs="Times New Roman"/>
    </w:rPr>
  </w:style>
  <w:style w:type="paragraph" w:customStyle="1" w:styleId="12">
    <w:name w:val="table of figures1"/>
    <w:basedOn w:val="1"/>
    <w:next w:val="1"/>
    <w:qFormat/>
    <w:uiPriority w:val="0"/>
    <w:pPr>
      <w:spacing w:before="100" w:beforeAutospacing="1" w:after="100" w:afterAutospacing="1"/>
      <w:ind w:left="200" w:leftChars="200" w:hanging="200" w:hangingChars="200"/>
    </w:pPr>
    <w:rPr>
      <w:rFonts w:ascii="Calibri" w:hAnsi="Calibri" w:eastAsia="宋体" w:cs="Times New Roman"/>
      <w:kern w:val="0"/>
      <w:sz w:val="20"/>
      <w:szCs w:val="21"/>
    </w:rPr>
  </w:style>
  <w:style w:type="paragraph" w:customStyle="1" w:styleId="13">
    <w:name w:val="列出段落1"/>
    <w:basedOn w:val="1"/>
    <w:qFormat/>
    <w:uiPriority w:val="34"/>
    <w:pPr>
      <w:ind w:firstLine="420" w:firstLineChars="200"/>
    </w:pPr>
    <w:rPr>
      <w:rFonts w:ascii="Calibri" w:hAnsi="Calibri" w:eastAsia="宋体" w:cs="Times New Roman"/>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5384</Words>
  <Characters>601</Characters>
  <Lines>5</Lines>
  <Paragraphs>11</Paragraphs>
  <TotalTime>24</TotalTime>
  <ScaleCrop>false</ScaleCrop>
  <LinksUpToDate>false</LinksUpToDate>
  <CharactersWithSpaces>5974</CharactersWithSpaces>
  <Application>WPS Office_11.1.0.10702_F1E327BC-269C-435d-A152-05C5408002CA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2022-04-28T09:25:00Z</dcterms:created>
  <dc:creator>Administrator</dc:creator>
  <cp:lastModifiedBy>user</cp:lastModifiedBy>
  <cp:lastPrinted>2024-08-06T13:49:00Z</cp:lastPrinted>
  <dcterms:modified xsi:type="dcterms:W3CDTF">2025-04-09T11:13:01Z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y fmtid="{D5CDD505-2E9C-101B-9397-08002B2CF9AE}" pid="3" name="ICV">
    <vt:lpwstr>8AC05B12691E48B8A9C8E26C600BF0EE_13</vt:lpwstr>
  </property>
</Properties>
</file>