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76" w:lineRule="exact"/>
        <w:jc w:val="center"/>
        <w:rPr>
          <w:rFonts w:ascii="Times New Roman" w:hAnsi="Times New Roman" w:eastAsia="方正小标宋_GBK" w:cs="Times New Roman"/>
          <w:b/>
          <w:bCs/>
          <w:sz w:val="44"/>
          <w:szCs w:val="44"/>
        </w:rPr>
      </w:pPr>
      <w:r>
        <w:rPr>
          <w:rFonts w:hint="eastAsia" w:ascii="方正小标宋_GBK" w:hAnsi="方正小标宋_GBK" w:eastAsia="方正小标宋_GBK" w:cs="方正小标宋_GBK"/>
          <w:bCs/>
          <w:sz w:val="44"/>
          <w:szCs w:val="44"/>
        </w:rPr>
        <w:drawing>
          <wp:anchor distT="0" distB="0" distL="114300" distR="114300" simplePos="0" relativeHeight="251659264" behindDoc="1" locked="0" layoutInCell="1" allowOverlap="1">
            <wp:simplePos x="0" y="0"/>
            <wp:positionH relativeFrom="column">
              <wp:posOffset>-985520</wp:posOffset>
            </wp:positionH>
            <wp:positionV relativeFrom="paragraph">
              <wp:posOffset>-1384300</wp:posOffset>
            </wp:positionV>
            <wp:extent cx="7550785" cy="10671810"/>
            <wp:effectExtent l="0" t="0" r="12065" b="15240"/>
            <wp:wrapNone/>
            <wp:docPr id="1" name="图片 2" descr="9112b8231598384fccd999912490b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9112b8231598384fccd999912490b36"/>
                    <pic:cNvPicPr>
                      <a:picLocks noChangeAspect="1"/>
                    </pic:cNvPicPr>
                  </pic:nvPicPr>
                  <pic:blipFill>
                    <a:blip r:embed="rId6" cstate="print"/>
                    <a:stretch>
                      <a:fillRect/>
                    </a:stretch>
                  </pic:blipFill>
                  <pic:spPr>
                    <a:xfrm>
                      <a:off x="0" y="0"/>
                      <a:ext cx="7550785" cy="10671810"/>
                    </a:xfrm>
                    <a:prstGeom prst="rect">
                      <a:avLst/>
                    </a:prstGeom>
                    <a:noFill/>
                    <a:ln>
                      <a:noFill/>
                    </a:ln>
                  </pic:spPr>
                </pic:pic>
              </a:graphicData>
            </a:graphic>
          </wp:anchor>
        </w:drawing>
      </w:r>
    </w:p>
    <w:p>
      <w:pPr>
        <w:spacing w:line="576" w:lineRule="exact"/>
        <w:jc w:val="center"/>
        <w:rPr>
          <w:rFonts w:ascii="Times New Roman" w:hAnsi="Times New Roman" w:eastAsia="方正小标宋_GBK" w:cs="Times New Roman"/>
          <w:b/>
          <w:bCs/>
          <w:sz w:val="44"/>
          <w:szCs w:val="44"/>
        </w:rPr>
      </w:pPr>
    </w:p>
    <w:p>
      <w:pPr>
        <w:spacing w:line="576" w:lineRule="exact"/>
        <w:jc w:val="center"/>
        <w:rPr>
          <w:rFonts w:ascii="Times New Roman" w:hAnsi="Times New Roman" w:eastAsia="方正小标宋_GBK" w:cs="Times New Roman"/>
          <w:b/>
          <w:bCs/>
          <w:sz w:val="44"/>
          <w:szCs w:val="44"/>
        </w:rPr>
      </w:pPr>
    </w:p>
    <w:p>
      <w:pPr>
        <w:spacing w:line="576" w:lineRule="exact"/>
        <w:jc w:val="center"/>
        <w:rPr>
          <w:rFonts w:ascii="Times New Roman" w:hAnsi="Times New Roman" w:eastAsia="方正小标宋_GBK" w:cs="Times New Roman"/>
          <w:b/>
          <w:bCs/>
          <w:sz w:val="44"/>
          <w:szCs w:val="44"/>
        </w:rPr>
      </w:pPr>
    </w:p>
    <w:p>
      <w:pPr>
        <w:spacing w:line="576" w:lineRule="exact"/>
        <w:jc w:val="center"/>
        <w:rPr>
          <w:rFonts w:ascii="Times New Roman" w:hAnsi="Times New Roman" w:eastAsia="方正小标宋_GBK" w:cs="Times New Roman"/>
          <w:b/>
          <w:bCs/>
          <w:sz w:val="44"/>
          <w:szCs w:val="44"/>
        </w:rPr>
      </w:pPr>
    </w:p>
    <w:p>
      <w:pPr>
        <w:spacing w:line="576" w:lineRule="exact"/>
        <w:jc w:val="center"/>
        <w:rPr>
          <w:rFonts w:ascii="Times New Roman" w:hAnsi="Times New Roman" w:eastAsia="方正小标宋_GBK" w:cs="Times New Roman"/>
          <w:b/>
          <w:bCs/>
          <w:sz w:val="44"/>
          <w:szCs w:val="44"/>
        </w:rPr>
      </w:pPr>
    </w:p>
    <w:p>
      <w:pPr>
        <w:spacing w:line="576" w:lineRule="exact"/>
        <w:jc w:val="center"/>
        <w:rPr>
          <w:rFonts w:ascii="Times New Roman" w:hAnsi="Times New Roman" w:eastAsia="方正小标宋_GBK" w:cs="Times New Roman"/>
          <w:b/>
          <w:bCs/>
          <w:sz w:val="44"/>
          <w:szCs w:val="44"/>
        </w:rPr>
      </w:pPr>
    </w:p>
    <w:p>
      <w:pPr>
        <w:spacing w:line="576" w:lineRule="exact"/>
        <w:jc w:val="center"/>
        <w:rPr>
          <w:rFonts w:ascii="Times New Roman" w:hAnsi="Times New Roman" w:eastAsia="方正小标宋_GBK" w:cs="Times New Roman"/>
          <w:b/>
          <w:bCs/>
          <w:sz w:val="44"/>
          <w:szCs w:val="44"/>
        </w:rPr>
      </w:pPr>
    </w:p>
    <w:p>
      <w:pPr>
        <w:spacing w:line="576" w:lineRule="exact"/>
        <w:jc w:val="center"/>
        <w:rPr>
          <w:rFonts w:ascii="Times New Roman" w:hAnsi="Times New Roman" w:eastAsia="方正小标宋_GBK" w:cs="Times New Roman"/>
          <w:b/>
          <w:bCs/>
          <w:sz w:val="44"/>
          <w:szCs w:val="44"/>
        </w:rPr>
      </w:pPr>
    </w:p>
    <w:p>
      <w:pPr>
        <w:spacing w:line="576" w:lineRule="exact"/>
        <w:jc w:val="center"/>
        <w:rPr>
          <w:rFonts w:ascii="Times New Roman" w:hAnsi="Times New Roman" w:eastAsia="方正小标宋_GBK" w:cs="Times New Roman"/>
          <w:b/>
          <w:bCs/>
          <w:sz w:val="44"/>
          <w:szCs w:val="44"/>
        </w:rPr>
      </w:pPr>
    </w:p>
    <w:p>
      <w:pPr>
        <w:spacing w:line="576" w:lineRule="exact"/>
        <w:jc w:val="center"/>
        <w:rPr>
          <w:rFonts w:ascii="Times New Roman" w:hAnsi="Times New Roman" w:eastAsia="方正小标宋_GBK" w:cs="Times New Roman"/>
          <w:b/>
          <w:bCs/>
          <w:sz w:val="44"/>
          <w:szCs w:val="44"/>
        </w:rPr>
      </w:pPr>
    </w:p>
    <w:p>
      <w:pPr>
        <w:spacing w:line="560" w:lineRule="exact"/>
        <w:ind w:firstLine="2808" w:firstLineChars="900"/>
        <w:rPr>
          <w:rFonts w:ascii="仿宋_GB2312" w:hAnsi="仿宋_GB2312" w:eastAsia="仿宋_GB2312"/>
          <w:sz w:val="32"/>
          <w:szCs w:val="32"/>
        </w:rPr>
      </w:pPr>
    </w:p>
    <w:p>
      <w:pPr>
        <w:spacing w:line="560" w:lineRule="exact"/>
        <w:ind w:firstLine="2808" w:firstLineChars="900"/>
        <w:rPr>
          <w:rFonts w:ascii="仿宋_GB2312" w:hAnsi="仿宋_GB2312" w:eastAsia="仿宋_GB2312"/>
          <w:sz w:val="32"/>
          <w:szCs w:val="32"/>
        </w:rPr>
      </w:pPr>
    </w:p>
    <w:p>
      <w:pPr>
        <w:spacing w:line="560" w:lineRule="exact"/>
        <w:ind w:firstLine="312" w:firstLineChars="100"/>
        <w:rPr>
          <w:rFonts w:ascii="方正小标宋_GBK" w:hAnsi="方正小标宋_GBK" w:eastAsia="仿宋_GB2312" w:cs="方正小标宋_GBK"/>
          <w:bCs/>
          <w:sz w:val="32"/>
          <w:szCs w:val="32"/>
        </w:rPr>
      </w:pPr>
      <w:r>
        <w:rPr>
          <w:rFonts w:hint="eastAsia" w:ascii="仿宋_GB2312" w:hAnsi="仿宋_GB2312" w:eastAsia="仿宋_GB2312"/>
          <w:sz w:val="32"/>
          <w:szCs w:val="32"/>
        </w:rPr>
        <w:t>黑西府〔2024〕 56号                   签发人：</w:t>
      </w:r>
      <w:r>
        <w:rPr>
          <w:rFonts w:hint="eastAsia" w:ascii="楷体_GB2312" w:hAnsi="楷体_GB2312" w:eastAsia="楷体_GB2312" w:cs="楷体_GB2312"/>
          <w:sz w:val="32"/>
          <w:szCs w:val="32"/>
        </w:rPr>
        <w:t>李光明</w:t>
      </w:r>
    </w:p>
    <w:p>
      <w:pPr>
        <w:spacing w:line="560" w:lineRule="exact"/>
        <w:rPr>
          <w:rFonts w:ascii="方正小标宋简体" w:hAnsi="方正小标宋简体" w:eastAsia="方正小标宋简体" w:cs="方正小标宋简体"/>
          <w:sz w:val="44"/>
          <w:szCs w:val="44"/>
        </w:rPr>
      </w:pPr>
    </w:p>
    <w:p>
      <w:pPr>
        <w:spacing w:line="560" w:lineRule="exact"/>
        <w:ind w:left="2596" w:hanging="2592" w:hangingChars="600"/>
        <w:jc w:val="center"/>
        <w:rPr>
          <w:rFonts w:ascii="方正小标宋_GBK" w:hAnsi="方正小标宋_GBK" w:eastAsia="方正小标宋_GBK" w:cs="方正小标宋_GBK"/>
          <w:b/>
          <w:bCs/>
          <w:color w:val="000000"/>
          <w:sz w:val="44"/>
          <w:szCs w:val="44"/>
        </w:rPr>
      </w:pPr>
      <w:r>
        <w:rPr>
          <w:rFonts w:hint="eastAsia" w:ascii="方正小标宋_GBK" w:hAnsi="方正小标宋_GBK" w:eastAsia="方正小标宋_GBK" w:cs="方正小标宋_GBK"/>
          <w:b/>
          <w:bCs/>
          <w:color w:val="000000"/>
          <w:sz w:val="44"/>
          <w:szCs w:val="44"/>
        </w:rPr>
        <w:t>黑水县西尔镇沙卡村基础设施</w:t>
      </w:r>
    </w:p>
    <w:p>
      <w:pPr>
        <w:spacing w:line="560" w:lineRule="exact"/>
        <w:ind w:left="2596" w:hanging="2592" w:hangingChars="600"/>
        <w:jc w:val="center"/>
        <w:rPr>
          <w:rFonts w:ascii="方正小标宋_GBK" w:hAnsi="方正小标宋_GBK" w:eastAsia="方正小标宋_GBK" w:cs="方正小标宋_GBK"/>
          <w:b/>
          <w:bCs/>
          <w:color w:val="000000"/>
          <w:sz w:val="44"/>
          <w:szCs w:val="44"/>
        </w:rPr>
      </w:pPr>
      <w:r>
        <w:rPr>
          <w:rFonts w:hint="eastAsia" w:ascii="方正小标宋_GBK" w:hAnsi="方正小标宋_GBK" w:eastAsia="方正小标宋_GBK" w:cs="方正小标宋_GBK"/>
          <w:b/>
          <w:bCs/>
          <w:color w:val="000000"/>
          <w:sz w:val="44"/>
          <w:szCs w:val="44"/>
        </w:rPr>
        <w:t>提升项目</w:t>
      </w:r>
      <w:r>
        <w:rPr>
          <w:rFonts w:ascii="方正小标宋_GBK" w:hAnsi="方正小标宋_GBK" w:eastAsia="方正小标宋_GBK" w:cs="方正小标宋_GBK"/>
          <w:b/>
          <w:bCs/>
          <w:color w:val="000000"/>
          <w:sz w:val="44"/>
          <w:szCs w:val="44"/>
        </w:rPr>
        <w:t>绩效</w:t>
      </w:r>
      <w:r>
        <w:rPr>
          <w:rFonts w:hint="eastAsia" w:ascii="方正小标宋_GBK" w:hAnsi="方正小标宋_GBK" w:eastAsia="方正小标宋_GBK" w:cs="方正小标宋_GBK"/>
          <w:b/>
          <w:bCs/>
          <w:color w:val="000000"/>
          <w:sz w:val="44"/>
          <w:szCs w:val="44"/>
        </w:rPr>
        <w:t>评价</w:t>
      </w:r>
      <w:r>
        <w:rPr>
          <w:rFonts w:ascii="方正小标宋_GBK" w:hAnsi="方正小标宋_GBK" w:eastAsia="方正小标宋_GBK" w:cs="方正小标宋_GBK"/>
          <w:b/>
          <w:bCs/>
          <w:color w:val="000000"/>
          <w:sz w:val="44"/>
          <w:szCs w:val="44"/>
        </w:rPr>
        <w:t>报告</w:t>
      </w:r>
    </w:p>
    <w:p>
      <w:pPr>
        <w:spacing w:line="560" w:lineRule="exact"/>
        <w:ind w:left="2596" w:hanging="2592" w:hangingChars="600"/>
        <w:jc w:val="center"/>
        <w:rPr>
          <w:rFonts w:ascii="方正小标宋_GBK" w:hAnsi="方正小标宋_GBK" w:eastAsia="方正小标宋_GBK" w:cs="方正小标宋_GBK"/>
          <w:b/>
          <w:bCs/>
          <w:color w:val="000000"/>
          <w:sz w:val="44"/>
          <w:szCs w:val="44"/>
        </w:rPr>
      </w:pPr>
    </w:p>
    <w:p>
      <w:pPr>
        <w:pStyle w:val="2"/>
      </w:pPr>
    </w:p>
    <w:p>
      <w:pPr>
        <w:pStyle w:val="2"/>
      </w:pPr>
    </w:p>
    <w:p>
      <w:pPr>
        <w:pStyle w:val="2"/>
      </w:pPr>
    </w:p>
    <w:p>
      <w:pPr>
        <w:numPr>
          <w:ilvl w:val="0"/>
          <w:numId w:val="1"/>
        </w:numPr>
        <w:adjustRightInd w:val="0"/>
        <w:snapToGrid w:val="0"/>
        <w:spacing w:line="578" w:lineRule="exact"/>
        <w:ind w:firstLine="624" w:firstLineChars="200"/>
        <w:rPr>
          <w:rFonts w:ascii="黑体" w:hAnsi="宋体" w:eastAsia="黑体" w:cs="Times New Roman"/>
          <w:sz w:val="32"/>
          <w:szCs w:val="32"/>
          <w:lang w:val="zh-CN"/>
        </w:rPr>
      </w:pPr>
      <w:r>
        <w:rPr>
          <w:rFonts w:hint="eastAsia" w:ascii="黑体" w:hAnsi="宋体" w:eastAsia="黑体" w:cs="Times New Roman"/>
          <w:sz w:val="32"/>
          <w:szCs w:val="32"/>
          <w:lang w:val="zh-CN"/>
        </w:rPr>
        <w:t>项目概况</w:t>
      </w:r>
    </w:p>
    <w:p>
      <w:pPr>
        <w:numPr>
          <w:ilvl w:val="0"/>
          <w:numId w:val="2"/>
        </w:numPr>
        <w:adjustRightInd w:val="0"/>
        <w:snapToGrid w:val="0"/>
        <w:spacing w:line="578" w:lineRule="exact"/>
        <w:ind w:firstLine="624" w:firstLineChars="200"/>
        <w:rPr>
          <w:rFonts w:ascii="楷体" w:hAnsi="楷体" w:eastAsia="楷体" w:cs="楷体"/>
          <w:sz w:val="32"/>
          <w:szCs w:val="32"/>
          <w:lang w:val="zh-CN"/>
        </w:rPr>
      </w:pPr>
      <w:r>
        <w:rPr>
          <w:rFonts w:hint="eastAsia" w:ascii="楷体" w:hAnsi="楷体" w:eastAsia="楷体" w:cs="楷体"/>
          <w:sz w:val="32"/>
          <w:szCs w:val="32"/>
          <w:lang w:val="zh-CN"/>
        </w:rPr>
        <w:t>设立背景及基本情况。</w:t>
      </w:r>
    </w:p>
    <w:p>
      <w:pPr>
        <w:adjustRightInd w:val="0"/>
        <w:snapToGrid w:val="0"/>
        <w:spacing w:line="578" w:lineRule="exact"/>
        <w:ind w:firstLine="624" w:firstLineChars="200"/>
        <w:rPr>
          <w:rFonts w:ascii="仿宋" w:hAnsi="仿宋" w:eastAsia="仿宋" w:cs="仿宋"/>
          <w:sz w:val="32"/>
          <w:szCs w:val="32"/>
        </w:rPr>
      </w:pPr>
      <w:r>
        <w:rPr>
          <w:rFonts w:hint="eastAsia" w:ascii="仿宋" w:hAnsi="仿宋" w:eastAsia="仿宋" w:cs="仿宋"/>
          <w:sz w:val="32"/>
          <w:szCs w:val="32"/>
        </w:rPr>
        <w:t>1、项目设立原因及背景</w:t>
      </w:r>
    </w:p>
    <w:p>
      <w:pPr>
        <w:adjustRightInd w:val="0"/>
        <w:snapToGrid w:val="0"/>
        <w:spacing w:line="578" w:lineRule="exact"/>
        <w:ind w:firstLine="624" w:firstLineChars="200"/>
        <w:rPr>
          <w:rFonts w:ascii="仿宋" w:hAnsi="仿宋" w:eastAsia="仿宋" w:cs="仿宋"/>
          <w:sz w:val="32"/>
          <w:szCs w:val="32"/>
        </w:rPr>
      </w:pPr>
      <w:r>
        <w:rPr>
          <w:rFonts w:hint="eastAsia" w:ascii="仿宋" w:hAnsi="仿宋" w:eastAsia="仿宋" w:cs="仿宋"/>
          <w:sz w:val="32"/>
          <w:szCs w:val="32"/>
        </w:rPr>
        <w:t>西尔镇沙卡村房屋建筑已全面完成，但房屋之间巷道杂乱，杂物乱堆，各住户门前杂物乱放，影响村寨、院落形象。为全面推进村寨基础设施的提升，需要大力进行改造提升。</w:t>
      </w:r>
    </w:p>
    <w:p>
      <w:pPr>
        <w:adjustRightInd w:val="0"/>
        <w:snapToGrid w:val="0"/>
        <w:spacing w:line="578" w:lineRule="exact"/>
        <w:ind w:firstLine="624" w:firstLineChars="200"/>
        <w:rPr>
          <w:rFonts w:ascii="仿宋" w:hAnsi="仿宋" w:eastAsia="仿宋" w:cs="仿宋"/>
          <w:sz w:val="32"/>
          <w:szCs w:val="32"/>
        </w:rPr>
      </w:pPr>
      <w:r>
        <w:rPr>
          <w:rFonts w:hint="eastAsia" w:ascii="仿宋" w:hAnsi="仿宋" w:eastAsia="仿宋" w:cs="仿宋"/>
          <w:sz w:val="32"/>
          <w:szCs w:val="32"/>
        </w:rPr>
        <w:t>2、项目立项、资金申报的依据</w:t>
      </w:r>
    </w:p>
    <w:p>
      <w:pPr>
        <w:adjustRightInd w:val="0"/>
        <w:snapToGrid w:val="0"/>
        <w:spacing w:line="578" w:lineRule="exact"/>
        <w:ind w:firstLine="624" w:firstLineChars="200"/>
        <w:rPr>
          <w:rFonts w:ascii="仿宋" w:hAnsi="仿宋" w:eastAsia="仿宋" w:cs="仿宋"/>
          <w:sz w:val="32"/>
          <w:szCs w:val="32"/>
        </w:rPr>
      </w:pPr>
      <w:r>
        <w:rPr>
          <w:rFonts w:hint="eastAsia" w:ascii="仿宋" w:hAnsi="仿宋" w:eastAsia="仿宋" w:cs="仿宋"/>
          <w:sz w:val="32"/>
          <w:szCs w:val="32"/>
        </w:rPr>
        <w:t>基础设施提升的意义，除了改善、维护社区秩序，保障村民的基本生活条件外，还要协调社会各个方面，解决一系列的矛盾，创造出和谐的人文环境。基础设施提升好让人们的居住环境条件得到改善，环境变得优美，生活也会更幸福，精神文明建设水平自然会提高。西尔镇沙卡村基础设施提升项目建设是非常迫切和必要的。</w:t>
      </w:r>
    </w:p>
    <w:p>
      <w:pPr>
        <w:adjustRightInd w:val="0"/>
        <w:snapToGrid w:val="0"/>
        <w:spacing w:line="578" w:lineRule="exact"/>
        <w:ind w:firstLine="624" w:firstLineChars="200"/>
        <w:rPr>
          <w:rFonts w:ascii="仿宋" w:hAnsi="仿宋" w:eastAsia="仿宋" w:cs="仿宋"/>
          <w:sz w:val="32"/>
          <w:szCs w:val="32"/>
        </w:rPr>
      </w:pPr>
      <w:r>
        <w:rPr>
          <w:rFonts w:hint="eastAsia" w:ascii="仿宋" w:hAnsi="仿宋" w:eastAsia="仿宋" w:cs="仿宋"/>
          <w:sz w:val="32"/>
          <w:szCs w:val="32"/>
        </w:rPr>
        <w:t>3、项目主要内容</w:t>
      </w:r>
    </w:p>
    <w:p>
      <w:pPr>
        <w:adjustRightInd w:val="0"/>
        <w:snapToGrid w:val="0"/>
        <w:spacing w:line="578" w:lineRule="exact"/>
        <w:ind w:firstLine="624" w:firstLineChars="200"/>
        <w:rPr>
          <w:rFonts w:ascii="仿宋" w:hAnsi="仿宋" w:eastAsia="仿宋" w:cs="仿宋"/>
          <w:sz w:val="32"/>
          <w:szCs w:val="32"/>
        </w:rPr>
      </w:pPr>
      <w:r>
        <w:rPr>
          <w:rFonts w:hint="eastAsia" w:ascii="仿宋" w:hAnsi="仿宋" w:eastAsia="仿宋" w:cs="仿宋"/>
          <w:sz w:val="32"/>
          <w:szCs w:val="32"/>
        </w:rPr>
        <w:t>项目主要内容包含了：道路硬化 3991 平方米、院落改造面积 1288 平方米，块石挡土墙建设 23.5 米，外运土渣 1184 立方米，合同价为48万元。</w:t>
      </w:r>
    </w:p>
    <w:p>
      <w:pPr>
        <w:adjustRightInd w:val="0"/>
        <w:snapToGrid w:val="0"/>
        <w:spacing w:line="578" w:lineRule="exact"/>
        <w:ind w:firstLine="624" w:firstLineChars="200"/>
        <w:rPr>
          <w:rFonts w:ascii="仿宋" w:hAnsi="仿宋" w:eastAsia="仿宋" w:cs="仿宋"/>
          <w:sz w:val="32"/>
          <w:szCs w:val="32"/>
        </w:rPr>
      </w:pPr>
      <w:r>
        <w:rPr>
          <w:rFonts w:hint="eastAsia" w:ascii="仿宋" w:hAnsi="仿宋" w:eastAsia="仿宋" w:cs="仿宋"/>
          <w:sz w:val="32"/>
          <w:szCs w:val="32"/>
        </w:rPr>
        <w:t>4、主管部门职能</w:t>
      </w:r>
    </w:p>
    <w:p>
      <w:pPr>
        <w:ind w:firstLine="624" w:firstLineChars="200"/>
        <w:jc w:val="left"/>
        <w:rPr>
          <w:rFonts w:ascii="仿宋" w:hAnsi="仿宋" w:eastAsia="仿宋" w:cs="仿宋"/>
          <w:sz w:val="32"/>
          <w:szCs w:val="32"/>
        </w:rPr>
      </w:pPr>
      <w:r>
        <w:rPr>
          <w:rFonts w:hint="eastAsia" w:ascii="仿宋" w:hAnsi="仿宋" w:eastAsia="仿宋" w:cs="仿宋"/>
          <w:sz w:val="32"/>
          <w:szCs w:val="32"/>
        </w:rPr>
        <w:t>本单位承担专项资金绩效管理的主体责任，主要负责提出专项资金分配方案，制定项目管理制度，组织项目评审和实施，开展项目验收、绩效评价和监督检查等工作。</w:t>
      </w:r>
    </w:p>
    <w:p>
      <w:pPr>
        <w:ind w:firstLine="624" w:firstLineChars="200"/>
        <w:jc w:val="left"/>
        <w:rPr>
          <w:rFonts w:ascii="楷体" w:hAnsi="楷体" w:eastAsia="楷体" w:cs="楷体"/>
          <w:sz w:val="32"/>
          <w:szCs w:val="32"/>
          <w:lang w:val="zh-CN"/>
        </w:rPr>
      </w:pPr>
      <w:r>
        <w:rPr>
          <w:rFonts w:hint="eastAsia" w:ascii="楷体" w:hAnsi="楷体" w:eastAsia="楷体" w:cs="楷体"/>
          <w:sz w:val="32"/>
          <w:szCs w:val="32"/>
          <w:lang w:val="zh-CN"/>
        </w:rPr>
        <w:t>（二）实施目的及支持方向。</w:t>
      </w:r>
    </w:p>
    <w:p>
      <w:pPr>
        <w:ind w:firstLine="624" w:firstLineChars="200"/>
        <w:jc w:val="left"/>
        <w:rPr>
          <w:rFonts w:ascii="仿宋" w:hAnsi="仿宋" w:eastAsia="仿宋" w:cs="仿宋"/>
          <w:sz w:val="32"/>
          <w:szCs w:val="32"/>
        </w:rPr>
      </w:pPr>
      <w:r>
        <w:rPr>
          <w:rFonts w:hint="eastAsia" w:ascii="仿宋" w:hAnsi="仿宋" w:eastAsia="仿宋" w:cs="仿宋"/>
          <w:sz w:val="32"/>
          <w:szCs w:val="32"/>
        </w:rPr>
        <w:t>1、项目资金管理办法制定情况</w:t>
      </w:r>
    </w:p>
    <w:p>
      <w:pPr>
        <w:ind w:firstLine="624" w:firstLineChars="200"/>
        <w:jc w:val="left"/>
        <w:rPr>
          <w:rFonts w:ascii="仿宋" w:hAnsi="仿宋" w:eastAsia="仿宋" w:cs="仿宋"/>
          <w:sz w:val="32"/>
          <w:szCs w:val="32"/>
        </w:rPr>
      </w:pPr>
      <w:r>
        <w:rPr>
          <w:rFonts w:hint="eastAsia" w:ascii="仿宋" w:hAnsi="仿宋" w:eastAsia="仿宋" w:cs="仿宋"/>
          <w:sz w:val="32"/>
          <w:szCs w:val="32"/>
        </w:rPr>
        <w:t>本单位结合实际制定和完善了项目资金管理办法，项目管理办法有效执行。</w:t>
      </w:r>
    </w:p>
    <w:p>
      <w:pPr>
        <w:ind w:firstLine="624" w:firstLineChars="200"/>
        <w:jc w:val="left"/>
        <w:rPr>
          <w:rFonts w:ascii="仿宋" w:hAnsi="仿宋" w:eastAsia="仿宋" w:cs="仿宋"/>
          <w:sz w:val="32"/>
          <w:szCs w:val="32"/>
        </w:rPr>
      </w:pPr>
      <w:r>
        <w:rPr>
          <w:rFonts w:hint="eastAsia" w:ascii="仿宋" w:hAnsi="仿宋" w:eastAsia="仿宋" w:cs="仿宋"/>
          <w:sz w:val="32"/>
          <w:szCs w:val="32"/>
        </w:rPr>
        <w:t>2、项目实施目的和主要工作任务</w:t>
      </w:r>
    </w:p>
    <w:p>
      <w:pPr>
        <w:ind w:firstLine="624" w:firstLineChars="200"/>
        <w:jc w:val="left"/>
        <w:rPr>
          <w:rFonts w:ascii="仿宋" w:hAnsi="仿宋" w:eastAsia="仿宋" w:cs="仿宋"/>
          <w:sz w:val="32"/>
          <w:szCs w:val="32"/>
        </w:rPr>
      </w:pPr>
      <w:r>
        <w:rPr>
          <w:rFonts w:hint="eastAsia" w:ascii="仿宋" w:hAnsi="仿宋" w:eastAsia="仿宋" w:cs="仿宋"/>
          <w:sz w:val="32"/>
          <w:szCs w:val="32"/>
        </w:rPr>
        <w:t>通过本项目的实施，带动沙卡村经济发展，把经济发展和社会进步结合起来，有利于提高村民幸福感，改善村民生活水平、质量。同时，还有利于扩大内需；一方面，建筑、建材等相关产业的需求，因此，它将带动当地经济持续稳定发展。</w:t>
      </w:r>
    </w:p>
    <w:p>
      <w:pPr>
        <w:numPr>
          <w:ilvl w:val="0"/>
          <w:numId w:val="3"/>
        </w:numPr>
        <w:ind w:firstLine="624" w:firstLineChars="200"/>
        <w:jc w:val="left"/>
        <w:rPr>
          <w:rFonts w:ascii="仿宋" w:hAnsi="仿宋" w:eastAsia="仿宋" w:cs="仿宋"/>
          <w:sz w:val="32"/>
          <w:szCs w:val="32"/>
        </w:rPr>
      </w:pPr>
      <w:r>
        <w:rPr>
          <w:rFonts w:hint="eastAsia" w:ascii="仿宋" w:hAnsi="仿宋" w:eastAsia="仿宋" w:cs="仿宋"/>
          <w:sz w:val="32"/>
          <w:szCs w:val="32"/>
        </w:rPr>
        <w:t>项目支持方向</w:t>
      </w:r>
    </w:p>
    <w:p>
      <w:pPr>
        <w:ind w:firstLine="624" w:firstLineChars="200"/>
        <w:jc w:val="left"/>
        <w:rPr>
          <w:rFonts w:ascii="仿宋" w:hAnsi="仿宋" w:eastAsia="仿宋" w:cs="仿宋"/>
          <w:sz w:val="32"/>
          <w:szCs w:val="32"/>
        </w:rPr>
      </w:pPr>
      <w:r>
        <w:rPr>
          <w:rFonts w:hint="eastAsia" w:ascii="仿宋" w:hAnsi="仿宋" w:eastAsia="仿宋" w:cs="仿宋"/>
          <w:sz w:val="32"/>
          <w:szCs w:val="32"/>
        </w:rPr>
        <w:t>该项目资金主要用于西尔镇沙卡村基础设施提升项目的所有开支。</w:t>
      </w:r>
    </w:p>
    <w:p>
      <w:pPr>
        <w:ind w:firstLine="624" w:firstLineChars="200"/>
        <w:jc w:val="left"/>
        <w:rPr>
          <w:rFonts w:ascii="楷体" w:hAnsi="楷体" w:eastAsia="楷体" w:cs="楷体"/>
          <w:sz w:val="32"/>
          <w:szCs w:val="32"/>
          <w:lang w:val="zh-CN"/>
        </w:rPr>
      </w:pPr>
      <w:r>
        <w:rPr>
          <w:rFonts w:hint="eastAsia" w:ascii="楷体" w:hAnsi="楷体" w:eastAsia="楷体" w:cs="楷体"/>
          <w:sz w:val="32"/>
          <w:szCs w:val="32"/>
          <w:lang w:val="zh-CN"/>
        </w:rPr>
        <w:t>（三）预算安排及分配管理。</w:t>
      </w:r>
    </w:p>
    <w:p>
      <w:pPr>
        <w:ind w:firstLine="624" w:firstLineChars="200"/>
        <w:jc w:val="left"/>
        <w:rPr>
          <w:rFonts w:ascii="仿宋" w:hAnsi="仿宋" w:eastAsia="仿宋" w:cs="仿宋"/>
          <w:sz w:val="32"/>
          <w:szCs w:val="32"/>
        </w:rPr>
      </w:pPr>
      <w:r>
        <w:rPr>
          <w:rFonts w:hint="eastAsia" w:ascii="仿宋" w:hAnsi="仿宋" w:eastAsia="仿宋" w:cs="仿宋"/>
          <w:sz w:val="32"/>
          <w:szCs w:val="32"/>
        </w:rPr>
        <w:t>1、项目预算安排情况</w:t>
      </w:r>
    </w:p>
    <w:p>
      <w:pPr>
        <w:ind w:firstLine="624" w:firstLineChars="200"/>
        <w:jc w:val="left"/>
        <w:rPr>
          <w:rFonts w:ascii="仿宋" w:hAnsi="仿宋" w:eastAsia="仿宋" w:cs="仿宋"/>
          <w:sz w:val="32"/>
          <w:szCs w:val="32"/>
        </w:rPr>
      </w:pPr>
      <w:r>
        <w:rPr>
          <w:rFonts w:hint="eastAsia" w:ascii="仿宋" w:hAnsi="仿宋" w:eastAsia="仿宋" w:cs="仿宋"/>
          <w:sz w:val="32"/>
          <w:szCs w:val="32"/>
        </w:rPr>
        <w:t>预算申报项目资金金额为48万元，批复金额为47.7万元，实际使用金额47.7万元，项目资金符合资金管理办法等相关规定。资金按批复金额在项目实施前全部到位，与资金计划相契合，资金到位率、到位及时性均为100%，保障项目能够如期开展。</w:t>
      </w:r>
    </w:p>
    <w:p>
      <w:pPr>
        <w:ind w:firstLine="624" w:firstLineChars="200"/>
        <w:jc w:val="left"/>
        <w:rPr>
          <w:rFonts w:ascii="仿宋" w:hAnsi="仿宋" w:eastAsia="仿宋" w:cs="仿宋"/>
          <w:sz w:val="32"/>
          <w:szCs w:val="32"/>
        </w:rPr>
      </w:pPr>
      <w:r>
        <w:rPr>
          <w:rFonts w:hint="eastAsia" w:ascii="仿宋" w:hAnsi="仿宋" w:eastAsia="仿宋" w:cs="仿宋"/>
          <w:sz w:val="32"/>
          <w:szCs w:val="32"/>
        </w:rPr>
        <w:t>2、项目资金分配原则及考虑因素</w:t>
      </w:r>
    </w:p>
    <w:p>
      <w:pPr>
        <w:ind w:firstLine="624" w:firstLineChars="200"/>
        <w:jc w:val="left"/>
        <w:rPr>
          <w:rFonts w:ascii="仿宋" w:hAnsi="仿宋" w:eastAsia="仿宋" w:cs="仿宋"/>
          <w:sz w:val="32"/>
          <w:szCs w:val="32"/>
        </w:rPr>
      </w:pPr>
      <w:r>
        <w:rPr>
          <w:rFonts w:hint="eastAsia" w:ascii="仿宋" w:hAnsi="仿宋" w:eastAsia="仿宋" w:cs="仿宋"/>
          <w:sz w:val="32"/>
          <w:szCs w:val="32"/>
        </w:rPr>
        <w:t>项目采用因素法进行项目资金分配，因素法分配财政资金是指事先设定财政资金分配时考虑的主要因素以及不同因素各占的比重，将资金分配到部门或地方，由部门或地方政府按照特定的资金用途，确定具体支持的项目并组织实施。</w:t>
      </w:r>
    </w:p>
    <w:p>
      <w:pPr>
        <w:ind w:firstLine="624" w:firstLineChars="200"/>
        <w:jc w:val="left"/>
        <w:rPr>
          <w:rFonts w:ascii="仿宋" w:hAnsi="仿宋" w:eastAsia="仿宋" w:cs="仿宋"/>
          <w:sz w:val="32"/>
          <w:szCs w:val="32"/>
        </w:rPr>
      </w:pPr>
      <w:r>
        <w:rPr>
          <w:rFonts w:hint="eastAsia" w:ascii="仿宋" w:hAnsi="仿宋" w:eastAsia="仿宋" w:cs="仿宋"/>
          <w:sz w:val="32"/>
          <w:szCs w:val="32"/>
        </w:rPr>
        <w:t>3、项目资金分配情况</w:t>
      </w:r>
    </w:p>
    <w:p>
      <w:pPr>
        <w:ind w:firstLine="624" w:firstLineChars="200"/>
        <w:jc w:val="left"/>
        <w:rPr>
          <w:rFonts w:ascii="仿宋" w:hAnsi="仿宋" w:eastAsia="仿宋" w:cs="仿宋"/>
          <w:sz w:val="32"/>
          <w:szCs w:val="32"/>
        </w:rPr>
      </w:pPr>
      <w:r>
        <w:rPr>
          <w:rFonts w:hint="eastAsia" w:ascii="仿宋" w:hAnsi="仿宋" w:eastAsia="仿宋" w:cs="仿宋"/>
          <w:sz w:val="32"/>
          <w:szCs w:val="32"/>
        </w:rPr>
        <w:t>项目总预算资金为47.7万元，来源为2023年中央财政衔接推进乡村振兴补助资金，预算资金分配充分，资金分配额度合理，与项目单位实际相适应。目前项目资金已全部支付完成，支付依据合规合法，与预算相符。</w:t>
      </w:r>
    </w:p>
    <w:p>
      <w:pPr>
        <w:ind w:firstLine="624" w:firstLineChars="200"/>
        <w:jc w:val="left"/>
        <w:rPr>
          <w:rFonts w:ascii="楷体" w:hAnsi="楷体" w:eastAsia="楷体" w:cs="楷体"/>
          <w:sz w:val="32"/>
          <w:szCs w:val="32"/>
          <w:lang w:val="zh-CN"/>
        </w:rPr>
      </w:pPr>
      <w:r>
        <w:rPr>
          <w:rFonts w:hint="eastAsia" w:ascii="楷体" w:hAnsi="楷体" w:eastAsia="楷体" w:cs="楷体"/>
          <w:sz w:val="32"/>
          <w:szCs w:val="32"/>
          <w:lang w:val="zh-CN"/>
        </w:rPr>
        <w:t>（四）项目绩效目标设置。</w:t>
      </w:r>
    </w:p>
    <w:p>
      <w:pPr>
        <w:ind w:firstLine="624" w:firstLineChars="200"/>
        <w:jc w:val="left"/>
        <w:rPr>
          <w:rFonts w:ascii="仿宋" w:hAnsi="仿宋" w:eastAsia="仿宋" w:cs="仿宋"/>
          <w:sz w:val="32"/>
          <w:szCs w:val="32"/>
        </w:rPr>
      </w:pPr>
      <w:r>
        <w:rPr>
          <w:rFonts w:hint="eastAsia" w:ascii="仿宋" w:hAnsi="仿宋" w:eastAsia="仿宋" w:cs="仿宋"/>
          <w:sz w:val="32"/>
          <w:szCs w:val="32"/>
        </w:rPr>
        <w:t>本项目的建设不仅具有较好的经济效益，还具有良好的社会效益。只有建成一系列功能齐全、便捷完善的村镇基础设施，才能保障周边项目及居民基本民生，进一步吸引人才聚集，拓展新的发展空间，因而本项目的建设在经济、社会、环境等各方面都具备良好的综合效益。</w:t>
      </w:r>
    </w:p>
    <w:p>
      <w:pPr>
        <w:adjustRightInd w:val="0"/>
        <w:snapToGrid w:val="0"/>
        <w:spacing w:line="578" w:lineRule="exact"/>
        <w:ind w:firstLine="624" w:firstLineChars="200"/>
        <w:rPr>
          <w:rFonts w:ascii="黑体" w:hAnsi="宋体" w:eastAsia="黑体" w:cs="Times New Roman"/>
          <w:sz w:val="32"/>
          <w:szCs w:val="32"/>
          <w:lang w:val="zh-CN"/>
        </w:rPr>
      </w:pPr>
      <w:r>
        <w:rPr>
          <w:rFonts w:hint="eastAsia" w:ascii="黑体" w:hAnsi="宋体" w:eastAsia="黑体" w:cs="Times New Roman"/>
          <w:sz w:val="32"/>
          <w:szCs w:val="32"/>
          <w:lang w:val="zh-CN"/>
        </w:rPr>
        <w:t>二、评价实施</w:t>
      </w:r>
    </w:p>
    <w:p>
      <w:pPr>
        <w:ind w:firstLine="624" w:firstLineChars="200"/>
        <w:jc w:val="left"/>
        <w:rPr>
          <w:rFonts w:ascii="楷体" w:hAnsi="楷体" w:eastAsia="楷体" w:cs="楷体"/>
          <w:sz w:val="32"/>
          <w:szCs w:val="32"/>
          <w:lang w:val="zh-CN"/>
        </w:rPr>
      </w:pPr>
      <w:r>
        <w:rPr>
          <w:rFonts w:hint="eastAsia" w:ascii="楷体" w:hAnsi="楷体" w:eastAsia="楷体" w:cs="楷体"/>
          <w:sz w:val="32"/>
          <w:szCs w:val="32"/>
          <w:lang w:val="zh-CN"/>
        </w:rPr>
        <w:t>（一）评价目的。</w:t>
      </w:r>
    </w:p>
    <w:p>
      <w:pPr>
        <w:ind w:firstLine="624" w:firstLineChars="200"/>
        <w:jc w:val="left"/>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为了进一步规范和加强预算绩效管理和专项资金管理，为项目设立和预算安排提供重要参考依据，提高预算编制科学性、合理性，优化财政支出结构，从源头上防控财政资源配置的低效无效，提高财政资源配置效率和财政资金使用效益，阿坝州财政局印发《阿坝州财政局关于开展 2024年州级部门绩效自评工作的通知》（阿州财监绩〔2024〕19号），要求各部门（单位）按照州财政局制定的相关制度办法和共性绩效指标框架，建立涵盖项目决策、项目管理、项目实施、项目结果、民生保障五个板块，覆盖所有管理对象，贯穿绩效目标管理、事前评估、事中监控、事后评价以及绩效结果应用全过程的本部门的具体措施、实施细则和指标体系，形成全州全面实施预算绩效管理制度体系格局。通过本次评价总结经验，发现问题，提出改进建议，进一步提升加强项目支出绩效管理水平、提升预算管理水平、提升项目管理水平。</w:t>
      </w:r>
    </w:p>
    <w:p>
      <w:pPr>
        <w:ind w:firstLine="624" w:firstLineChars="200"/>
        <w:jc w:val="left"/>
        <w:rPr>
          <w:rFonts w:ascii="楷体" w:hAnsi="楷体" w:eastAsia="楷体" w:cs="楷体"/>
          <w:sz w:val="32"/>
          <w:szCs w:val="32"/>
          <w:lang w:val="zh-CN"/>
        </w:rPr>
      </w:pPr>
      <w:r>
        <w:rPr>
          <w:rFonts w:hint="eastAsia" w:ascii="楷体" w:hAnsi="楷体" w:eastAsia="楷体" w:cs="楷体"/>
          <w:sz w:val="32"/>
          <w:szCs w:val="32"/>
          <w:lang w:val="zh-CN"/>
        </w:rPr>
        <w:t xml:space="preserve">（二）预设问题及评价重点。 </w:t>
      </w:r>
    </w:p>
    <w:p>
      <w:pPr>
        <w:ind w:firstLine="624" w:firstLineChars="200"/>
        <w:jc w:val="left"/>
        <w:rPr>
          <w:rFonts w:ascii="仿宋" w:hAnsi="仿宋" w:eastAsia="仿宋" w:cs="仿宋"/>
          <w:color w:val="000000" w:themeColor="text1"/>
          <w:sz w:val="32"/>
          <w:szCs w:val="32"/>
          <w:lang w:val="zh-CN"/>
        </w:rPr>
      </w:pPr>
      <w:r>
        <w:rPr>
          <w:rFonts w:hint="eastAsia" w:ascii="仿宋" w:hAnsi="仿宋" w:eastAsia="仿宋" w:cs="仿宋"/>
          <w:color w:val="000000" w:themeColor="text1"/>
          <w:sz w:val="32"/>
          <w:szCs w:val="32"/>
        </w:rPr>
        <w:t>本次评价主要针对该项目的规划编制的内容完整性和项目实施工作的质量问题，结合该项目资金的使用情况来完整的体现。</w:t>
      </w:r>
    </w:p>
    <w:p>
      <w:pPr>
        <w:ind w:firstLine="624" w:firstLineChars="200"/>
        <w:jc w:val="left"/>
        <w:rPr>
          <w:rFonts w:ascii="楷体" w:hAnsi="楷体" w:eastAsia="楷体" w:cs="楷体"/>
          <w:sz w:val="32"/>
          <w:szCs w:val="32"/>
          <w:lang w:val="zh-CN"/>
        </w:rPr>
      </w:pPr>
      <w:r>
        <w:rPr>
          <w:rFonts w:hint="eastAsia" w:ascii="楷体" w:hAnsi="楷体" w:eastAsia="楷体" w:cs="楷体"/>
          <w:sz w:val="32"/>
          <w:szCs w:val="32"/>
          <w:lang w:val="zh-CN"/>
        </w:rPr>
        <w:t>（三）评价选点。</w:t>
      </w:r>
    </w:p>
    <w:p>
      <w:pPr>
        <w:ind w:firstLine="624" w:firstLineChars="200"/>
        <w:rPr>
          <w:kern w:val="0"/>
          <w:szCs w:val="28"/>
        </w:rPr>
      </w:pPr>
      <w:r>
        <w:rPr>
          <w:rFonts w:hint="eastAsia" w:ascii="仿宋" w:hAnsi="仿宋" w:eastAsia="仿宋" w:cs="仿宋"/>
          <w:color w:val="000000" w:themeColor="text1"/>
          <w:sz w:val="32"/>
          <w:szCs w:val="32"/>
        </w:rPr>
        <w:t>西尔镇沙卡村基础设施提升项目实施主要地点为黑水县西尔镇沙卡村，项目不涉及其他点位。</w:t>
      </w:r>
    </w:p>
    <w:p>
      <w:pPr>
        <w:ind w:firstLine="624" w:firstLineChars="200"/>
        <w:jc w:val="left"/>
        <w:rPr>
          <w:rFonts w:ascii="楷体" w:hAnsi="楷体" w:eastAsia="楷体" w:cs="楷体"/>
          <w:sz w:val="32"/>
          <w:szCs w:val="32"/>
          <w:lang w:val="zh-CN"/>
        </w:rPr>
      </w:pPr>
      <w:r>
        <w:rPr>
          <w:rFonts w:hint="eastAsia" w:ascii="楷体" w:hAnsi="楷体" w:eastAsia="楷体" w:cs="楷体"/>
          <w:sz w:val="32"/>
          <w:szCs w:val="32"/>
          <w:lang w:val="zh-CN"/>
        </w:rPr>
        <w:t>（四）评价方法。</w:t>
      </w:r>
    </w:p>
    <w:p>
      <w:pPr>
        <w:adjustRightInd w:val="0"/>
        <w:snapToGrid w:val="0"/>
        <w:spacing w:line="578" w:lineRule="exact"/>
        <w:ind w:firstLine="624" w:firstLineChars="2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采用先进的绩效评价方法和科学的数据分析是取得正确客观评价结论的重要保障，评价组从以下方法中择优组织，对项目实施评价，通过定量和定性分析得出评价结论。</w:t>
      </w:r>
    </w:p>
    <w:p>
      <w:pPr>
        <w:adjustRightInd w:val="0"/>
        <w:snapToGrid w:val="0"/>
        <w:spacing w:line="578" w:lineRule="exact"/>
        <w:ind w:firstLine="624" w:firstLineChars="2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1.比较分析法。是指通过对绩效目标与实施效果、历史与当期情况、不同部门和地区同类支出的比较，综合分析绩效目标实现程度。</w:t>
      </w:r>
    </w:p>
    <w:p>
      <w:pPr>
        <w:adjustRightInd w:val="0"/>
        <w:snapToGrid w:val="0"/>
        <w:spacing w:line="578" w:lineRule="exact"/>
        <w:ind w:firstLine="624" w:firstLineChars="2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2.因素分析法。是指通过综合分析影响绩效目标实现、实施效果的内外因素，评价绩效目标实现程度。</w:t>
      </w:r>
    </w:p>
    <w:p>
      <w:pPr>
        <w:adjustRightInd w:val="0"/>
        <w:snapToGrid w:val="0"/>
        <w:spacing w:line="578" w:lineRule="exact"/>
        <w:ind w:firstLine="624" w:firstLineChars="2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3.最低成本分析法。是指对效益确定却不易计量的多个同类对象的实施成本进行比较，评价绩效目标实现程度。</w:t>
      </w:r>
    </w:p>
    <w:p>
      <w:pPr>
        <w:adjustRightInd w:val="0"/>
        <w:snapToGrid w:val="0"/>
        <w:spacing w:line="578" w:lineRule="exact"/>
        <w:ind w:firstLine="624" w:firstLineChars="2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4.双重交叉分析法。通过对项目建设前后的比较，根据成效等方面去寻找和分析政策产生的影响。</w:t>
      </w:r>
    </w:p>
    <w:p>
      <w:pPr>
        <w:adjustRightInd w:val="0"/>
        <w:snapToGrid w:val="0"/>
        <w:spacing w:line="578" w:lineRule="exact"/>
        <w:ind w:firstLine="624" w:firstLineChars="2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5.随机访谈法。针对部分项目负责人及实施主体进行了询问和访谈，如项目实施情况的必要性、可行性和满意度等进行随机访谈。</w:t>
      </w:r>
    </w:p>
    <w:p>
      <w:pPr>
        <w:ind w:firstLine="624" w:firstLineChars="200"/>
        <w:jc w:val="left"/>
        <w:rPr>
          <w:rFonts w:ascii="楷体" w:hAnsi="楷体" w:eastAsia="楷体" w:cs="楷体"/>
          <w:sz w:val="32"/>
          <w:szCs w:val="32"/>
          <w:lang w:val="zh-CN"/>
        </w:rPr>
      </w:pPr>
      <w:r>
        <w:rPr>
          <w:rFonts w:hint="eastAsia" w:ascii="楷体" w:hAnsi="楷体" w:eastAsia="楷体" w:cs="楷体"/>
          <w:sz w:val="32"/>
          <w:szCs w:val="32"/>
          <w:lang w:val="zh-CN"/>
        </w:rPr>
        <w:t>（五）评价组织。</w:t>
      </w:r>
    </w:p>
    <w:p>
      <w:pPr>
        <w:adjustRightInd w:val="0"/>
        <w:snapToGrid w:val="0"/>
        <w:spacing w:line="578" w:lineRule="exact"/>
        <w:ind w:firstLine="624" w:firstLineChars="2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1.领导小组职责：</w:t>
      </w:r>
    </w:p>
    <w:p>
      <w:pPr>
        <w:adjustRightInd w:val="0"/>
        <w:snapToGrid w:val="0"/>
        <w:spacing w:line="578" w:lineRule="exact"/>
        <w:ind w:firstLine="624" w:firstLineChars="2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（1）研究和决定管理绩效评价中的重大问题。</w:t>
      </w:r>
    </w:p>
    <w:p>
      <w:pPr>
        <w:adjustRightInd w:val="0"/>
        <w:snapToGrid w:val="0"/>
        <w:spacing w:line="578" w:lineRule="exact"/>
        <w:ind w:firstLine="624" w:firstLineChars="2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（2）组织协调绩效评价工作，确保评价的顺利进行。</w:t>
      </w:r>
    </w:p>
    <w:p>
      <w:pPr>
        <w:adjustRightInd w:val="0"/>
        <w:snapToGrid w:val="0"/>
        <w:spacing w:line="578" w:lineRule="exact"/>
        <w:ind w:firstLine="624" w:firstLineChars="2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（3）对本单位工作目标、绩效考核结果和等次、奖惩方案进行审核。</w:t>
      </w:r>
    </w:p>
    <w:p>
      <w:pPr>
        <w:adjustRightInd w:val="0"/>
        <w:snapToGrid w:val="0"/>
        <w:spacing w:line="578" w:lineRule="exact"/>
        <w:ind w:firstLine="624" w:firstLineChars="2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2.办公室职责：</w:t>
      </w:r>
    </w:p>
    <w:p>
      <w:pPr>
        <w:adjustRightInd w:val="0"/>
        <w:snapToGrid w:val="0"/>
        <w:spacing w:line="578" w:lineRule="exact"/>
        <w:ind w:firstLine="624" w:firstLineChars="2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（1）提出本单位管理绩效评价的工作方案，并负责具体组织实施。</w:t>
      </w:r>
    </w:p>
    <w:p>
      <w:pPr>
        <w:adjustRightInd w:val="0"/>
        <w:snapToGrid w:val="0"/>
        <w:spacing w:line="578" w:lineRule="exact"/>
        <w:ind w:firstLine="624" w:firstLineChars="2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（2）综合评价信息，提出评价结果等次认定方案及奖惩方案等。</w:t>
      </w:r>
    </w:p>
    <w:p>
      <w:pPr>
        <w:adjustRightInd w:val="0"/>
        <w:snapToGrid w:val="0"/>
        <w:spacing w:line="578" w:lineRule="exact"/>
        <w:ind w:firstLine="624" w:firstLineChars="2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（3）负责绩效评价的日常工作，包括宣传、沟通、协调等。</w:t>
      </w:r>
    </w:p>
    <w:p>
      <w:pPr>
        <w:adjustRightInd w:val="0"/>
        <w:snapToGrid w:val="0"/>
        <w:spacing w:line="578" w:lineRule="exact"/>
        <w:ind w:firstLine="624" w:firstLineChars="2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（4）根据评价结果撰写绩效评价报告，并递交给领导小组。</w:t>
      </w:r>
    </w:p>
    <w:p>
      <w:pPr>
        <w:adjustRightInd w:val="0"/>
        <w:snapToGrid w:val="0"/>
        <w:spacing w:line="578" w:lineRule="exact"/>
        <w:ind w:firstLine="624" w:firstLineChars="2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3.具体执行人员职责：</w:t>
      </w:r>
    </w:p>
    <w:p>
      <w:pPr>
        <w:adjustRightInd w:val="0"/>
        <w:snapToGrid w:val="0"/>
        <w:spacing w:line="578" w:lineRule="exact"/>
        <w:ind w:firstLine="624" w:firstLineChars="2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（1）组长：审批绩效自评方案，监督、检查、核实绩效自评结果。</w:t>
      </w:r>
    </w:p>
    <w:p>
      <w:pPr>
        <w:adjustRightInd w:val="0"/>
        <w:snapToGrid w:val="0"/>
        <w:spacing w:line="578" w:lineRule="exact"/>
        <w:ind w:firstLine="624" w:firstLineChars="2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（2）副组长：审核修改拟定的绩效自评方案，并提交领导小组经会议讨论通过，监督、部署、确认绩效自评过程及反馈意见的处理。</w:t>
      </w:r>
    </w:p>
    <w:p>
      <w:pPr>
        <w:adjustRightInd w:val="0"/>
        <w:snapToGrid w:val="0"/>
        <w:spacing w:line="578" w:lineRule="exact"/>
        <w:ind w:firstLine="624" w:firstLineChars="2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（3）小组成员：起草和修改绩效考评方案报自评领导工作组会议讨论通过，实施执行绩效自评方案；牵头组织并实施年度绩效自评，根据组长、副组长指示，对考评结果进行复核，完成绩效</w:t>
      </w:r>
      <w:r>
        <w:rPr>
          <w:rFonts w:hint="default" w:ascii="仿宋" w:hAnsi="仿宋" w:eastAsia="仿宋" w:cs="仿宋"/>
          <w:color w:val="000000" w:themeColor="text1"/>
          <w:sz w:val="32"/>
          <w:szCs w:val="32"/>
        </w:rPr>
        <w:t>考</w:t>
      </w:r>
      <w:r>
        <w:rPr>
          <w:rFonts w:hint="eastAsia" w:ascii="仿宋" w:hAnsi="仿宋" w:eastAsia="仿宋" w:cs="仿宋"/>
          <w:color w:val="000000" w:themeColor="text1"/>
          <w:sz w:val="32"/>
          <w:szCs w:val="32"/>
        </w:rPr>
        <w:t>核工作组安排的其他工作。</w:t>
      </w:r>
    </w:p>
    <w:p>
      <w:pPr>
        <w:adjustRightInd w:val="0"/>
        <w:snapToGrid w:val="0"/>
        <w:spacing w:line="578" w:lineRule="exact"/>
        <w:ind w:firstLine="624" w:firstLineChars="200"/>
        <w:rPr>
          <w:rFonts w:ascii="黑体" w:hAnsi="宋体" w:eastAsia="黑体" w:cs="Times New Roman"/>
          <w:sz w:val="32"/>
          <w:szCs w:val="32"/>
          <w:lang w:val="zh-CN"/>
        </w:rPr>
      </w:pPr>
      <w:r>
        <w:rPr>
          <w:rFonts w:hint="eastAsia" w:ascii="黑体" w:hAnsi="宋体" w:eastAsia="黑体" w:cs="Times New Roman"/>
          <w:sz w:val="32"/>
          <w:szCs w:val="32"/>
          <w:lang w:val="zh-CN"/>
        </w:rPr>
        <w:t>三、绩效分析</w:t>
      </w:r>
      <w:r>
        <w:rPr>
          <w:rFonts w:hint="eastAsia" w:ascii="黑体" w:hAnsi="宋体" w:eastAsia="黑体" w:cs="Times New Roman"/>
          <w:sz w:val="32"/>
          <w:szCs w:val="32"/>
          <w:lang w:val="zh-CN"/>
        </w:rPr>
        <w:tab/>
      </w:r>
    </w:p>
    <w:p>
      <w:pPr>
        <w:ind w:firstLine="624" w:firstLineChars="200"/>
        <w:jc w:val="left"/>
        <w:rPr>
          <w:rFonts w:ascii="楷体" w:hAnsi="楷体" w:eastAsia="楷体" w:cs="楷体"/>
          <w:sz w:val="32"/>
          <w:szCs w:val="32"/>
          <w:lang w:val="zh-CN"/>
        </w:rPr>
      </w:pPr>
      <w:r>
        <w:rPr>
          <w:rFonts w:hint="eastAsia" w:ascii="楷体" w:hAnsi="楷体" w:eastAsia="楷体" w:cs="楷体"/>
          <w:sz w:val="32"/>
          <w:szCs w:val="32"/>
          <w:lang w:val="zh-CN"/>
        </w:rPr>
        <w:t>（一）通用指标绩效分析。</w:t>
      </w:r>
    </w:p>
    <w:p>
      <w:pPr>
        <w:adjustRightInd w:val="0"/>
        <w:snapToGrid w:val="0"/>
        <w:spacing w:line="578" w:lineRule="exact"/>
        <w:ind w:firstLine="624" w:firstLineChars="2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1.项目决策。</w:t>
      </w:r>
    </w:p>
    <w:p>
      <w:pPr>
        <w:adjustRightInd w:val="0"/>
        <w:snapToGrid w:val="0"/>
        <w:spacing w:line="578" w:lineRule="exact"/>
        <w:ind w:firstLine="624" w:firstLineChars="2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（1）决策程序</w:t>
      </w:r>
    </w:p>
    <w:p>
      <w:pPr>
        <w:adjustRightInd w:val="0"/>
        <w:snapToGrid w:val="0"/>
        <w:spacing w:line="578" w:lineRule="exact"/>
        <w:ind w:firstLine="624" w:firstLineChars="200"/>
        <w:rPr>
          <w:rFonts w:ascii="仿宋" w:hAnsi="仿宋" w:eastAsia="仿宋" w:cs="仿宋"/>
          <w:sz w:val="32"/>
          <w:szCs w:val="32"/>
        </w:rPr>
      </w:pPr>
      <w:r>
        <w:rPr>
          <w:rFonts w:hint="eastAsia" w:ascii="仿宋" w:hAnsi="仿宋" w:eastAsia="仿宋" w:cs="仿宋"/>
          <w:sz w:val="32"/>
          <w:szCs w:val="32"/>
        </w:rPr>
        <w:t>项目设立、调整延续等方面符合资金管理基本规范和决策程序要求，该项指标得分6分。</w:t>
      </w:r>
    </w:p>
    <w:p>
      <w:pPr>
        <w:adjustRightInd w:val="0"/>
        <w:snapToGrid w:val="0"/>
        <w:spacing w:line="578" w:lineRule="exact"/>
        <w:ind w:firstLine="624" w:firstLineChars="200"/>
        <w:rPr>
          <w:rFonts w:ascii="仿宋" w:hAnsi="仿宋" w:eastAsia="仿宋" w:cs="仿宋"/>
          <w:sz w:val="32"/>
          <w:szCs w:val="32"/>
        </w:rPr>
      </w:pPr>
      <w:r>
        <w:rPr>
          <w:rFonts w:hint="eastAsia" w:ascii="仿宋" w:hAnsi="仿宋" w:eastAsia="仿宋" w:cs="仿宋"/>
          <w:sz w:val="32"/>
          <w:szCs w:val="32"/>
        </w:rPr>
        <w:t>（2）规划论证</w:t>
      </w:r>
    </w:p>
    <w:p>
      <w:pPr>
        <w:adjustRightInd w:val="0"/>
        <w:snapToGrid w:val="0"/>
        <w:spacing w:line="578" w:lineRule="exact"/>
        <w:ind w:firstLine="624" w:firstLineChars="200"/>
        <w:rPr>
          <w:rFonts w:ascii="仿宋" w:hAnsi="仿宋" w:eastAsia="仿宋" w:cs="仿宋"/>
          <w:sz w:val="32"/>
          <w:szCs w:val="32"/>
        </w:rPr>
      </w:pPr>
      <w:r>
        <w:rPr>
          <w:rFonts w:hint="eastAsia" w:ascii="仿宋" w:hAnsi="仿宋" w:eastAsia="仿宋" w:cs="仿宋"/>
          <w:sz w:val="32"/>
          <w:szCs w:val="32"/>
        </w:rPr>
        <w:t>项目充分评估论证了立项必要性、前瞻性、合理性和可行性。项目总体绩效目标设置合理性的偏离度≤15%，绩效目标科学合理、规范完整、量化细化、预算匹配，但部门绩效存在设置不规范的情况，扣2分，该项指标得分4分。</w:t>
      </w:r>
    </w:p>
    <w:p>
      <w:pPr>
        <w:adjustRightInd w:val="0"/>
        <w:snapToGrid w:val="0"/>
        <w:spacing w:line="578" w:lineRule="exact"/>
        <w:ind w:firstLine="624" w:firstLineChars="200"/>
        <w:rPr>
          <w:rFonts w:ascii="仿宋" w:hAnsi="仿宋" w:eastAsia="仿宋" w:cs="仿宋"/>
          <w:sz w:val="32"/>
          <w:szCs w:val="32"/>
        </w:rPr>
      </w:pPr>
      <w:r>
        <w:rPr>
          <w:rFonts w:hint="eastAsia" w:ascii="仿宋" w:hAnsi="仿宋" w:eastAsia="仿宋" w:cs="仿宋"/>
          <w:sz w:val="32"/>
          <w:szCs w:val="32"/>
        </w:rPr>
        <w:t>（3）资金投向</w:t>
      </w:r>
    </w:p>
    <w:p>
      <w:pPr>
        <w:adjustRightInd w:val="0"/>
        <w:snapToGrid w:val="0"/>
        <w:spacing w:line="578" w:lineRule="exact"/>
        <w:ind w:firstLine="624" w:firstLineChars="200"/>
        <w:rPr>
          <w:rFonts w:ascii="仿宋" w:hAnsi="仿宋" w:eastAsia="仿宋" w:cs="仿宋"/>
          <w:sz w:val="32"/>
          <w:szCs w:val="32"/>
        </w:rPr>
      </w:pPr>
      <w:r>
        <w:rPr>
          <w:rFonts w:hint="eastAsia" w:ascii="仿宋" w:hAnsi="仿宋" w:eastAsia="仿宋" w:cs="仿宋"/>
          <w:sz w:val="32"/>
          <w:szCs w:val="32"/>
        </w:rPr>
        <w:t>项目属于政府支持范围，且符合财政事权支出责任划分规定，资金投向与项目总体规划、相关行业事业发展相匹配，聚焦重大任务、重点领域、重点环节和重点项目，体现“集中财力办大事”原则，避免“撒胡椒面”，未与其他同类项目或部门内部相关项目交叉重复，该项指标得分6分。</w:t>
      </w:r>
    </w:p>
    <w:p>
      <w:pPr>
        <w:adjustRightInd w:val="0"/>
        <w:snapToGrid w:val="0"/>
        <w:spacing w:line="578" w:lineRule="exact"/>
        <w:ind w:firstLine="624" w:firstLineChars="2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2.项目管理。</w:t>
      </w:r>
    </w:p>
    <w:p>
      <w:pPr>
        <w:adjustRightInd w:val="0"/>
        <w:snapToGrid w:val="0"/>
        <w:spacing w:line="578" w:lineRule="exact"/>
        <w:ind w:firstLine="624" w:firstLineChars="2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（1）制度办法</w:t>
      </w:r>
    </w:p>
    <w:p>
      <w:pPr>
        <w:adjustRightInd w:val="0"/>
        <w:snapToGrid w:val="0"/>
        <w:spacing w:line="578" w:lineRule="exact"/>
        <w:ind w:firstLine="624" w:firstLineChars="2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资金管理办法等管理制度体系健全完善，不存在管理制度缺失、管理办法过期情况，该项指标得分2分。</w:t>
      </w:r>
    </w:p>
    <w:p>
      <w:pPr>
        <w:adjustRightInd w:val="0"/>
        <w:snapToGrid w:val="0"/>
        <w:spacing w:line="578" w:lineRule="exact"/>
        <w:ind w:firstLine="624" w:firstLineChars="2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（2）分配管理</w:t>
      </w:r>
    </w:p>
    <w:p>
      <w:pPr>
        <w:adjustRightInd w:val="0"/>
        <w:snapToGrid w:val="0"/>
        <w:spacing w:line="578" w:lineRule="exact"/>
        <w:ind w:firstLine="624" w:firstLineChars="2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资金分配因素选取充分考虑了相关行业事业发展实际和发展需求，资金分配因素的权重设置有效突出了项目实施重点，资金区域分布结果公平合理，建设了项目储备库，实行了入库项目动态管理、推动了资金竞争性分配，明确了项目申报审核程序，按规定程序履行了项目审批，资金分配依据充分合理，资金分配严格按管理办法执行，决策程序符合管理要求，及时高效，该项指标得分10分。</w:t>
      </w:r>
    </w:p>
    <w:p>
      <w:pPr>
        <w:adjustRightInd w:val="0"/>
        <w:snapToGrid w:val="0"/>
        <w:spacing w:line="578" w:lineRule="exact"/>
        <w:ind w:firstLine="624" w:firstLineChars="2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（3）绩效监管</w:t>
      </w:r>
    </w:p>
    <w:p>
      <w:pPr>
        <w:adjustRightInd w:val="0"/>
        <w:snapToGrid w:val="0"/>
        <w:spacing w:line="578" w:lineRule="exact"/>
        <w:ind w:firstLine="624" w:firstLineChars="2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项目按要求全面完成绩效目标（含事前评估）、绩效评价等预算绩效管理工作，不存在资金分配和项目管理指导力度不够的情况，对本村开展了评价、监督、指导等工作，该项指标得分6分。</w:t>
      </w:r>
    </w:p>
    <w:p>
      <w:pPr>
        <w:adjustRightInd w:val="0"/>
        <w:snapToGrid w:val="0"/>
        <w:spacing w:line="578" w:lineRule="exact"/>
        <w:ind w:firstLine="624" w:firstLineChars="2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3.项目实施。围绕、进行绩效分析。</w:t>
      </w:r>
    </w:p>
    <w:p>
      <w:pPr>
        <w:adjustRightInd w:val="0"/>
        <w:snapToGrid w:val="0"/>
        <w:spacing w:line="578" w:lineRule="exact"/>
        <w:ind w:firstLine="624" w:firstLineChars="2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（1）预算执行</w:t>
      </w:r>
    </w:p>
    <w:p>
      <w:pPr>
        <w:adjustRightInd w:val="0"/>
        <w:snapToGrid w:val="0"/>
        <w:spacing w:line="578" w:lineRule="exact"/>
        <w:ind w:firstLine="624" w:firstLineChars="2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财政资金已按照要求拨付完毕，拨付率100%，该项指标得分=财政资金拨付率×100%×6=6分。</w:t>
      </w:r>
    </w:p>
    <w:p>
      <w:pPr>
        <w:adjustRightInd w:val="0"/>
        <w:snapToGrid w:val="0"/>
        <w:spacing w:line="578" w:lineRule="exact"/>
        <w:ind w:firstLine="624" w:firstLineChars="2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（2）资金使用</w:t>
      </w:r>
    </w:p>
    <w:p>
      <w:pPr>
        <w:adjustRightInd w:val="0"/>
        <w:snapToGrid w:val="0"/>
        <w:spacing w:line="578" w:lineRule="exact"/>
        <w:ind w:firstLine="624" w:firstLineChars="2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项目资金使用、拨付符合国家财经法规、财务管理制度及有关专项资金管理制度办法规定和审批程序，不存在超范围、超标准、超进度使用专项资金，不存在资金损失浪费、长期沉淀、截留、挤占、挪用、虚列支出等情况，项目实施遵守相关法律法规，该项指标得分3分。</w:t>
      </w:r>
    </w:p>
    <w:p>
      <w:pPr>
        <w:adjustRightInd w:val="0"/>
        <w:snapToGrid w:val="0"/>
        <w:spacing w:line="578" w:lineRule="exact"/>
        <w:ind w:firstLine="624" w:firstLineChars="2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4.项目结果。</w:t>
      </w:r>
    </w:p>
    <w:p>
      <w:pPr>
        <w:adjustRightInd w:val="0"/>
        <w:snapToGrid w:val="0"/>
        <w:spacing w:line="578" w:lineRule="exact"/>
        <w:ind w:firstLine="624" w:firstLineChars="2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（1）目标完成</w:t>
      </w:r>
    </w:p>
    <w:p>
      <w:pPr>
        <w:adjustRightInd w:val="0"/>
        <w:snapToGrid w:val="0"/>
        <w:spacing w:line="578" w:lineRule="exact"/>
        <w:ind w:firstLine="624" w:firstLineChars="2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项目完成预期目标，实施结果与绩效目标相匹配，该项指标得分6分。</w:t>
      </w:r>
    </w:p>
    <w:p>
      <w:pPr>
        <w:adjustRightInd w:val="0"/>
        <w:snapToGrid w:val="0"/>
        <w:spacing w:line="578" w:lineRule="exact"/>
        <w:ind w:firstLine="624" w:firstLineChars="2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（2）完成时效</w:t>
      </w:r>
    </w:p>
    <w:p>
      <w:pPr>
        <w:adjustRightInd w:val="0"/>
        <w:snapToGrid w:val="0"/>
        <w:spacing w:line="578" w:lineRule="exact"/>
        <w:ind w:firstLine="624" w:firstLineChars="2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项目实际完成时间与计划完成时间相符，该项指标得分3分。</w:t>
      </w:r>
    </w:p>
    <w:p>
      <w:pPr>
        <w:adjustRightInd w:val="0"/>
        <w:snapToGrid w:val="0"/>
        <w:spacing w:line="578" w:lineRule="exact"/>
        <w:ind w:firstLine="624" w:firstLineChars="2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（二）专用指标绩效分析。</w:t>
      </w:r>
    </w:p>
    <w:p>
      <w:pPr>
        <w:adjustRightInd w:val="0"/>
        <w:snapToGrid w:val="0"/>
        <w:spacing w:line="578" w:lineRule="exact"/>
        <w:ind w:firstLine="624" w:firstLineChars="2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1.基础设施。</w:t>
      </w:r>
    </w:p>
    <w:p>
      <w:pPr>
        <w:adjustRightInd w:val="0"/>
        <w:snapToGrid w:val="0"/>
        <w:spacing w:line="578" w:lineRule="exact"/>
        <w:ind w:firstLine="624" w:firstLineChars="2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(1) 工程进度</w:t>
      </w:r>
    </w:p>
    <w:p>
      <w:pPr>
        <w:adjustRightInd w:val="0"/>
        <w:snapToGrid w:val="0"/>
        <w:spacing w:line="578" w:lineRule="exact"/>
        <w:ind w:firstLine="624" w:firstLineChars="2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项目达到计划工程进度，该项指标得分15分。</w:t>
      </w:r>
    </w:p>
    <w:p>
      <w:pPr>
        <w:adjustRightInd w:val="0"/>
        <w:snapToGrid w:val="0"/>
        <w:spacing w:line="578" w:lineRule="exact"/>
        <w:ind w:firstLine="624" w:firstLineChars="2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(2) 资金拨付</w:t>
      </w:r>
    </w:p>
    <w:p>
      <w:pPr>
        <w:adjustRightInd w:val="0"/>
        <w:snapToGrid w:val="0"/>
        <w:spacing w:line="578" w:lineRule="exact"/>
        <w:ind w:firstLine="624" w:firstLineChars="2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项目达到预先确定的资金拨付进度，该项指标得分15分。</w:t>
      </w:r>
    </w:p>
    <w:p>
      <w:pPr>
        <w:adjustRightInd w:val="0"/>
        <w:snapToGrid w:val="0"/>
        <w:spacing w:line="578" w:lineRule="exact"/>
        <w:ind w:firstLine="312" w:firstLineChars="100"/>
        <w:rPr>
          <w:rFonts w:hint="eastAsia" w:ascii="仿宋" w:hAnsi="仿宋" w:eastAsia="仿宋" w:cs="仿宋"/>
          <w:color w:val="000000" w:themeColor="text1"/>
          <w:sz w:val="32"/>
          <w:szCs w:val="32"/>
        </w:rPr>
      </w:pPr>
      <w:r>
        <w:rPr>
          <w:rFonts w:hint="eastAsia" w:ascii="仿宋" w:hAnsi="仿宋" w:eastAsia="仿宋" w:cs="仿宋"/>
          <w:color w:val="000000" w:themeColor="text1"/>
          <w:sz w:val="32"/>
          <w:szCs w:val="32"/>
        </w:rPr>
        <w:t>（三）个性指标绩效分析。</w:t>
      </w:r>
    </w:p>
    <w:p>
      <w:pPr>
        <w:adjustRightInd w:val="0"/>
        <w:snapToGrid w:val="0"/>
        <w:spacing w:line="578" w:lineRule="exact"/>
        <w:ind w:firstLine="624" w:firstLineChars="2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1.个性指标。</w:t>
      </w:r>
    </w:p>
    <w:p>
      <w:pPr>
        <w:adjustRightInd w:val="0"/>
        <w:snapToGrid w:val="0"/>
        <w:spacing w:line="578" w:lineRule="exact"/>
        <w:ind w:firstLine="312" w:firstLineChars="1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（1）执行进度</w:t>
      </w:r>
    </w:p>
    <w:p>
      <w:pPr>
        <w:adjustRightInd w:val="0"/>
        <w:snapToGrid w:val="0"/>
        <w:spacing w:line="578" w:lineRule="exact"/>
        <w:ind w:firstLine="312" w:firstLineChars="1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项目是如期完成，该项指标得分5分。</w:t>
      </w:r>
    </w:p>
    <w:p>
      <w:pPr>
        <w:adjustRightInd w:val="0"/>
        <w:snapToGrid w:val="0"/>
        <w:spacing w:line="578" w:lineRule="exact"/>
        <w:ind w:firstLine="312" w:firstLineChars="1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（2）资金拨付进度</w:t>
      </w:r>
    </w:p>
    <w:p>
      <w:pPr>
        <w:adjustRightInd w:val="0"/>
        <w:snapToGrid w:val="0"/>
        <w:spacing w:line="578" w:lineRule="exact"/>
        <w:ind w:firstLine="312" w:firstLineChars="1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资金按期拨付，该项指标得分5分。</w:t>
      </w:r>
    </w:p>
    <w:p>
      <w:pPr>
        <w:adjustRightInd w:val="0"/>
        <w:snapToGrid w:val="0"/>
        <w:spacing w:line="578" w:lineRule="exact"/>
        <w:ind w:firstLine="312" w:firstLineChars="1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（3）项目效果</w:t>
      </w:r>
    </w:p>
    <w:p>
      <w:pPr>
        <w:adjustRightInd w:val="0"/>
        <w:snapToGrid w:val="0"/>
        <w:spacing w:line="578" w:lineRule="exact"/>
        <w:ind w:firstLine="624" w:firstLineChars="2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项目实施后，拉动了经济，增加了村民的收入，提高了村民的满意度，该项指标得分6分。</w:t>
      </w:r>
    </w:p>
    <w:p>
      <w:pPr>
        <w:adjustRightInd w:val="0"/>
        <w:snapToGrid w:val="0"/>
        <w:spacing w:line="578" w:lineRule="exact"/>
        <w:ind w:firstLine="624" w:firstLineChars="200"/>
        <w:rPr>
          <w:rFonts w:ascii="黑体" w:hAnsi="黑体" w:eastAsia="黑体" w:cs="黑体"/>
          <w:color w:val="000000" w:themeColor="text1"/>
          <w:sz w:val="32"/>
          <w:szCs w:val="32"/>
        </w:rPr>
      </w:pPr>
      <w:r>
        <w:rPr>
          <w:rFonts w:hint="eastAsia" w:ascii="黑体" w:hAnsi="黑体" w:eastAsia="黑体" w:cs="黑体"/>
          <w:color w:val="000000" w:themeColor="text1"/>
          <w:sz w:val="32"/>
          <w:szCs w:val="32"/>
        </w:rPr>
        <w:t>四、评价结论</w:t>
      </w:r>
    </w:p>
    <w:p>
      <w:pPr>
        <w:ind w:firstLine="624" w:firstLineChars="2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本单位严格按照绩效自评工作要求，秉承客观公正、实事求是的原则开展了西尔镇沙卡村基础设施提升项目资金支出绩效自评工作，经对各类指标进行评分和汇总分析，2023年西尔镇沙卡村基础设施提升项目资金支出绩效评价综合得分98分。评价结果显示，2023年西尔镇沙卡村基础设施提升项目按照相关规定进行使用和管理，程序较为规范，项目支出使用效益达到预期。</w:t>
      </w:r>
    </w:p>
    <w:p>
      <w:pPr>
        <w:adjustRightInd w:val="0"/>
        <w:snapToGrid w:val="0"/>
        <w:spacing w:line="578" w:lineRule="exact"/>
        <w:ind w:firstLine="624" w:firstLineChars="200"/>
        <w:rPr>
          <w:rFonts w:ascii="黑体" w:hAnsi="黑体" w:eastAsia="黑体" w:cs="黑体"/>
          <w:color w:val="000000" w:themeColor="text1"/>
          <w:sz w:val="32"/>
          <w:szCs w:val="32"/>
        </w:rPr>
      </w:pPr>
      <w:r>
        <w:rPr>
          <w:rFonts w:hint="eastAsia" w:ascii="黑体" w:hAnsi="黑体" w:eastAsia="黑体" w:cs="黑体"/>
          <w:color w:val="000000" w:themeColor="text1"/>
          <w:sz w:val="32"/>
          <w:szCs w:val="32"/>
        </w:rPr>
        <w:t>五、存在主要问题</w:t>
      </w:r>
    </w:p>
    <w:p>
      <w:pPr>
        <w:adjustRightInd w:val="0"/>
        <w:snapToGrid w:val="0"/>
        <w:spacing w:line="578" w:lineRule="exact"/>
        <w:ind w:firstLine="624" w:firstLineChars="200"/>
        <w:rPr>
          <w:rFonts w:ascii="仿宋" w:hAnsi="仿宋" w:eastAsia="仿宋" w:cs="仿宋"/>
          <w:color w:val="000000" w:themeColor="text1"/>
          <w:sz w:val="32"/>
          <w:szCs w:val="32"/>
        </w:rPr>
      </w:pPr>
      <w:r>
        <w:rPr>
          <w:rFonts w:ascii="仿宋" w:hAnsi="仿宋" w:eastAsia="仿宋" w:cs="仿宋"/>
          <w:color w:val="000000" w:themeColor="text1"/>
          <w:sz w:val="32"/>
          <w:szCs w:val="32"/>
        </w:rPr>
        <w:t>绩效目标编报</w:t>
      </w:r>
      <w:r>
        <w:rPr>
          <w:rFonts w:hint="eastAsia" w:ascii="仿宋" w:hAnsi="仿宋" w:eastAsia="仿宋" w:cs="仿宋"/>
          <w:color w:val="000000" w:themeColor="text1"/>
          <w:sz w:val="32"/>
          <w:szCs w:val="32"/>
        </w:rPr>
        <w:t>有待</w:t>
      </w:r>
      <w:r>
        <w:rPr>
          <w:rFonts w:ascii="仿宋" w:hAnsi="仿宋" w:eastAsia="仿宋" w:cs="仿宋"/>
          <w:color w:val="000000" w:themeColor="text1"/>
          <w:sz w:val="32"/>
          <w:szCs w:val="32"/>
        </w:rPr>
        <w:t>规范</w:t>
      </w:r>
      <w:r>
        <w:rPr>
          <w:rFonts w:hint="eastAsia" w:ascii="仿宋" w:hAnsi="仿宋" w:eastAsia="仿宋" w:cs="仿宋"/>
          <w:color w:val="000000" w:themeColor="text1"/>
          <w:sz w:val="32"/>
          <w:szCs w:val="32"/>
        </w:rPr>
        <w:t>，绩效指标编制要素不完整，该项目绩效目标申报表中的产出指标下未设置数量指标，没有成本指标。</w:t>
      </w:r>
    </w:p>
    <w:p>
      <w:pPr>
        <w:adjustRightInd w:val="0"/>
        <w:snapToGrid w:val="0"/>
        <w:spacing w:line="578" w:lineRule="exact"/>
        <w:ind w:firstLine="624" w:firstLineChars="200"/>
        <w:rPr>
          <w:rFonts w:ascii="黑体" w:hAnsi="黑体" w:eastAsia="黑体" w:cs="黑体"/>
          <w:color w:val="000000" w:themeColor="text1"/>
          <w:sz w:val="32"/>
          <w:szCs w:val="32"/>
          <w:lang w:val="zh-CN"/>
        </w:rPr>
      </w:pPr>
      <w:r>
        <w:rPr>
          <w:rFonts w:hint="eastAsia" w:ascii="黑体" w:hAnsi="黑体" w:eastAsia="黑体" w:cs="黑体"/>
          <w:color w:val="000000" w:themeColor="text1"/>
          <w:sz w:val="32"/>
          <w:szCs w:val="32"/>
          <w:lang w:val="zh-CN"/>
        </w:rPr>
        <w:t>六、改进建议</w:t>
      </w:r>
    </w:p>
    <w:p>
      <w:pPr>
        <w:adjustRightInd w:val="0"/>
        <w:snapToGrid w:val="0"/>
        <w:spacing w:line="578" w:lineRule="exact"/>
        <w:ind w:firstLine="624" w:firstLineChars="200"/>
        <w:rPr>
          <w:rFonts w:ascii="仿宋" w:hAnsi="仿宋" w:eastAsia="仿宋" w:cs="仿宋"/>
          <w:color w:val="000000" w:themeColor="text1"/>
          <w:sz w:val="32"/>
          <w:szCs w:val="32"/>
        </w:rPr>
      </w:pPr>
      <w:bookmarkStart w:id="0" w:name="_Hlk110546638"/>
      <w:r>
        <w:rPr>
          <w:rFonts w:hint="eastAsia" w:ascii="仿宋" w:hAnsi="仿宋" w:eastAsia="仿宋" w:cs="仿宋"/>
          <w:color w:val="000000" w:themeColor="text1"/>
          <w:sz w:val="32"/>
          <w:szCs w:val="32"/>
        </w:rPr>
        <w:t>加强绩效目标管理，提高绩效目标编制质量，建议单位今后在编制部门整体绩效目标申报时，增加工作人员相关理论知识的培训与学习，按照项目具体内容，设置要素完整、指向明确、细化量化、合理可行、相应匹配的项目支出绩效目标，设置高度关联、重点突出、量化易评的项目支出绩效指标。</w:t>
      </w:r>
    </w:p>
    <w:p>
      <w:pPr>
        <w:adjustRightInd w:val="0"/>
        <w:snapToGrid w:val="0"/>
        <w:spacing w:line="578" w:lineRule="exact"/>
        <w:ind w:firstLine="624" w:firstLineChars="200"/>
        <w:rPr>
          <w:rFonts w:ascii="仿宋" w:hAnsi="仿宋" w:eastAsia="仿宋" w:cs="仿宋"/>
          <w:color w:val="000000" w:themeColor="text1"/>
          <w:sz w:val="32"/>
          <w:szCs w:val="32"/>
        </w:rPr>
      </w:pPr>
    </w:p>
    <w:bookmarkEnd w:id="0"/>
    <w:p>
      <w:pPr>
        <w:adjustRightInd w:val="0"/>
        <w:snapToGrid w:val="0"/>
        <w:spacing w:line="578" w:lineRule="exact"/>
        <w:ind w:firstLine="624" w:firstLineChars="200"/>
        <w:rPr>
          <w:rFonts w:ascii="仿宋" w:hAnsi="仿宋" w:eastAsia="仿宋" w:cs="仿宋"/>
          <w:color w:val="000000" w:themeColor="text1"/>
          <w:sz w:val="32"/>
          <w:szCs w:val="32"/>
          <w:lang w:val="zh-CN"/>
        </w:rPr>
      </w:pPr>
    </w:p>
    <w:p>
      <w:pPr>
        <w:adjustRightInd w:val="0"/>
        <w:snapToGrid w:val="0"/>
        <w:spacing w:line="578" w:lineRule="exact"/>
        <w:ind w:firstLine="624" w:firstLineChars="200"/>
        <w:rPr>
          <w:rFonts w:ascii="仿宋" w:hAnsi="仿宋" w:eastAsia="仿宋" w:cs="仿宋"/>
          <w:color w:val="000000" w:themeColor="text1"/>
          <w:sz w:val="32"/>
          <w:szCs w:val="32"/>
        </w:rPr>
      </w:pPr>
    </w:p>
    <w:p>
      <w:pPr>
        <w:adjustRightInd w:val="0"/>
        <w:snapToGrid w:val="0"/>
        <w:spacing w:line="578" w:lineRule="exact"/>
        <w:ind w:firstLine="624" w:firstLineChars="200"/>
        <w:rPr>
          <w:rFonts w:ascii="仿宋" w:hAnsi="仿宋" w:eastAsia="仿宋" w:cs="仿宋"/>
          <w:color w:val="000000" w:themeColor="text1"/>
          <w:sz w:val="32"/>
          <w:szCs w:val="32"/>
        </w:rPr>
      </w:pPr>
    </w:p>
    <w:p>
      <w:pPr>
        <w:adjustRightInd w:val="0"/>
        <w:snapToGrid w:val="0"/>
        <w:spacing w:line="578" w:lineRule="exact"/>
        <w:ind w:firstLine="624" w:firstLineChars="2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附表：1、项目资金分配涉及所有点位自评得分情况表</w:t>
      </w:r>
    </w:p>
    <w:p>
      <w:pPr>
        <w:adjustRightInd w:val="0"/>
        <w:snapToGrid w:val="0"/>
        <w:spacing w:line="578" w:lineRule="exact"/>
        <w:ind w:firstLine="1560" w:firstLineChars="5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2、专项预算项目绩效目标完成情况自评表</w:t>
      </w:r>
    </w:p>
    <w:p>
      <w:pPr>
        <w:pStyle w:val="2"/>
      </w:pPr>
    </w:p>
    <w:p>
      <w:pPr>
        <w:snapToGrid w:val="0"/>
        <w:spacing w:line="578" w:lineRule="exact"/>
        <w:rPr>
          <w:rFonts w:ascii="仿宋_GB2312" w:hAnsi="仿宋_GB2312" w:cs="仿宋_GB2312"/>
          <w:kern w:val="0"/>
          <w:lang w:val="zh-CN"/>
        </w:rPr>
      </w:pPr>
    </w:p>
    <w:p>
      <w:pPr>
        <w:snapToGrid w:val="0"/>
        <w:spacing w:line="578" w:lineRule="exact"/>
        <w:rPr>
          <w:rFonts w:ascii="仿宋_GB2312" w:hAnsi="仿宋_GB2312" w:cs="仿宋_GB2312"/>
          <w:kern w:val="0"/>
          <w:lang w:val="zh-CN"/>
        </w:rPr>
      </w:pPr>
    </w:p>
    <w:p>
      <w:pPr>
        <w:pStyle w:val="2"/>
        <w:rPr>
          <w:rFonts w:ascii="仿宋_GB2312" w:hAnsi="仿宋_GB2312" w:cs="仿宋_GB2312"/>
          <w:kern w:val="0"/>
          <w:lang w:val="zh-CN"/>
        </w:rPr>
      </w:pPr>
    </w:p>
    <w:p>
      <w:pPr>
        <w:pStyle w:val="2"/>
        <w:rPr>
          <w:rFonts w:ascii="仿宋_GB2312" w:hAnsi="仿宋_GB2312" w:cs="仿宋_GB2312"/>
          <w:kern w:val="0"/>
          <w:lang w:val="zh-CN"/>
        </w:rPr>
      </w:pPr>
    </w:p>
    <w:p>
      <w:pPr>
        <w:pStyle w:val="2"/>
        <w:rPr>
          <w:rFonts w:ascii="仿宋_GB2312" w:hAnsi="仿宋_GB2312" w:cs="仿宋_GB2312"/>
          <w:kern w:val="0"/>
          <w:lang w:val="zh-CN"/>
        </w:rPr>
      </w:pPr>
    </w:p>
    <w:p>
      <w:pPr>
        <w:pStyle w:val="2"/>
        <w:rPr>
          <w:rFonts w:ascii="仿宋_GB2312" w:hAnsi="仿宋_GB2312" w:cs="仿宋_GB2312"/>
          <w:kern w:val="0"/>
          <w:lang w:val="zh-CN"/>
        </w:rPr>
      </w:pPr>
    </w:p>
    <w:p>
      <w:pPr>
        <w:pStyle w:val="2"/>
        <w:rPr>
          <w:rFonts w:ascii="仿宋_GB2312" w:hAnsi="仿宋_GB2312" w:cs="仿宋_GB2312"/>
          <w:kern w:val="0"/>
          <w:lang w:val="zh-CN"/>
        </w:rPr>
      </w:pPr>
    </w:p>
    <w:p>
      <w:pPr>
        <w:pStyle w:val="2"/>
        <w:rPr>
          <w:rFonts w:ascii="仿宋_GB2312" w:hAnsi="仿宋_GB2312" w:cs="仿宋_GB2312"/>
          <w:kern w:val="0"/>
          <w:lang w:val="zh-CN"/>
        </w:rPr>
      </w:pPr>
    </w:p>
    <w:p>
      <w:pPr>
        <w:pStyle w:val="2"/>
        <w:rPr>
          <w:rFonts w:ascii="仿宋_GB2312" w:hAnsi="仿宋_GB2312" w:cs="仿宋_GB2312"/>
          <w:kern w:val="0"/>
          <w:lang w:val="zh-CN"/>
        </w:rPr>
      </w:pPr>
    </w:p>
    <w:p>
      <w:pPr>
        <w:pStyle w:val="2"/>
        <w:rPr>
          <w:rFonts w:ascii="仿宋_GB2312" w:hAnsi="仿宋_GB2312" w:cs="仿宋_GB2312"/>
          <w:kern w:val="0"/>
          <w:lang w:val="zh-CN"/>
        </w:rPr>
      </w:pPr>
    </w:p>
    <w:p>
      <w:pPr>
        <w:pStyle w:val="2"/>
        <w:rPr>
          <w:rFonts w:ascii="仿宋_GB2312" w:hAnsi="仿宋_GB2312" w:cs="仿宋_GB2312"/>
          <w:kern w:val="0"/>
          <w:lang w:val="zh-CN"/>
        </w:rPr>
      </w:pPr>
    </w:p>
    <w:p>
      <w:pPr>
        <w:pStyle w:val="2"/>
        <w:rPr>
          <w:rFonts w:ascii="仿宋_GB2312" w:hAnsi="仿宋_GB2312" w:cs="仿宋_GB2312"/>
          <w:kern w:val="0"/>
          <w:lang w:val="zh-CN"/>
        </w:rPr>
      </w:pPr>
    </w:p>
    <w:p>
      <w:pPr>
        <w:pStyle w:val="2"/>
        <w:rPr>
          <w:rFonts w:ascii="仿宋_GB2312" w:hAnsi="仿宋_GB2312" w:cs="仿宋_GB2312"/>
          <w:kern w:val="0"/>
          <w:lang w:val="zh-CN"/>
        </w:rPr>
      </w:pPr>
      <w:r>
        <w:rPr>
          <w:rFonts w:ascii="仿宋_GB2312" w:hAnsi="仿宋_GB2312" w:cs="仿宋_GB2312"/>
          <w:kern w:val="0"/>
        </w:rPr>
        <w:drawing>
          <wp:anchor distT="0" distB="0" distL="114300" distR="114300" simplePos="0" relativeHeight="251660288" behindDoc="0" locked="0" layoutInCell="1" allowOverlap="1">
            <wp:simplePos x="0" y="0"/>
            <wp:positionH relativeFrom="column">
              <wp:posOffset>4046855</wp:posOffset>
            </wp:positionH>
            <wp:positionV relativeFrom="paragraph">
              <wp:posOffset>45720</wp:posOffset>
            </wp:positionV>
            <wp:extent cx="1457325" cy="1477010"/>
            <wp:effectExtent l="19050" t="0" r="0" b="0"/>
            <wp:wrapNone/>
            <wp:docPr id="2" name="图片 2" descr="公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公章"/>
                    <pic:cNvPicPr>
                      <a:picLocks noChangeAspect="1"/>
                    </pic:cNvPicPr>
                  </pic:nvPicPr>
                  <pic:blipFill>
                    <a:blip r:embed="rId7" cstate="print"/>
                    <a:stretch>
                      <a:fillRect/>
                    </a:stretch>
                  </pic:blipFill>
                  <pic:spPr>
                    <a:xfrm>
                      <a:off x="0" y="0"/>
                      <a:ext cx="1457325" cy="1477010"/>
                    </a:xfrm>
                    <a:prstGeom prst="rect">
                      <a:avLst/>
                    </a:prstGeom>
                  </pic:spPr>
                </pic:pic>
              </a:graphicData>
            </a:graphic>
          </wp:anchor>
        </w:drawing>
      </w:r>
    </w:p>
    <w:p>
      <w:pPr>
        <w:ind w:firstLine="5616" w:firstLineChars="1800"/>
        <w:rPr>
          <w:rFonts w:ascii="仿宋_GB2312" w:hAnsi="仿宋_GB2312" w:eastAsia="仿宋_GB2312" w:cs="仿宋_GB2312"/>
          <w:sz w:val="32"/>
          <w:szCs w:val="32"/>
        </w:rPr>
      </w:pPr>
    </w:p>
    <w:p>
      <w:pPr>
        <w:ind w:firstLine="5616" w:firstLineChars="1800"/>
        <w:rPr>
          <w:rFonts w:ascii="仿宋_GB2312" w:hAnsi="仿宋_GB2312" w:eastAsia="仿宋_GB2312" w:cs="仿宋_GB2312"/>
          <w:sz w:val="32"/>
          <w:szCs w:val="32"/>
        </w:rPr>
      </w:pPr>
      <w:r>
        <w:rPr>
          <w:rFonts w:hint="eastAsia" w:ascii="仿宋_GB2312" w:hAnsi="仿宋_GB2312" w:eastAsia="仿宋_GB2312" w:cs="仿宋_GB2312"/>
          <w:sz w:val="32"/>
          <w:szCs w:val="32"/>
        </w:rPr>
        <w:t>黑水县西尔镇人民政府</w:t>
      </w:r>
    </w:p>
    <w:p>
      <w:pPr>
        <w:spacing w:line="560" w:lineRule="exact"/>
        <w:ind w:firstLine="5928" w:firstLineChars="1900"/>
        <w:rPr>
          <w:rFonts w:ascii="仿宋_GB2312" w:hAnsi="仿宋_GB2312" w:eastAsia="仿宋_GB2312" w:cs="仿宋_GB2312"/>
          <w:sz w:val="32"/>
          <w:szCs w:val="32"/>
        </w:rPr>
      </w:pPr>
      <w:r>
        <w:rPr>
          <w:rFonts w:hint="eastAsia" w:ascii="仿宋_GB2312" w:hAnsi="仿宋_GB2312" w:eastAsia="仿宋_GB2312" w:cs="仿宋_GB2312"/>
          <w:sz w:val="32"/>
          <w:szCs w:val="32"/>
        </w:rPr>
        <w:t>2023年8</w:t>
      </w:r>
      <w:r>
        <w:rPr>
          <w:rFonts w:ascii="仿宋_GB2312" w:hAnsi="仿宋_GB2312" w:eastAsia="仿宋_GB2312" w:cs="仿宋_GB2312"/>
          <w:sz w:val="32"/>
          <w:szCs w:val="32"/>
        </w:rPr>
        <w:t>月</w:t>
      </w:r>
      <w:r>
        <w:rPr>
          <w:rFonts w:hint="eastAsia" w:ascii="仿宋_GB2312" w:hAnsi="仿宋_GB2312" w:eastAsia="仿宋_GB2312" w:cs="仿宋_GB2312"/>
          <w:sz w:val="32"/>
          <w:szCs w:val="32"/>
        </w:rPr>
        <w:t>6日</w:t>
      </w:r>
    </w:p>
    <w:p>
      <w:pPr>
        <w:spacing w:line="576" w:lineRule="exact"/>
        <w:ind w:firstLine="624" w:firstLineChars="200"/>
        <w:rPr>
          <w:rFonts w:ascii="Times New Roman" w:hAnsi="Times New Roman" w:eastAsia="黑体" w:cs="Times New Roman"/>
          <w:sz w:val="32"/>
          <w:szCs w:val="32"/>
        </w:rPr>
      </w:pPr>
    </w:p>
    <w:p>
      <w:pPr>
        <w:spacing w:line="576" w:lineRule="exact"/>
        <w:ind w:firstLine="624" w:firstLineChars="200"/>
        <w:rPr>
          <w:rFonts w:ascii="Times New Roman" w:hAnsi="Times New Roman" w:eastAsia="黑体" w:cs="Times New Roman"/>
          <w:sz w:val="32"/>
          <w:szCs w:val="32"/>
        </w:rPr>
      </w:pPr>
    </w:p>
    <w:p>
      <w:pPr>
        <w:spacing w:line="576" w:lineRule="exact"/>
        <w:ind w:firstLine="624" w:firstLineChars="200"/>
        <w:rPr>
          <w:rFonts w:ascii="Times New Roman" w:hAnsi="Times New Roman" w:eastAsia="黑体" w:cs="Times New Roman"/>
          <w:sz w:val="32"/>
          <w:szCs w:val="32"/>
        </w:rPr>
      </w:pPr>
    </w:p>
    <w:p>
      <w:pPr>
        <w:spacing w:line="576" w:lineRule="exact"/>
        <w:ind w:firstLine="624" w:firstLineChars="200"/>
        <w:rPr>
          <w:rFonts w:ascii="Times New Roman" w:hAnsi="Times New Roman" w:eastAsia="黑体" w:cs="Times New Roman"/>
          <w:sz w:val="32"/>
          <w:szCs w:val="32"/>
        </w:rPr>
      </w:pPr>
    </w:p>
    <w:p>
      <w:pPr>
        <w:pStyle w:val="2"/>
        <w:rPr>
          <w:rFonts w:ascii="Calibri" w:hAnsi="Calibri" w:eastAsia="方正小标宋_GBK"/>
          <w:sz w:val="28"/>
          <w:szCs w:val="28"/>
        </w:rPr>
      </w:pPr>
    </w:p>
    <w:p>
      <w:pPr>
        <w:pStyle w:val="2"/>
        <w:rPr>
          <w:rFonts w:ascii="Calibri" w:hAnsi="Calibri" w:eastAsia="方正小标宋_GBK"/>
          <w:sz w:val="28"/>
          <w:szCs w:val="28"/>
        </w:rPr>
      </w:pPr>
    </w:p>
    <w:p>
      <w:pPr>
        <w:pStyle w:val="2"/>
        <w:rPr>
          <w:rFonts w:ascii="Calibri" w:hAnsi="Calibri" w:eastAsia="方正小标宋_GBK"/>
          <w:sz w:val="28"/>
          <w:szCs w:val="28"/>
        </w:rPr>
      </w:pPr>
    </w:p>
    <w:p>
      <w:pPr>
        <w:pStyle w:val="2"/>
        <w:rPr>
          <w:rFonts w:ascii="Calibri" w:hAnsi="Calibri" w:eastAsia="方正小标宋_GBK"/>
          <w:sz w:val="28"/>
          <w:szCs w:val="28"/>
        </w:rPr>
      </w:pPr>
    </w:p>
    <w:p>
      <w:pPr>
        <w:pStyle w:val="2"/>
        <w:rPr>
          <w:rFonts w:ascii="Calibri" w:hAnsi="Calibri" w:eastAsia="方正小标宋_GBK"/>
          <w:sz w:val="28"/>
          <w:szCs w:val="28"/>
        </w:rPr>
      </w:pPr>
    </w:p>
    <w:p>
      <w:pPr>
        <w:pStyle w:val="2"/>
        <w:rPr>
          <w:rFonts w:ascii="Calibri" w:hAnsi="Calibri" w:eastAsia="方正小标宋_GBK"/>
          <w:sz w:val="28"/>
          <w:szCs w:val="28"/>
        </w:rPr>
      </w:pPr>
    </w:p>
    <w:tbl>
      <w:tblPr>
        <w:tblStyle w:val="9"/>
        <w:tblW w:w="9053" w:type="dxa"/>
        <w:tblInd w:w="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53" w:type="dxa"/>
            <w:tcBorders>
              <w:top w:val="single" w:color="auto" w:sz="4" w:space="0"/>
              <w:left w:val="nil"/>
              <w:bottom w:val="single" w:color="auto" w:sz="4" w:space="0"/>
              <w:right w:val="nil"/>
            </w:tcBorders>
          </w:tcPr>
          <w:p>
            <w:pPr>
              <w:spacing w:line="560" w:lineRule="exact"/>
              <w:ind w:firstLine="272" w:firstLineChars="1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西尔镇党政综合办</w:t>
            </w:r>
            <w:r>
              <w:rPr>
                <w:rFonts w:hint="eastAsia" w:eastAsia="仿宋_GB2312" w:cs="Times New Roman"/>
                <w:sz w:val="28"/>
                <w:szCs w:val="28"/>
              </w:rPr>
              <w:t xml:space="preserve">     </w:t>
            </w:r>
            <w:r>
              <w:rPr>
                <w:rFonts w:ascii="Times New Roman" w:hAnsi="Times New Roman" w:eastAsia="仿宋_GB2312" w:cs="Times New Roman"/>
                <w:sz w:val="28"/>
                <w:szCs w:val="28"/>
              </w:rPr>
              <w:t xml:space="preserve">　　　　　　　 </w:t>
            </w:r>
            <w:r>
              <w:rPr>
                <w:rFonts w:hint="eastAsia" w:ascii="Times New Roman" w:hAnsi="Times New Roman" w:eastAsia="仿宋_GB2312" w:cs="Times New Roman"/>
                <w:sz w:val="28"/>
                <w:szCs w:val="28"/>
              </w:rPr>
              <w:t xml:space="preserve">     </w:t>
            </w:r>
            <w:r>
              <w:rPr>
                <w:rFonts w:ascii="Times New Roman" w:hAnsi="Times New Roman" w:eastAsia="仿宋_GB2312" w:cs="Times New Roman"/>
                <w:sz w:val="28"/>
                <w:szCs w:val="28"/>
              </w:rPr>
              <w:t xml:space="preserve">  </w:t>
            </w:r>
            <w:r>
              <w:rPr>
                <w:rFonts w:hint="eastAsia" w:ascii="仿宋_GB2312" w:hAnsi="仿宋_GB2312" w:eastAsia="仿宋_GB2312" w:cs="仿宋_GB2312"/>
                <w:sz w:val="28"/>
                <w:szCs w:val="28"/>
              </w:rPr>
              <w:t>2024年8月6日印发</w:t>
            </w:r>
          </w:p>
        </w:tc>
      </w:tr>
    </w:tbl>
    <w:p>
      <w:pPr>
        <w:pStyle w:val="5"/>
        <w:spacing w:after="0" w:line="560" w:lineRule="exact"/>
        <w:ind w:left="0" w:leftChars="0" w:firstLine="0" w:firstLineChars="0"/>
        <w:jc w:val="center"/>
        <w:rPr>
          <w:rFonts w:eastAsia="仿宋_GB2312"/>
          <w:sz w:val="32"/>
          <w:szCs w:val="32"/>
        </w:rPr>
      </w:pPr>
      <w:r>
        <w:rPr>
          <w:rFonts w:hint="eastAsia" w:eastAsia="仿宋_GB2312"/>
          <w:sz w:val="28"/>
          <w:szCs w:val="28"/>
        </w:rPr>
        <w:t xml:space="preserve">                                                 </w:t>
      </w:r>
      <w:r>
        <w:rPr>
          <w:rFonts w:eastAsia="仿宋_GB2312"/>
          <w:sz w:val="28"/>
          <w:szCs w:val="28"/>
        </w:rPr>
        <w:t>（共印</w:t>
      </w:r>
      <w:r>
        <w:rPr>
          <w:rFonts w:hint="eastAsia" w:eastAsia="仿宋_GB2312"/>
          <w:sz w:val="28"/>
          <w:szCs w:val="28"/>
        </w:rPr>
        <w:t>1</w:t>
      </w:r>
      <w:r>
        <w:rPr>
          <w:rFonts w:eastAsia="仿宋_GB2312"/>
          <w:sz w:val="28"/>
          <w:szCs w:val="28"/>
        </w:rPr>
        <w:t>份）</w:t>
      </w:r>
    </w:p>
    <w:p>
      <w:pPr>
        <w:pStyle w:val="2"/>
        <w:rPr>
          <w:rFonts w:ascii="仿宋_GB2312" w:hAnsi="仿宋_GB2312" w:cs="仿宋_GB2312"/>
          <w:kern w:val="0"/>
          <w:lang w:val="zh-CN"/>
        </w:rPr>
      </w:pPr>
    </w:p>
    <w:p>
      <w:pPr>
        <w:pStyle w:val="2"/>
        <w:rPr>
          <w:rFonts w:ascii="仿宋_GB2312" w:hAnsi="仿宋_GB2312" w:cs="仿宋_GB2312"/>
          <w:kern w:val="0"/>
          <w:lang w:val="zh-CN"/>
        </w:rPr>
      </w:pPr>
    </w:p>
    <w:p>
      <w:pPr>
        <w:pStyle w:val="2"/>
        <w:rPr>
          <w:rFonts w:ascii="仿宋_GB2312" w:hAnsi="仿宋_GB2312" w:cs="仿宋_GB2312"/>
          <w:kern w:val="0"/>
          <w:lang w:val="zh-CN"/>
        </w:rPr>
      </w:pPr>
    </w:p>
    <w:p>
      <w:pPr>
        <w:pStyle w:val="2"/>
        <w:rPr>
          <w:rFonts w:ascii="仿宋_GB2312" w:hAnsi="仿宋_GB2312" w:cs="仿宋_GB2312"/>
          <w:kern w:val="0"/>
          <w:lang w:val="zh-CN"/>
        </w:rPr>
      </w:pPr>
    </w:p>
    <w:p>
      <w:pPr>
        <w:pStyle w:val="2"/>
        <w:rPr>
          <w:rFonts w:ascii="仿宋_GB2312" w:hAnsi="仿宋_GB2312" w:cs="仿宋_GB2312"/>
          <w:kern w:val="0"/>
          <w:lang w:val="zh-CN"/>
        </w:rPr>
      </w:pPr>
    </w:p>
    <w:p>
      <w:pPr>
        <w:rPr>
          <w:rFonts w:ascii="仿宋_GB2312" w:hAnsi="仿宋_GB2312" w:cs="仿宋_GB2312"/>
          <w:kern w:val="0"/>
          <w:lang w:val="zh-CN"/>
        </w:rPr>
      </w:pPr>
      <w:r>
        <w:rPr>
          <w:rFonts w:hint="eastAsia" w:ascii="仿宋_GB2312" w:hAnsi="仿宋_GB2312" w:cs="仿宋_GB2312"/>
          <w:kern w:val="0"/>
          <w:lang w:val="zh-CN"/>
        </w:rPr>
        <w:t>附表</w:t>
      </w:r>
      <w:r>
        <w:rPr>
          <w:rFonts w:hint="eastAsia" w:ascii="仿宋_GB2312" w:hAnsi="仿宋_GB2312" w:cs="仿宋_GB2312"/>
          <w:kern w:val="0"/>
        </w:rPr>
        <w:t>1</w:t>
      </w:r>
    </w:p>
    <w:p>
      <w:pPr>
        <w:spacing w:line="578" w:lineRule="exact"/>
        <w:jc w:val="center"/>
        <w:rPr>
          <w:rFonts w:ascii="方正小标宋_GBK" w:hAnsi="方正小标宋_GBK" w:eastAsia="方正小标宋_GBK" w:cs="方正小标宋_GBK"/>
          <w:sz w:val="40"/>
          <w:szCs w:val="40"/>
        </w:rPr>
      </w:pPr>
    </w:p>
    <w:p>
      <w:pPr>
        <w:spacing w:line="578" w:lineRule="exact"/>
        <w:jc w:val="center"/>
        <w:rPr>
          <w:rFonts w:ascii="方正小标宋_GBK" w:hAnsi="方正小标宋_GBK" w:eastAsia="方正小标宋_GBK" w:cs="方正小标宋_GBK"/>
          <w:sz w:val="40"/>
          <w:szCs w:val="40"/>
        </w:rPr>
      </w:pPr>
      <w:r>
        <w:rPr>
          <w:rFonts w:hint="eastAsia" w:ascii="方正小标宋_GBK" w:hAnsi="方正小标宋_GBK" w:eastAsia="方正小标宋_GBK" w:cs="方正小标宋_GBK"/>
          <w:sz w:val="40"/>
          <w:szCs w:val="40"/>
        </w:rPr>
        <w:t>项目资金分配涉及所有点位自评得分情况表</w:t>
      </w:r>
    </w:p>
    <w:p>
      <w:pPr>
        <w:pStyle w:val="2"/>
      </w:pPr>
    </w:p>
    <w:tbl>
      <w:tblPr>
        <w:tblStyle w:val="9"/>
        <w:tblW w:w="88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3843"/>
        <w:gridCol w:w="2861"/>
        <w:gridCol w:w="9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exact"/>
          <w:jc w:val="center"/>
        </w:trPr>
        <w:tc>
          <w:tcPr>
            <w:tcW w:w="1123" w:type="dxa"/>
          </w:tcPr>
          <w:p>
            <w:pPr>
              <w:spacing w:line="300" w:lineRule="exact"/>
              <w:jc w:val="center"/>
              <w:rPr>
                <w:rFonts w:ascii="黑体" w:hAnsi="黑体" w:eastAsia="黑体" w:cs="黑体"/>
                <w:sz w:val="24"/>
              </w:rPr>
            </w:pPr>
            <w:r>
              <w:rPr>
                <w:rFonts w:hint="eastAsia" w:ascii="黑体" w:hAnsi="黑体" w:eastAsia="黑体" w:cs="黑体"/>
                <w:sz w:val="24"/>
              </w:rPr>
              <w:t>序号</w:t>
            </w:r>
          </w:p>
        </w:tc>
        <w:tc>
          <w:tcPr>
            <w:tcW w:w="3843" w:type="dxa"/>
          </w:tcPr>
          <w:p>
            <w:pPr>
              <w:spacing w:line="300" w:lineRule="exact"/>
              <w:jc w:val="center"/>
              <w:rPr>
                <w:rFonts w:ascii="黑体" w:hAnsi="黑体" w:eastAsia="黑体" w:cs="黑体"/>
                <w:sz w:val="24"/>
              </w:rPr>
            </w:pPr>
            <w:r>
              <w:rPr>
                <w:rFonts w:hint="eastAsia" w:ascii="黑体" w:hAnsi="黑体" w:eastAsia="黑体" w:cs="黑体"/>
                <w:sz w:val="24"/>
              </w:rPr>
              <w:t>项目资金末端分配点位</w:t>
            </w:r>
          </w:p>
        </w:tc>
        <w:tc>
          <w:tcPr>
            <w:tcW w:w="2861" w:type="dxa"/>
          </w:tcPr>
          <w:p>
            <w:pPr>
              <w:spacing w:line="300" w:lineRule="exact"/>
              <w:jc w:val="center"/>
              <w:rPr>
                <w:rFonts w:ascii="黑体" w:hAnsi="黑体" w:eastAsia="黑体" w:cs="黑体"/>
                <w:sz w:val="24"/>
              </w:rPr>
            </w:pPr>
            <w:r>
              <w:rPr>
                <w:rFonts w:hint="eastAsia" w:ascii="黑体" w:hAnsi="黑体" w:eastAsia="黑体" w:cs="黑体"/>
                <w:sz w:val="24"/>
              </w:rPr>
              <w:t>自评得分（百分制）</w:t>
            </w:r>
          </w:p>
        </w:tc>
        <w:tc>
          <w:tcPr>
            <w:tcW w:w="993" w:type="dxa"/>
          </w:tcPr>
          <w:p>
            <w:pPr>
              <w:spacing w:line="300" w:lineRule="exact"/>
              <w:jc w:val="center"/>
              <w:rPr>
                <w:rFonts w:ascii="黑体" w:hAnsi="黑体" w:eastAsia="黑体" w:cs="黑体"/>
                <w:sz w:val="24"/>
              </w:rPr>
            </w:pPr>
            <w:r>
              <w:rPr>
                <w:rFonts w:hint="eastAsia" w:ascii="黑体" w:hAnsi="黑体" w:eastAsia="黑体" w:cs="黑体"/>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Pr>
          <w:p>
            <w:pPr>
              <w:spacing w:line="300" w:lineRule="exact"/>
              <w:jc w:val="center"/>
              <w:rPr>
                <w:rFonts w:ascii="宋体" w:hAnsi="宋体" w:eastAsia="宋体" w:cs="宋体"/>
                <w:sz w:val="24"/>
              </w:rPr>
            </w:pPr>
            <w:r>
              <w:rPr>
                <w:rFonts w:hint="eastAsia" w:ascii="宋体" w:hAnsi="宋体" w:eastAsia="宋体" w:cs="宋体"/>
                <w:sz w:val="24"/>
              </w:rPr>
              <w:t>1</w:t>
            </w:r>
          </w:p>
        </w:tc>
        <w:tc>
          <w:tcPr>
            <w:tcW w:w="3843" w:type="dxa"/>
          </w:tcPr>
          <w:p>
            <w:pPr>
              <w:spacing w:line="300" w:lineRule="exact"/>
              <w:jc w:val="center"/>
              <w:rPr>
                <w:rFonts w:ascii="宋体" w:hAnsi="宋体" w:eastAsia="宋体" w:cs="宋体"/>
                <w:sz w:val="24"/>
              </w:rPr>
            </w:pPr>
            <w:r>
              <w:rPr>
                <w:rFonts w:hint="eastAsia" w:ascii="宋体" w:hAnsi="宋体" w:eastAsia="宋体" w:cs="宋体"/>
                <w:sz w:val="24"/>
              </w:rPr>
              <w:t>黑水县西尔镇沙卡村</w:t>
            </w:r>
          </w:p>
        </w:tc>
        <w:tc>
          <w:tcPr>
            <w:tcW w:w="2861" w:type="dxa"/>
          </w:tcPr>
          <w:p>
            <w:pPr>
              <w:spacing w:line="300" w:lineRule="exact"/>
              <w:jc w:val="center"/>
              <w:rPr>
                <w:rFonts w:ascii="宋体" w:hAnsi="宋体" w:eastAsia="宋体" w:cs="宋体"/>
                <w:sz w:val="24"/>
              </w:rPr>
            </w:pPr>
            <w:r>
              <w:rPr>
                <w:rFonts w:hint="eastAsia" w:ascii="宋体" w:hAnsi="宋体" w:eastAsia="宋体" w:cs="宋体"/>
                <w:sz w:val="24"/>
              </w:rPr>
              <w:t>98</w:t>
            </w:r>
          </w:p>
        </w:tc>
        <w:tc>
          <w:tcPr>
            <w:tcW w:w="993" w:type="dxa"/>
          </w:tcPr>
          <w:p>
            <w:pPr>
              <w:spacing w:line="300" w:lineRule="exact"/>
              <w:rPr>
                <w:rFonts w:ascii="宋体" w:hAnsi="宋体" w:eastAsia="宋体" w:cs="宋体"/>
                <w:sz w:val="24"/>
              </w:rPr>
            </w:pPr>
          </w:p>
        </w:tc>
      </w:tr>
    </w:tbl>
    <w:p>
      <w:pPr>
        <w:spacing w:line="400" w:lineRule="exact"/>
        <w:jc w:val="left"/>
        <w:rPr>
          <w:rFonts w:ascii="宋体" w:hAnsi="宋体" w:eastAsia="宋体" w:cs="宋体"/>
          <w:sz w:val="24"/>
        </w:rPr>
      </w:pPr>
    </w:p>
    <w:p>
      <w:pPr>
        <w:spacing w:line="400" w:lineRule="exact"/>
        <w:jc w:val="left"/>
        <w:rPr>
          <w:rFonts w:ascii="宋体" w:hAnsi="宋体" w:eastAsia="宋体" w:cs="宋体"/>
          <w:sz w:val="24"/>
        </w:rPr>
      </w:pPr>
      <w:r>
        <w:rPr>
          <w:rFonts w:hint="eastAsia" w:ascii="宋体" w:hAnsi="宋体" w:eastAsia="宋体" w:cs="宋体"/>
          <w:sz w:val="24"/>
        </w:rPr>
        <w:t>备注：1.项目资金末端分配点位包括市（州）本级、县（市、区）、省级部门下属单位及一次性单位等。</w:t>
      </w:r>
    </w:p>
    <w:p>
      <w:pPr>
        <w:numPr>
          <w:ilvl w:val="0"/>
          <w:numId w:val="4"/>
        </w:numPr>
        <w:spacing w:line="400" w:lineRule="exact"/>
        <w:ind w:firstLine="696" w:firstLineChars="300"/>
        <w:jc w:val="left"/>
        <w:rPr>
          <w:rFonts w:ascii="宋体" w:hAnsi="宋体" w:eastAsia="宋体" w:cs="宋体"/>
          <w:sz w:val="24"/>
        </w:rPr>
      </w:pPr>
      <w:r>
        <w:rPr>
          <w:rFonts w:hint="eastAsia" w:ascii="宋体" w:hAnsi="宋体" w:eastAsia="宋体" w:cs="宋体"/>
          <w:sz w:val="24"/>
        </w:rPr>
        <w:t>自评得分（百分制）从高到低划分为优、良、中、差四个档次，各个档次数量占比分别为20%、20%、55%、5%，且不同档次间得分分值应体现差异化，同档次得分分值相同的比例不超过该档次总数量的10%。</w:t>
      </w:r>
    </w:p>
    <w:p>
      <w:pPr>
        <w:pStyle w:val="2"/>
        <w:rPr>
          <w:rFonts w:ascii="宋体" w:hAnsi="宋体" w:cs="宋体"/>
          <w:sz w:val="24"/>
          <w:szCs w:val="24"/>
        </w:rPr>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rPr>
          <w:rFonts w:ascii="仿宋_GB2312" w:hAnsi="仿宋_GB2312" w:cs="仿宋_GB2312"/>
          <w:kern w:val="0"/>
        </w:rPr>
      </w:pPr>
      <w:r>
        <w:rPr>
          <w:rFonts w:ascii="仿宋_GB2312" w:hAnsi="仿宋_GB2312" w:cs="仿宋_GB2312"/>
          <w:kern w:val="0"/>
        </w:rPr>
        <w:t>附表2</w:t>
      </w:r>
    </w:p>
    <w:tbl>
      <w:tblPr>
        <w:tblStyle w:val="9"/>
        <w:tblW w:w="9640" w:type="dxa"/>
        <w:jc w:val="center"/>
        <w:tblLayout w:type="fixed"/>
        <w:tblCellMar>
          <w:top w:w="15" w:type="dxa"/>
          <w:left w:w="15" w:type="dxa"/>
          <w:bottom w:w="15" w:type="dxa"/>
          <w:right w:w="15" w:type="dxa"/>
        </w:tblCellMar>
      </w:tblPr>
      <w:tblGrid>
        <w:gridCol w:w="614"/>
        <w:gridCol w:w="1018"/>
        <w:gridCol w:w="1177"/>
        <w:gridCol w:w="1237"/>
        <w:gridCol w:w="1061"/>
        <w:gridCol w:w="914"/>
        <w:gridCol w:w="1000"/>
        <w:gridCol w:w="808"/>
        <w:gridCol w:w="1811"/>
      </w:tblGrid>
      <w:tr>
        <w:tblPrEx>
          <w:tblCellMar>
            <w:top w:w="15" w:type="dxa"/>
            <w:left w:w="15" w:type="dxa"/>
            <w:bottom w:w="15" w:type="dxa"/>
            <w:right w:w="15" w:type="dxa"/>
          </w:tblCellMar>
        </w:tblPrEx>
        <w:trPr>
          <w:trHeight w:val="564" w:hRule="atLeast"/>
          <w:jc w:val="center"/>
        </w:trPr>
        <w:tc>
          <w:tcPr>
            <w:tcW w:w="9640" w:type="dxa"/>
            <w:gridSpan w:val="9"/>
            <w:vAlign w:val="center"/>
          </w:tcPr>
          <w:p>
            <w:pPr>
              <w:widowControl/>
              <w:spacing w:line="600" w:lineRule="exact"/>
              <w:jc w:val="center"/>
              <w:textAlignment w:val="center"/>
              <w:rPr>
                <w:rFonts w:ascii="黑体" w:hAnsi="宋体" w:eastAsia="黑体" w:cs="黑体"/>
                <w:color w:val="000000"/>
                <w:sz w:val="30"/>
                <w:szCs w:val="30"/>
              </w:rPr>
            </w:pPr>
            <w:r>
              <w:rPr>
                <w:rFonts w:hint="eastAsia" w:ascii="方正小标宋简体" w:hAnsi="方正小标宋简体" w:eastAsia="方正小标宋简体" w:cs="方正小标宋简体"/>
                <w:color w:val="000000"/>
                <w:kern w:val="0"/>
                <w:sz w:val="40"/>
                <w:szCs w:val="40"/>
              </w:rPr>
              <w:t>专项预算项目绩效目标完成情况自评表</w:t>
            </w:r>
          </w:p>
        </w:tc>
      </w:tr>
      <w:tr>
        <w:tblPrEx>
          <w:tblCellMar>
            <w:top w:w="15" w:type="dxa"/>
            <w:left w:w="15" w:type="dxa"/>
            <w:bottom w:w="15" w:type="dxa"/>
            <w:right w:w="15" w:type="dxa"/>
          </w:tblCellMar>
        </w:tblPrEx>
        <w:trPr>
          <w:trHeight w:val="305" w:hRule="atLeast"/>
          <w:jc w:val="center"/>
        </w:trPr>
        <w:tc>
          <w:tcPr>
            <w:tcW w:w="4046" w:type="dxa"/>
            <w:gridSpan w:val="4"/>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项目名称</w:t>
            </w:r>
          </w:p>
        </w:tc>
        <w:tc>
          <w:tcPr>
            <w:tcW w:w="5594" w:type="dxa"/>
            <w:gridSpan w:val="5"/>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textAlignment w:val="center"/>
              <w:rPr>
                <w:rFonts w:ascii="宋体" w:hAnsi="宋体" w:eastAsia="宋体" w:cs="宋体"/>
                <w:color w:val="000000"/>
                <w:kern w:val="0"/>
                <w:sz w:val="24"/>
              </w:rPr>
            </w:pPr>
            <w:r>
              <w:rPr>
                <w:rFonts w:hint="eastAsia" w:ascii="宋体" w:hAnsi="宋体" w:eastAsia="宋体" w:cs="宋体"/>
                <w:color w:val="000000" w:themeColor="text1"/>
                <w:sz w:val="24"/>
              </w:rPr>
              <w:t>西尔镇沙卡村基础设施提升项目</w:t>
            </w:r>
          </w:p>
        </w:tc>
      </w:tr>
      <w:tr>
        <w:tblPrEx>
          <w:tblCellMar>
            <w:top w:w="15" w:type="dxa"/>
            <w:left w:w="15" w:type="dxa"/>
            <w:bottom w:w="15" w:type="dxa"/>
            <w:right w:w="15" w:type="dxa"/>
          </w:tblCellMar>
        </w:tblPrEx>
        <w:trPr>
          <w:trHeight w:val="305" w:hRule="atLeast"/>
          <w:jc w:val="center"/>
        </w:trPr>
        <w:tc>
          <w:tcPr>
            <w:tcW w:w="4046" w:type="dxa"/>
            <w:gridSpan w:val="4"/>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预算单位</w:t>
            </w:r>
          </w:p>
        </w:tc>
        <w:tc>
          <w:tcPr>
            <w:tcW w:w="5594" w:type="dxa"/>
            <w:gridSpan w:val="5"/>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西尔镇人民政府</w:t>
            </w:r>
          </w:p>
        </w:tc>
      </w:tr>
      <w:tr>
        <w:tblPrEx>
          <w:tblCellMar>
            <w:top w:w="15" w:type="dxa"/>
            <w:left w:w="15" w:type="dxa"/>
            <w:bottom w:w="15" w:type="dxa"/>
            <w:right w:w="15" w:type="dxa"/>
          </w:tblCellMar>
        </w:tblPrEx>
        <w:trPr>
          <w:trHeight w:val="305" w:hRule="atLeast"/>
          <w:jc w:val="center"/>
        </w:trPr>
        <w:tc>
          <w:tcPr>
            <w:tcW w:w="4046" w:type="dxa"/>
            <w:gridSpan w:val="4"/>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项目类型</w:t>
            </w:r>
          </w:p>
        </w:tc>
        <w:tc>
          <w:tcPr>
            <w:tcW w:w="5594" w:type="dxa"/>
            <w:gridSpan w:val="5"/>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textAlignment w:val="center"/>
              <w:rPr>
                <w:rFonts w:ascii="宋体" w:hAnsi="宋体" w:eastAsia="宋体" w:cs="宋体"/>
                <w:sz w:val="24"/>
              </w:rPr>
            </w:pPr>
            <w:r>
              <w:rPr>
                <w:rFonts w:hint="eastAsia" w:ascii="宋体" w:hAnsi="宋体" w:eastAsia="宋体" w:cs="宋体"/>
                <w:color w:val="000000"/>
                <w:kern w:val="0"/>
                <w:sz w:val="24"/>
              </w:rPr>
              <w:t>一次性项目</w:t>
            </w:r>
          </w:p>
        </w:tc>
      </w:tr>
      <w:tr>
        <w:tblPrEx>
          <w:tblCellMar>
            <w:top w:w="15" w:type="dxa"/>
            <w:left w:w="15" w:type="dxa"/>
            <w:bottom w:w="15" w:type="dxa"/>
            <w:right w:w="15" w:type="dxa"/>
          </w:tblCellMar>
        </w:tblPrEx>
        <w:trPr>
          <w:trHeight w:val="573" w:hRule="atLeast"/>
          <w:jc w:val="center"/>
        </w:trPr>
        <w:tc>
          <w:tcPr>
            <w:tcW w:w="614"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项目 概况</w:t>
            </w:r>
          </w:p>
        </w:tc>
        <w:tc>
          <w:tcPr>
            <w:tcW w:w="3432" w:type="dxa"/>
            <w:gridSpan w:val="3"/>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中长期规划（名称、文号，仅指</w:t>
            </w:r>
          </w:p>
          <w:p>
            <w:pPr>
              <w:widowControl/>
              <w:spacing w:line="30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常年项目）</w:t>
            </w:r>
          </w:p>
        </w:tc>
        <w:tc>
          <w:tcPr>
            <w:tcW w:w="5594" w:type="dxa"/>
            <w:gridSpan w:val="5"/>
            <w:tcBorders>
              <w:top w:val="single" w:color="000000" w:sz="4" w:space="0"/>
              <w:left w:val="single" w:color="000000" w:sz="4" w:space="0"/>
              <w:bottom w:val="single" w:color="000000" w:sz="4" w:space="0"/>
              <w:right w:val="single" w:color="000000" w:sz="4" w:space="0"/>
            </w:tcBorders>
            <w:vAlign w:val="center"/>
          </w:tcPr>
          <w:p>
            <w:pPr>
              <w:spacing w:line="300" w:lineRule="exact"/>
              <w:jc w:val="left"/>
              <w:rPr>
                <w:rFonts w:ascii="宋体" w:hAnsi="宋体" w:eastAsia="宋体" w:cs="宋体"/>
                <w:color w:val="000000"/>
                <w:sz w:val="24"/>
              </w:rPr>
            </w:pPr>
            <w:r>
              <w:rPr>
                <w:rFonts w:hint="eastAsia" w:ascii="宋体" w:hAnsi="宋体" w:eastAsia="宋体" w:cs="宋体"/>
                <w:color w:val="000000"/>
                <w:sz w:val="24"/>
              </w:rPr>
              <w:t>无</w:t>
            </w:r>
          </w:p>
        </w:tc>
      </w:tr>
      <w:tr>
        <w:tblPrEx>
          <w:tblCellMar>
            <w:top w:w="15" w:type="dxa"/>
            <w:left w:w="15" w:type="dxa"/>
            <w:bottom w:w="15" w:type="dxa"/>
            <w:right w:w="15" w:type="dxa"/>
          </w:tblCellMar>
        </w:tblPrEx>
        <w:trPr>
          <w:trHeight w:val="305" w:hRule="atLeast"/>
          <w:jc w:val="center"/>
        </w:trPr>
        <w:tc>
          <w:tcPr>
            <w:tcW w:w="614" w:type="dxa"/>
            <w:vMerge w:val="continue"/>
            <w:tcBorders>
              <w:top w:val="single" w:color="000000" w:sz="4" w:space="0"/>
              <w:left w:val="single" w:color="000000" w:sz="4" w:space="0"/>
              <w:bottom w:val="single" w:color="000000" w:sz="4" w:space="0"/>
              <w:right w:val="single" w:color="000000" w:sz="4" w:space="0"/>
            </w:tcBorders>
            <w:vAlign w:val="center"/>
          </w:tcPr>
          <w:p>
            <w:pPr>
              <w:spacing w:line="300" w:lineRule="exact"/>
              <w:rPr>
                <w:rFonts w:ascii="宋体" w:hAnsi="宋体" w:eastAsia="宋体" w:cs="宋体"/>
                <w:color w:val="000000"/>
                <w:sz w:val="24"/>
              </w:rPr>
            </w:pPr>
          </w:p>
        </w:tc>
        <w:tc>
          <w:tcPr>
            <w:tcW w:w="3432" w:type="dxa"/>
            <w:gridSpan w:val="3"/>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资金管理办法（名称、文号）</w:t>
            </w:r>
          </w:p>
        </w:tc>
        <w:tc>
          <w:tcPr>
            <w:tcW w:w="5594" w:type="dxa"/>
            <w:gridSpan w:val="5"/>
            <w:tcBorders>
              <w:top w:val="single" w:color="000000" w:sz="4" w:space="0"/>
              <w:left w:val="single" w:color="000000" w:sz="4" w:space="0"/>
              <w:bottom w:val="single" w:color="000000" w:sz="4" w:space="0"/>
              <w:right w:val="single" w:color="000000" w:sz="4" w:space="0"/>
            </w:tcBorders>
            <w:vAlign w:val="center"/>
          </w:tcPr>
          <w:p>
            <w:pPr>
              <w:spacing w:line="300" w:lineRule="exact"/>
              <w:jc w:val="left"/>
              <w:rPr>
                <w:rFonts w:ascii="宋体" w:hAnsi="宋体" w:eastAsia="宋体" w:cs="宋体"/>
                <w:color w:val="000000"/>
                <w:sz w:val="24"/>
              </w:rPr>
            </w:pPr>
            <w:r>
              <w:rPr>
                <w:rFonts w:hint="eastAsia" w:ascii="宋体" w:hAnsi="宋体" w:eastAsia="宋体" w:cs="宋体"/>
                <w:color w:val="000000"/>
                <w:sz w:val="24"/>
              </w:rPr>
              <w:t>无</w:t>
            </w:r>
          </w:p>
        </w:tc>
      </w:tr>
      <w:tr>
        <w:tblPrEx>
          <w:tblCellMar>
            <w:top w:w="15" w:type="dxa"/>
            <w:left w:w="15" w:type="dxa"/>
            <w:bottom w:w="15" w:type="dxa"/>
            <w:right w:w="15" w:type="dxa"/>
          </w:tblCellMar>
        </w:tblPrEx>
        <w:trPr>
          <w:trHeight w:val="573" w:hRule="atLeast"/>
          <w:jc w:val="center"/>
        </w:trPr>
        <w:tc>
          <w:tcPr>
            <w:tcW w:w="614" w:type="dxa"/>
            <w:vMerge w:val="continue"/>
            <w:tcBorders>
              <w:top w:val="single" w:color="000000" w:sz="4" w:space="0"/>
              <w:left w:val="single" w:color="000000" w:sz="4" w:space="0"/>
              <w:bottom w:val="single" w:color="000000" w:sz="4" w:space="0"/>
              <w:right w:val="single" w:color="000000" w:sz="4" w:space="0"/>
            </w:tcBorders>
            <w:vAlign w:val="center"/>
          </w:tcPr>
          <w:p>
            <w:pPr>
              <w:spacing w:line="300" w:lineRule="exact"/>
              <w:rPr>
                <w:rFonts w:ascii="宋体" w:hAnsi="宋体" w:eastAsia="宋体" w:cs="宋体"/>
                <w:color w:val="000000"/>
                <w:sz w:val="24"/>
              </w:rPr>
            </w:pPr>
          </w:p>
        </w:tc>
        <w:tc>
          <w:tcPr>
            <w:tcW w:w="3432" w:type="dxa"/>
            <w:gridSpan w:val="3"/>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绩效分配方式</w:t>
            </w:r>
          </w:p>
        </w:tc>
        <w:tc>
          <w:tcPr>
            <w:tcW w:w="1061"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£因素法</w:t>
            </w:r>
          </w:p>
        </w:tc>
        <w:tc>
          <w:tcPr>
            <w:tcW w:w="1914"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£项目法</w:t>
            </w:r>
          </w:p>
        </w:tc>
        <w:tc>
          <w:tcPr>
            <w:tcW w:w="808"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£据实据效</w:t>
            </w:r>
          </w:p>
        </w:tc>
        <w:tc>
          <w:tcPr>
            <w:tcW w:w="1811"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√因素法与项目法相结合</w:t>
            </w:r>
          </w:p>
        </w:tc>
      </w:tr>
      <w:tr>
        <w:tblPrEx>
          <w:tblCellMar>
            <w:top w:w="15" w:type="dxa"/>
            <w:left w:w="15" w:type="dxa"/>
            <w:bottom w:w="15" w:type="dxa"/>
            <w:right w:w="15" w:type="dxa"/>
          </w:tblCellMar>
        </w:tblPrEx>
        <w:trPr>
          <w:trHeight w:val="3141" w:hRule="atLeast"/>
          <w:jc w:val="center"/>
        </w:trPr>
        <w:tc>
          <w:tcPr>
            <w:tcW w:w="614" w:type="dxa"/>
            <w:vMerge w:val="continue"/>
            <w:tcBorders>
              <w:top w:val="single" w:color="000000" w:sz="4" w:space="0"/>
              <w:left w:val="single" w:color="000000" w:sz="4" w:space="0"/>
              <w:bottom w:val="single" w:color="000000" w:sz="4" w:space="0"/>
              <w:right w:val="single" w:color="000000" w:sz="4" w:space="0"/>
            </w:tcBorders>
            <w:vAlign w:val="center"/>
          </w:tcPr>
          <w:p>
            <w:pPr>
              <w:spacing w:line="300" w:lineRule="exact"/>
              <w:rPr>
                <w:rFonts w:ascii="宋体" w:hAnsi="宋体" w:eastAsia="宋体" w:cs="宋体"/>
                <w:color w:val="000000"/>
                <w:sz w:val="24"/>
              </w:rPr>
            </w:pPr>
          </w:p>
        </w:tc>
        <w:tc>
          <w:tcPr>
            <w:tcW w:w="3432" w:type="dxa"/>
            <w:gridSpan w:val="3"/>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立项依据</w:t>
            </w:r>
          </w:p>
        </w:tc>
        <w:tc>
          <w:tcPr>
            <w:tcW w:w="5594" w:type="dxa"/>
            <w:gridSpan w:val="5"/>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line="578" w:lineRule="exact"/>
              <w:ind w:firstLine="464" w:firstLineChars="200"/>
              <w:rPr>
                <w:rFonts w:ascii="宋体" w:hAnsi="宋体" w:eastAsia="宋体" w:cs="宋体"/>
                <w:color w:val="000000"/>
                <w:kern w:val="0"/>
                <w:sz w:val="24"/>
              </w:rPr>
            </w:pPr>
            <w:r>
              <w:rPr>
                <w:rFonts w:hint="eastAsia" w:ascii="宋体" w:hAnsi="宋体" w:eastAsia="宋体" w:cs="宋体"/>
                <w:sz w:val="24"/>
              </w:rPr>
              <w:t>基础设施提升的意义，除了改善、维护社区秩序，保障村民的基本生活条件外，还要协调社会各个方面，解决一系列的矛盾，创造出和谐的人文环境。基础设施提升好让人们的居住环境条件得到改善，环境变得优美，生活也会更幸福，精神文明</w:t>
            </w:r>
            <w:bookmarkStart w:id="1" w:name="_GoBack"/>
            <w:bookmarkEnd w:id="1"/>
            <w:r>
              <w:rPr>
                <w:rFonts w:hint="eastAsia" w:ascii="宋体" w:hAnsi="宋体" w:eastAsia="宋体" w:cs="宋体"/>
                <w:sz w:val="24"/>
              </w:rPr>
              <w:t>建设水平自然会提高。西尔镇沙卡村基础设施提升项目建设是非常迫切和必要的。</w:t>
            </w:r>
          </w:p>
        </w:tc>
      </w:tr>
      <w:tr>
        <w:tblPrEx>
          <w:tblCellMar>
            <w:top w:w="15" w:type="dxa"/>
            <w:left w:w="15" w:type="dxa"/>
            <w:bottom w:w="15" w:type="dxa"/>
            <w:right w:w="15" w:type="dxa"/>
          </w:tblCellMar>
        </w:tblPrEx>
        <w:trPr>
          <w:trHeight w:val="512" w:hRule="atLeast"/>
          <w:jc w:val="center"/>
        </w:trPr>
        <w:tc>
          <w:tcPr>
            <w:tcW w:w="614" w:type="dxa"/>
            <w:vMerge w:val="continue"/>
            <w:tcBorders>
              <w:top w:val="single" w:color="000000" w:sz="4" w:space="0"/>
              <w:left w:val="single" w:color="000000" w:sz="4" w:space="0"/>
              <w:bottom w:val="single" w:color="000000" w:sz="4" w:space="0"/>
              <w:right w:val="single" w:color="000000" w:sz="4" w:space="0"/>
            </w:tcBorders>
            <w:vAlign w:val="center"/>
          </w:tcPr>
          <w:p>
            <w:pPr>
              <w:spacing w:line="300" w:lineRule="exact"/>
              <w:rPr>
                <w:rFonts w:ascii="宋体" w:hAnsi="宋体" w:eastAsia="宋体" w:cs="宋体"/>
                <w:color w:val="000000"/>
                <w:sz w:val="24"/>
              </w:rPr>
            </w:pPr>
          </w:p>
        </w:tc>
        <w:tc>
          <w:tcPr>
            <w:tcW w:w="3432" w:type="dxa"/>
            <w:gridSpan w:val="3"/>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使用范围</w:t>
            </w:r>
          </w:p>
        </w:tc>
        <w:tc>
          <w:tcPr>
            <w:tcW w:w="5594" w:type="dxa"/>
            <w:gridSpan w:val="5"/>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该项目资金主要用于</w:t>
            </w:r>
            <w:r>
              <w:rPr>
                <w:rFonts w:hint="eastAsia" w:ascii="宋体" w:hAnsi="宋体" w:eastAsia="宋体" w:cs="宋体"/>
                <w:color w:val="000000" w:themeColor="text1"/>
                <w:sz w:val="24"/>
              </w:rPr>
              <w:t>西尔镇沙卡村基础设施提升项目</w:t>
            </w:r>
            <w:r>
              <w:rPr>
                <w:rFonts w:hint="eastAsia" w:ascii="宋体" w:hAnsi="宋体" w:eastAsia="宋体" w:cs="宋体"/>
                <w:color w:val="000000"/>
                <w:kern w:val="0"/>
                <w:sz w:val="24"/>
              </w:rPr>
              <w:t>开支。</w:t>
            </w:r>
          </w:p>
        </w:tc>
      </w:tr>
      <w:tr>
        <w:tblPrEx>
          <w:tblCellMar>
            <w:top w:w="15" w:type="dxa"/>
            <w:left w:w="15" w:type="dxa"/>
            <w:bottom w:w="15" w:type="dxa"/>
            <w:right w:w="15" w:type="dxa"/>
          </w:tblCellMar>
        </w:tblPrEx>
        <w:trPr>
          <w:trHeight w:val="305" w:hRule="atLeast"/>
          <w:jc w:val="center"/>
        </w:trPr>
        <w:tc>
          <w:tcPr>
            <w:tcW w:w="614" w:type="dxa"/>
            <w:vMerge w:val="continue"/>
            <w:tcBorders>
              <w:top w:val="single" w:color="000000" w:sz="4" w:space="0"/>
              <w:left w:val="single" w:color="000000" w:sz="4" w:space="0"/>
              <w:bottom w:val="single" w:color="000000" w:sz="4" w:space="0"/>
              <w:right w:val="single" w:color="000000" w:sz="4" w:space="0"/>
            </w:tcBorders>
            <w:vAlign w:val="center"/>
          </w:tcPr>
          <w:p>
            <w:pPr>
              <w:spacing w:line="300" w:lineRule="exact"/>
              <w:rPr>
                <w:rFonts w:ascii="宋体" w:hAnsi="宋体" w:eastAsia="宋体" w:cs="宋体"/>
                <w:color w:val="000000"/>
                <w:sz w:val="24"/>
              </w:rPr>
            </w:pPr>
          </w:p>
        </w:tc>
        <w:tc>
          <w:tcPr>
            <w:tcW w:w="3432" w:type="dxa"/>
            <w:gridSpan w:val="3"/>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申报（补助）条件</w:t>
            </w:r>
          </w:p>
        </w:tc>
        <w:tc>
          <w:tcPr>
            <w:tcW w:w="5594" w:type="dxa"/>
            <w:gridSpan w:val="5"/>
            <w:tcBorders>
              <w:top w:val="single" w:color="000000" w:sz="4" w:space="0"/>
              <w:left w:val="single" w:color="000000" w:sz="4" w:space="0"/>
              <w:bottom w:val="single" w:color="000000" w:sz="4" w:space="0"/>
              <w:right w:val="single" w:color="000000" w:sz="4" w:space="0"/>
            </w:tcBorders>
            <w:vAlign w:val="center"/>
          </w:tcPr>
          <w:p>
            <w:pPr>
              <w:spacing w:line="300" w:lineRule="exact"/>
              <w:jc w:val="left"/>
              <w:rPr>
                <w:rFonts w:ascii="宋体" w:hAnsi="宋体" w:eastAsia="宋体" w:cs="宋体"/>
                <w:color w:val="000000"/>
                <w:sz w:val="24"/>
              </w:rPr>
            </w:pPr>
            <w:r>
              <w:rPr>
                <w:rFonts w:hint="eastAsia" w:ascii="宋体" w:hAnsi="宋体" w:eastAsia="宋体" w:cs="宋体"/>
                <w:color w:val="000000"/>
                <w:sz w:val="24"/>
              </w:rPr>
              <w:t>无。</w:t>
            </w:r>
          </w:p>
        </w:tc>
      </w:tr>
      <w:tr>
        <w:tblPrEx>
          <w:tblCellMar>
            <w:top w:w="15" w:type="dxa"/>
            <w:left w:w="15" w:type="dxa"/>
            <w:bottom w:w="15" w:type="dxa"/>
            <w:right w:w="15" w:type="dxa"/>
          </w:tblCellMar>
        </w:tblPrEx>
        <w:trPr>
          <w:trHeight w:val="457" w:hRule="atLeast"/>
          <w:jc w:val="center"/>
        </w:trPr>
        <w:tc>
          <w:tcPr>
            <w:tcW w:w="614" w:type="dxa"/>
            <w:vMerge w:val="continue"/>
            <w:tcBorders>
              <w:top w:val="single" w:color="000000" w:sz="4" w:space="0"/>
              <w:left w:val="single" w:color="000000" w:sz="4" w:space="0"/>
              <w:bottom w:val="single" w:color="000000" w:sz="4" w:space="0"/>
              <w:right w:val="single" w:color="000000" w:sz="4" w:space="0"/>
            </w:tcBorders>
            <w:vAlign w:val="center"/>
          </w:tcPr>
          <w:p>
            <w:pPr>
              <w:spacing w:line="300" w:lineRule="exact"/>
              <w:rPr>
                <w:rFonts w:ascii="宋体" w:hAnsi="宋体" w:eastAsia="宋体" w:cs="宋体"/>
                <w:color w:val="000000"/>
                <w:sz w:val="24"/>
              </w:rPr>
            </w:pPr>
          </w:p>
        </w:tc>
        <w:tc>
          <w:tcPr>
            <w:tcW w:w="3432" w:type="dxa"/>
            <w:gridSpan w:val="3"/>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项目起止年限</w:t>
            </w:r>
          </w:p>
        </w:tc>
        <w:tc>
          <w:tcPr>
            <w:tcW w:w="5594" w:type="dxa"/>
            <w:gridSpan w:val="5"/>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2023年1月至2023年12月</w:t>
            </w:r>
          </w:p>
        </w:tc>
      </w:tr>
      <w:tr>
        <w:tblPrEx>
          <w:tblCellMar>
            <w:top w:w="15" w:type="dxa"/>
            <w:left w:w="15" w:type="dxa"/>
            <w:bottom w:w="15" w:type="dxa"/>
            <w:right w:w="15" w:type="dxa"/>
          </w:tblCellMar>
        </w:tblPrEx>
        <w:trPr>
          <w:trHeight w:val="365" w:hRule="atLeast"/>
          <w:jc w:val="center"/>
        </w:trPr>
        <w:tc>
          <w:tcPr>
            <w:tcW w:w="1632" w:type="dxa"/>
            <w:gridSpan w:val="2"/>
            <w:vMerge w:val="restart"/>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项目资金</w:t>
            </w:r>
          </w:p>
          <w:p>
            <w:pPr>
              <w:widowControl/>
              <w:spacing w:line="30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（万元）</w:t>
            </w:r>
          </w:p>
        </w:tc>
        <w:tc>
          <w:tcPr>
            <w:tcW w:w="2414"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 xml:space="preserve">  年度资金总额：</w:t>
            </w:r>
          </w:p>
        </w:tc>
        <w:tc>
          <w:tcPr>
            <w:tcW w:w="5594" w:type="dxa"/>
            <w:gridSpan w:val="5"/>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48</w:t>
            </w:r>
          </w:p>
        </w:tc>
      </w:tr>
      <w:tr>
        <w:tblPrEx>
          <w:tblCellMar>
            <w:top w:w="15" w:type="dxa"/>
            <w:left w:w="15" w:type="dxa"/>
            <w:bottom w:w="15" w:type="dxa"/>
            <w:right w:w="15" w:type="dxa"/>
          </w:tblCellMar>
        </w:tblPrEx>
        <w:trPr>
          <w:trHeight w:val="409" w:hRule="atLeast"/>
          <w:jc w:val="center"/>
        </w:trPr>
        <w:tc>
          <w:tcPr>
            <w:tcW w:w="1632" w:type="dxa"/>
            <w:gridSpan w:val="2"/>
            <w:vMerge w:val="continue"/>
            <w:tcBorders>
              <w:top w:val="single" w:color="000000" w:sz="4" w:space="0"/>
              <w:left w:val="single" w:color="000000" w:sz="4" w:space="0"/>
              <w:bottom w:val="single" w:color="000000" w:sz="4" w:space="0"/>
              <w:right w:val="single" w:color="000000" w:sz="4" w:space="0"/>
            </w:tcBorders>
            <w:vAlign w:val="center"/>
          </w:tcPr>
          <w:p>
            <w:pPr>
              <w:spacing w:line="300" w:lineRule="exact"/>
              <w:rPr>
                <w:rFonts w:ascii="宋体" w:hAnsi="宋体" w:eastAsia="宋体" w:cs="宋体"/>
                <w:color w:val="000000"/>
                <w:sz w:val="24"/>
              </w:rPr>
            </w:pPr>
          </w:p>
        </w:tc>
        <w:tc>
          <w:tcPr>
            <w:tcW w:w="2414"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 xml:space="preserve">      其中：财政拨款</w:t>
            </w:r>
          </w:p>
        </w:tc>
        <w:tc>
          <w:tcPr>
            <w:tcW w:w="5594" w:type="dxa"/>
            <w:gridSpan w:val="5"/>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47.7</w:t>
            </w:r>
          </w:p>
        </w:tc>
      </w:tr>
      <w:tr>
        <w:tblPrEx>
          <w:tblCellMar>
            <w:top w:w="15" w:type="dxa"/>
            <w:left w:w="15" w:type="dxa"/>
            <w:bottom w:w="15" w:type="dxa"/>
            <w:right w:w="15" w:type="dxa"/>
          </w:tblCellMar>
        </w:tblPrEx>
        <w:trPr>
          <w:trHeight w:val="421" w:hRule="atLeast"/>
          <w:jc w:val="center"/>
        </w:trPr>
        <w:tc>
          <w:tcPr>
            <w:tcW w:w="1632" w:type="dxa"/>
            <w:gridSpan w:val="2"/>
            <w:vMerge w:val="continue"/>
            <w:tcBorders>
              <w:top w:val="single" w:color="000000" w:sz="4" w:space="0"/>
              <w:left w:val="single" w:color="000000" w:sz="4" w:space="0"/>
              <w:bottom w:val="single" w:color="000000" w:sz="4" w:space="0"/>
              <w:right w:val="single" w:color="000000" w:sz="4" w:space="0"/>
            </w:tcBorders>
            <w:vAlign w:val="center"/>
          </w:tcPr>
          <w:p>
            <w:pPr>
              <w:spacing w:line="300" w:lineRule="exact"/>
              <w:rPr>
                <w:rFonts w:ascii="宋体" w:hAnsi="宋体" w:eastAsia="宋体" w:cs="宋体"/>
                <w:color w:val="000000"/>
                <w:sz w:val="24"/>
              </w:rPr>
            </w:pPr>
          </w:p>
        </w:tc>
        <w:tc>
          <w:tcPr>
            <w:tcW w:w="2414"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 xml:space="preserve">            其他资金</w:t>
            </w:r>
          </w:p>
        </w:tc>
        <w:tc>
          <w:tcPr>
            <w:tcW w:w="5594" w:type="dxa"/>
            <w:gridSpan w:val="5"/>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0</w:t>
            </w:r>
          </w:p>
        </w:tc>
      </w:tr>
      <w:tr>
        <w:tblPrEx>
          <w:tblCellMar>
            <w:top w:w="15" w:type="dxa"/>
            <w:left w:w="15" w:type="dxa"/>
            <w:bottom w:w="15" w:type="dxa"/>
            <w:right w:w="15" w:type="dxa"/>
          </w:tblCellMar>
        </w:tblPrEx>
        <w:trPr>
          <w:trHeight w:val="305" w:hRule="atLeast"/>
          <w:jc w:val="center"/>
        </w:trPr>
        <w:tc>
          <w:tcPr>
            <w:tcW w:w="614"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总体 目标</w:t>
            </w:r>
          </w:p>
        </w:tc>
        <w:tc>
          <w:tcPr>
            <w:tcW w:w="9026" w:type="dxa"/>
            <w:gridSpan w:val="8"/>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年度目标</w:t>
            </w:r>
          </w:p>
        </w:tc>
      </w:tr>
      <w:tr>
        <w:tblPrEx>
          <w:tblCellMar>
            <w:top w:w="15" w:type="dxa"/>
            <w:left w:w="15" w:type="dxa"/>
            <w:bottom w:w="15" w:type="dxa"/>
            <w:right w:w="15" w:type="dxa"/>
          </w:tblCellMar>
        </w:tblPrEx>
        <w:trPr>
          <w:trHeight w:val="1643" w:hRule="atLeast"/>
          <w:jc w:val="center"/>
        </w:trPr>
        <w:tc>
          <w:tcPr>
            <w:tcW w:w="614" w:type="dxa"/>
            <w:vMerge w:val="continue"/>
            <w:tcBorders>
              <w:top w:val="single" w:color="000000" w:sz="4" w:space="0"/>
              <w:left w:val="single" w:color="000000" w:sz="4" w:space="0"/>
              <w:bottom w:val="single" w:color="000000" w:sz="4" w:space="0"/>
              <w:right w:val="single" w:color="000000" w:sz="4" w:space="0"/>
            </w:tcBorders>
            <w:vAlign w:val="center"/>
          </w:tcPr>
          <w:p>
            <w:pPr>
              <w:spacing w:line="300" w:lineRule="exact"/>
              <w:rPr>
                <w:rFonts w:ascii="宋体" w:hAnsi="宋体" w:eastAsia="宋体" w:cs="宋体"/>
                <w:color w:val="000000"/>
                <w:sz w:val="24"/>
              </w:rPr>
            </w:pPr>
          </w:p>
        </w:tc>
        <w:tc>
          <w:tcPr>
            <w:tcW w:w="9026" w:type="dxa"/>
            <w:gridSpan w:val="8"/>
            <w:tcBorders>
              <w:top w:val="single" w:color="000000" w:sz="4" w:space="0"/>
              <w:left w:val="single" w:color="000000" w:sz="4" w:space="0"/>
              <w:bottom w:val="single" w:color="000000" w:sz="4" w:space="0"/>
              <w:right w:val="single" w:color="000000" w:sz="4" w:space="0"/>
            </w:tcBorders>
            <w:vAlign w:val="center"/>
          </w:tcPr>
          <w:p>
            <w:pPr>
              <w:widowControl/>
              <w:spacing w:line="300" w:lineRule="exact"/>
              <w:ind w:firstLine="464" w:firstLineChars="200"/>
              <w:jc w:val="left"/>
              <w:textAlignment w:val="center"/>
              <w:rPr>
                <w:rFonts w:ascii="宋体" w:hAnsi="宋体" w:eastAsia="宋体" w:cs="宋体"/>
                <w:color w:val="000000"/>
                <w:kern w:val="0"/>
                <w:sz w:val="24"/>
              </w:rPr>
            </w:pPr>
            <w:r>
              <w:rPr>
                <w:rFonts w:hint="eastAsia" w:ascii="宋体" w:hAnsi="宋体" w:eastAsia="宋体" w:cs="宋体"/>
                <w:sz w:val="24"/>
              </w:rPr>
              <w:t>西尔镇沙卡村房屋建筑已全面完成，但房屋之间巷道杂乱，杂物乱堆，各住户门前杂物乱放，影响村寨、院落形象。为全面推进村寨基础设施的提升，需要大力进行改造提升，促进基本公共服务均等化。主要内容包含了：道路硬化 3991 平方米、院落改造面积 1288 平方米，块石挡土墙建设 23.5 米，外运土渣 1184 立方米，合同价为48万元。</w:t>
            </w:r>
          </w:p>
        </w:tc>
      </w:tr>
      <w:tr>
        <w:tblPrEx>
          <w:tblCellMar>
            <w:top w:w="15" w:type="dxa"/>
            <w:left w:w="15" w:type="dxa"/>
            <w:bottom w:w="15" w:type="dxa"/>
            <w:right w:w="15" w:type="dxa"/>
          </w:tblCellMar>
        </w:tblPrEx>
        <w:trPr>
          <w:trHeight w:val="305" w:hRule="atLeast"/>
          <w:jc w:val="center"/>
        </w:trPr>
        <w:tc>
          <w:tcPr>
            <w:tcW w:w="614" w:type="dxa"/>
            <w:vMerge w:val="restart"/>
            <w:tcBorders>
              <w:top w:val="single" w:color="000000" w:sz="4" w:space="0"/>
              <w:left w:val="single" w:color="000000" w:sz="4" w:space="0"/>
              <w:bottom w:val="single" w:color="000000" w:sz="4" w:space="0"/>
            </w:tcBorders>
            <w:vAlign w:val="center"/>
          </w:tcPr>
          <w:p>
            <w:pPr>
              <w:widowControl/>
              <w:spacing w:line="30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绩效 指标</w:t>
            </w:r>
          </w:p>
        </w:tc>
        <w:tc>
          <w:tcPr>
            <w:tcW w:w="1018"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一级指标</w:t>
            </w:r>
          </w:p>
        </w:tc>
        <w:tc>
          <w:tcPr>
            <w:tcW w:w="1177"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二级指标</w:t>
            </w:r>
          </w:p>
        </w:tc>
        <w:tc>
          <w:tcPr>
            <w:tcW w:w="1237"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三级指标</w:t>
            </w:r>
          </w:p>
        </w:tc>
        <w:tc>
          <w:tcPr>
            <w:tcW w:w="1061"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指标性质</w:t>
            </w:r>
          </w:p>
        </w:tc>
        <w:tc>
          <w:tcPr>
            <w:tcW w:w="914"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指标值</w:t>
            </w:r>
          </w:p>
        </w:tc>
        <w:tc>
          <w:tcPr>
            <w:tcW w:w="1000"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度量单位</w:t>
            </w:r>
          </w:p>
        </w:tc>
        <w:tc>
          <w:tcPr>
            <w:tcW w:w="808"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权重</w:t>
            </w:r>
          </w:p>
        </w:tc>
        <w:tc>
          <w:tcPr>
            <w:tcW w:w="1811"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实际完成指标值</w:t>
            </w:r>
          </w:p>
        </w:tc>
      </w:tr>
      <w:tr>
        <w:tblPrEx>
          <w:tblCellMar>
            <w:top w:w="15" w:type="dxa"/>
            <w:left w:w="15" w:type="dxa"/>
            <w:bottom w:w="15" w:type="dxa"/>
            <w:right w:w="15" w:type="dxa"/>
          </w:tblCellMar>
        </w:tblPrEx>
        <w:trPr>
          <w:trHeight w:val="2990" w:hRule="atLeast"/>
          <w:jc w:val="center"/>
        </w:trPr>
        <w:tc>
          <w:tcPr>
            <w:tcW w:w="614" w:type="dxa"/>
            <w:vMerge w:val="continue"/>
            <w:tcBorders>
              <w:top w:val="single" w:color="000000" w:sz="4" w:space="0"/>
              <w:left w:val="single" w:color="000000" w:sz="4" w:space="0"/>
              <w:bottom w:val="single" w:color="000000" w:sz="4" w:space="0"/>
            </w:tcBorders>
            <w:vAlign w:val="center"/>
          </w:tcPr>
          <w:p>
            <w:pPr>
              <w:spacing w:line="300" w:lineRule="exact"/>
              <w:jc w:val="center"/>
              <w:rPr>
                <w:rFonts w:ascii="宋体" w:hAnsi="宋体" w:eastAsia="宋体" w:cs="宋体"/>
                <w:color w:val="000000"/>
                <w:sz w:val="24"/>
              </w:rPr>
            </w:pPr>
          </w:p>
        </w:tc>
        <w:tc>
          <w:tcPr>
            <w:tcW w:w="1018" w:type="dxa"/>
            <w:vMerge w:val="restart"/>
            <w:tcBorders>
              <w:left w:val="single" w:color="000000" w:sz="4" w:space="0"/>
              <w:right w:val="single" w:color="000000" w:sz="4" w:space="0"/>
            </w:tcBorders>
            <w:vAlign w:val="center"/>
          </w:tcPr>
          <w:p>
            <w:pPr>
              <w:spacing w:line="300" w:lineRule="exact"/>
              <w:jc w:val="center"/>
              <w:rPr>
                <w:rFonts w:ascii="宋体" w:hAnsi="宋体" w:eastAsia="宋体" w:cs="宋体"/>
                <w:color w:val="000000"/>
                <w:sz w:val="24"/>
              </w:rPr>
            </w:pPr>
            <w:r>
              <w:rPr>
                <w:rFonts w:hint="eastAsia" w:ascii="宋体" w:hAnsi="宋体" w:eastAsia="宋体" w:cs="宋体"/>
                <w:color w:val="000000"/>
                <w:sz w:val="24"/>
              </w:rPr>
              <w:t>产出</w:t>
            </w:r>
          </w:p>
          <w:p>
            <w:pPr>
              <w:spacing w:line="300" w:lineRule="exact"/>
              <w:jc w:val="center"/>
              <w:rPr>
                <w:rFonts w:ascii="宋体" w:hAnsi="宋体" w:eastAsia="宋体" w:cs="宋体"/>
                <w:color w:val="000000"/>
                <w:sz w:val="24"/>
              </w:rPr>
            </w:pPr>
            <w:r>
              <w:rPr>
                <w:rFonts w:hint="eastAsia" w:ascii="宋体" w:hAnsi="宋体" w:eastAsia="宋体" w:cs="宋体"/>
                <w:color w:val="000000"/>
                <w:sz w:val="24"/>
              </w:rPr>
              <w:t>指标</w:t>
            </w:r>
          </w:p>
        </w:tc>
        <w:tc>
          <w:tcPr>
            <w:tcW w:w="1177" w:type="dxa"/>
            <w:tcBorders>
              <w:left w:val="single" w:color="000000" w:sz="4" w:space="0"/>
              <w:bottom w:val="single" w:color="000000" w:sz="4" w:space="0"/>
              <w:right w:val="single" w:color="000000" w:sz="4" w:space="0"/>
            </w:tcBorders>
            <w:vAlign w:val="center"/>
          </w:tcPr>
          <w:p>
            <w:pPr>
              <w:widowControl/>
              <w:spacing w:line="30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数量指标</w:t>
            </w:r>
          </w:p>
        </w:tc>
        <w:tc>
          <w:tcPr>
            <w:tcW w:w="1237" w:type="dxa"/>
            <w:tcBorders>
              <w:top w:val="single" w:color="000000" w:sz="4" w:space="0"/>
              <w:left w:val="single" w:color="000000" w:sz="4" w:space="0"/>
              <w:bottom w:val="single" w:color="000000" w:sz="4" w:space="0"/>
              <w:right w:val="single" w:color="000000" w:sz="4" w:space="0"/>
            </w:tcBorders>
            <w:vAlign w:val="center"/>
          </w:tcPr>
          <w:p>
            <w:pPr>
              <w:spacing w:line="300" w:lineRule="exact"/>
              <w:rPr>
                <w:rFonts w:ascii="宋体" w:hAnsi="宋体" w:eastAsia="宋体" w:cs="宋体"/>
                <w:color w:val="000000"/>
                <w:sz w:val="24"/>
              </w:rPr>
            </w:pPr>
            <w:r>
              <w:rPr>
                <w:rFonts w:hint="eastAsia" w:ascii="宋体" w:hAnsi="宋体" w:eastAsia="宋体" w:cs="宋体"/>
                <w:color w:val="000000"/>
                <w:sz w:val="24"/>
              </w:rPr>
              <w:t>道路硬化 3991 平方米、院落改造面积 1288 平方米，块石挡土墙建设 23.5 米，外运土渣 1184 立方米，合同价为48万元。</w:t>
            </w:r>
          </w:p>
        </w:tc>
        <w:tc>
          <w:tcPr>
            <w:tcW w:w="1061"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rFonts w:ascii="宋体" w:hAnsi="宋体" w:eastAsia="宋体" w:cs="宋体"/>
                <w:color w:val="000000"/>
                <w:sz w:val="24"/>
              </w:rPr>
            </w:pPr>
            <w:r>
              <w:rPr>
                <w:rFonts w:hint="eastAsia" w:ascii="宋体" w:hAnsi="宋体" w:eastAsia="宋体" w:cs="宋体"/>
                <w:color w:val="000000"/>
                <w:sz w:val="24"/>
              </w:rPr>
              <w:t>≥</w:t>
            </w:r>
          </w:p>
        </w:tc>
        <w:tc>
          <w:tcPr>
            <w:tcW w:w="914"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rFonts w:ascii="宋体" w:hAnsi="宋体" w:eastAsia="宋体" w:cs="宋体"/>
                <w:color w:val="000000"/>
                <w:sz w:val="24"/>
              </w:rPr>
            </w:pPr>
            <w:r>
              <w:rPr>
                <w:rFonts w:hint="eastAsia" w:ascii="宋体" w:hAnsi="宋体" w:eastAsia="宋体" w:cs="宋体"/>
                <w:color w:val="000000"/>
                <w:sz w:val="24"/>
              </w:rPr>
              <w:t>1288</w:t>
            </w:r>
          </w:p>
        </w:tc>
        <w:tc>
          <w:tcPr>
            <w:tcW w:w="1000"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rFonts w:ascii="宋体" w:hAnsi="宋体" w:eastAsia="宋体" w:cs="宋体"/>
                <w:color w:val="000000"/>
                <w:sz w:val="24"/>
              </w:rPr>
            </w:pPr>
            <w:r>
              <w:rPr>
                <w:rFonts w:hint="eastAsia" w:ascii="宋体" w:hAnsi="宋体" w:eastAsia="宋体" w:cs="宋体"/>
                <w:color w:val="000000"/>
                <w:sz w:val="24"/>
              </w:rPr>
              <w:t>平方米</w:t>
            </w:r>
          </w:p>
        </w:tc>
        <w:tc>
          <w:tcPr>
            <w:tcW w:w="808"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rFonts w:ascii="宋体" w:hAnsi="宋体" w:eastAsia="宋体" w:cs="宋体"/>
                <w:color w:val="000000"/>
                <w:sz w:val="24"/>
              </w:rPr>
            </w:pPr>
            <w:r>
              <w:rPr>
                <w:rFonts w:hint="eastAsia" w:ascii="宋体" w:hAnsi="宋体" w:eastAsia="宋体" w:cs="宋体"/>
                <w:color w:val="000000"/>
                <w:sz w:val="24"/>
              </w:rPr>
              <w:t>20</w:t>
            </w:r>
          </w:p>
        </w:tc>
        <w:tc>
          <w:tcPr>
            <w:tcW w:w="1811"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rFonts w:ascii="宋体" w:hAnsi="宋体" w:eastAsia="宋体" w:cs="宋体"/>
                <w:color w:val="000000"/>
                <w:sz w:val="24"/>
              </w:rPr>
            </w:pPr>
            <w:r>
              <w:rPr>
                <w:rFonts w:hint="eastAsia" w:ascii="宋体" w:hAnsi="宋体" w:eastAsia="宋体" w:cs="宋体"/>
                <w:color w:val="000000"/>
                <w:sz w:val="24"/>
              </w:rPr>
              <w:t>1288</w:t>
            </w:r>
          </w:p>
        </w:tc>
      </w:tr>
      <w:tr>
        <w:tblPrEx>
          <w:tblCellMar>
            <w:top w:w="15" w:type="dxa"/>
            <w:left w:w="15" w:type="dxa"/>
            <w:bottom w:w="15" w:type="dxa"/>
            <w:right w:w="15" w:type="dxa"/>
          </w:tblCellMar>
        </w:tblPrEx>
        <w:trPr>
          <w:trHeight w:val="1110" w:hRule="atLeast"/>
          <w:jc w:val="center"/>
        </w:trPr>
        <w:tc>
          <w:tcPr>
            <w:tcW w:w="614" w:type="dxa"/>
            <w:vMerge w:val="continue"/>
            <w:tcBorders>
              <w:top w:val="single" w:color="000000" w:sz="4" w:space="0"/>
              <w:left w:val="single" w:color="000000" w:sz="4" w:space="0"/>
              <w:bottom w:val="single" w:color="000000" w:sz="4" w:space="0"/>
            </w:tcBorders>
            <w:vAlign w:val="center"/>
          </w:tcPr>
          <w:p>
            <w:pPr>
              <w:spacing w:line="300" w:lineRule="exact"/>
              <w:jc w:val="center"/>
              <w:rPr>
                <w:rFonts w:ascii="宋体" w:hAnsi="宋体" w:eastAsia="宋体" w:cs="宋体"/>
                <w:color w:val="000000"/>
                <w:sz w:val="24"/>
              </w:rPr>
            </w:pPr>
          </w:p>
        </w:tc>
        <w:tc>
          <w:tcPr>
            <w:tcW w:w="1018" w:type="dxa"/>
            <w:vMerge w:val="continue"/>
            <w:tcBorders>
              <w:left w:val="single" w:color="000000" w:sz="4" w:space="0"/>
              <w:right w:val="single" w:color="000000" w:sz="4" w:space="0"/>
            </w:tcBorders>
            <w:vAlign w:val="center"/>
          </w:tcPr>
          <w:p>
            <w:pPr>
              <w:spacing w:line="300" w:lineRule="exact"/>
              <w:jc w:val="center"/>
              <w:rPr>
                <w:rFonts w:ascii="宋体" w:hAnsi="宋体" w:eastAsia="宋体" w:cs="宋体"/>
                <w:color w:val="000000"/>
                <w:sz w:val="24"/>
              </w:rPr>
            </w:pPr>
          </w:p>
        </w:tc>
        <w:tc>
          <w:tcPr>
            <w:tcW w:w="1177" w:type="dxa"/>
            <w:tcBorders>
              <w:left w:val="single" w:color="000000" w:sz="4" w:space="0"/>
              <w:bottom w:val="single" w:color="000000" w:sz="4" w:space="0"/>
              <w:right w:val="single" w:color="000000" w:sz="4" w:space="0"/>
            </w:tcBorders>
            <w:vAlign w:val="center"/>
          </w:tcPr>
          <w:p>
            <w:pPr>
              <w:widowControl/>
              <w:spacing w:line="30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质量指标</w:t>
            </w:r>
          </w:p>
        </w:tc>
        <w:tc>
          <w:tcPr>
            <w:tcW w:w="1237" w:type="dxa"/>
            <w:tcBorders>
              <w:top w:val="single" w:color="000000" w:sz="4" w:space="0"/>
              <w:left w:val="single" w:color="000000" w:sz="4" w:space="0"/>
              <w:bottom w:val="single" w:color="000000" w:sz="4" w:space="0"/>
              <w:right w:val="single" w:color="000000" w:sz="4" w:space="0"/>
            </w:tcBorders>
            <w:vAlign w:val="center"/>
          </w:tcPr>
          <w:p>
            <w:pPr>
              <w:spacing w:line="300" w:lineRule="exact"/>
              <w:rPr>
                <w:rFonts w:ascii="宋体" w:hAnsi="宋体" w:eastAsia="宋体" w:cs="宋体"/>
                <w:color w:val="000000"/>
                <w:sz w:val="24"/>
              </w:rPr>
            </w:pPr>
            <w:r>
              <w:rPr>
                <w:rFonts w:hint="eastAsia" w:ascii="宋体" w:hAnsi="宋体" w:eastAsia="宋体" w:cs="宋体"/>
                <w:color w:val="000000"/>
                <w:sz w:val="24"/>
              </w:rPr>
              <w:t>让人们的居住环境条件得到改善，环境变得优美。</w:t>
            </w:r>
          </w:p>
        </w:tc>
        <w:tc>
          <w:tcPr>
            <w:tcW w:w="1061"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rFonts w:ascii="宋体" w:hAnsi="宋体" w:eastAsia="宋体" w:cs="宋体"/>
                <w:color w:val="000000"/>
                <w:sz w:val="24"/>
              </w:rPr>
            </w:pPr>
            <w:r>
              <w:rPr>
                <w:rFonts w:hint="eastAsia" w:ascii="宋体" w:hAnsi="宋体" w:eastAsia="宋体" w:cs="宋体"/>
                <w:color w:val="000000"/>
                <w:sz w:val="24"/>
              </w:rPr>
              <w:t>≥</w:t>
            </w:r>
          </w:p>
        </w:tc>
        <w:tc>
          <w:tcPr>
            <w:tcW w:w="914"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rFonts w:ascii="宋体" w:hAnsi="宋体" w:eastAsia="宋体" w:cs="宋体"/>
                <w:color w:val="000000"/>
                <w:sz w:val="24"/>
              </w:rPr>
            </w:pPr>
            <w:r>
              <w:rPr>
                <w:rFonts w:hint="eastAsia" w:ascii="宋体" w:hAnsi="宋体" w:eastAsia="宋体" w:cs="宋体"/>
                <w:color w:val="000000"/>
                <w:sz w:val="24"/>
              </w:rPr>
              <w:t>100</w:t>
            </w:r>
          </w:p>
        </w:tc>
        <w:tc>
          <w:tcPr>
            <w:tcW w:w="1000"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rFonts w:ascii="宋体" w:hAnsi="宋体" w:eastAsia="宋体" w:cs="宋体"/>
                <w:color w:val="000000"/>
                <w:sz w:val="24"/>
              </w:rPr>
            </w:pPr>
            <w:r>
              <w:rPr>
                <w:rFonts w:hint="eastAsia" w:ascii="宋体" w:hAnsi="宋体" w:eastAsia="宋体" w:cs="宋体"/>
                <w:color w:val="000000"/>
                <w:sz w:val="24"/>
              </w:rPr>
              <w:t>%</w:t>
            </w:r>
          </w:p>
        </w:tc>
        <w:tc>
          <w:tcPr>
            <w:tcW w:w="808"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rFonts w:ascii="宋体" w:hAnsi="宋体" w:eastAsia="宋体" w:cs="宋体"/>
                <w:color w:val="000000"/>
                <w:sz w:val="24"/>
              </w:rPr>
            </w:pPr>
            <w:r>
              <w:rPr>
                <w:rFonts w:hint="eastAsia" w:ascii="宋体" w:hAnsi="宋体" w:eastAsia="宋体" w:cs="宋体"/>
                <w:color w:val="000000"/>
                <w:sz w:val="24"/>
              </w:rPr>
              <w:t>20</w:t>
            </w:r>
          </w:p>
        </w:tc>
        <w:tc>
          <w:tcPr>
            <w:tcW w:w="1811"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rFonts w:ascii="宋体" w:hAnsi="宋体" w:eastAsia="宋体" w:cs="宋体"/>
                <w:color w:val="000000"/>
                <w:sz w:val="24"/>
              </w:rPr>
            </w:pPr>
            <w:r>
              <w:rPr>
                <w:rFonts w:hint="eastAsia" w:ascii="宋体" w:hAnsi="宋体" w:eastAsia="宋体" w:cs="宋体"/>
                <w:color w:val="000000"/>
                <w:sz w:val="24"/>
              </w:rPr>
              <w:t>100</w:t>
            </w:r>
          </w:p>
        </w:tc>
      </w:tr>
      <w:tr>
        <w:tblPrEx>
          <w:tblCellMar>
            <w:top w:w="15" w:type="dxa"/>
            <w:left w:w="15" w:type="dxa"/>
            <w:bottom w:w="15" w:type="dxa"/>
            <w:right w:w="15" w:type="dxa"/>
          </w:tblCellMar>
        </w:tblPrEx>
        <w:trPr>
          <w:trHeight w:val="554" w:hRule="atLeast"/>
          <w:jc w:val="center"/>
        </w:trPr>
        <w:tc>
          <w:tcPr>
            <w:tcW w:w="614" w:type="dxa"/>
            <w:vMerge w:val="continue"/>
            <w:tcBorders>
              <w:top w:val="single" w:color="000000" w:sz="4" w:space="0"/>
              <w:left w:val="single" w:color="000000" w:sz="4" w:space="0"/>
              <w:bottom w:val="single" w:color="000000" w:sz="4" w:space="0"/>
            </w:tcBorders>
            <w:vAlign w:val="center"/>
          </w:tcPr>
          <w:p>
            <w:pPr>
              <w:spacing w:line="300" w:lineRule="exact"/>
              <w:jc w:val="center"/>
              <w:rPr>
                <w:rFonts w:ascii="宋体" w:hAnsi="宋体" w:eastAsia="宋体" w:cs="宋体"/>
                <w:color w:val="000000"/>
                <w:sz w:val="24"/>
              </w:rPr>
            </w:pPr>
          </w:p>
        </w:tc>
        <w:tc>
          <w:tcPr>
            <w:tcW w:w="1018" w:type="dxa"/>
            <w:vMerge w:val="continue"/>
            <w:tcBorders>
              <w:left w:val="single" w:color="000000" w:sz="4" w:space="0"/>
              <w:bottom w:val="single" w:color="000000" w:sz="4" w:space="0"/>
              <w:right w:val="single" w:color="000000" w:sz="4" w:space="0"/>
            </w:tcBorders>
            <w:vAlign w:val="center"/>
          </w:tcPr>
          <w:p>
            <w:pPr>
              <w:spacing w:line="300" w:lineRule="exact"/>
              <w:jc w:val="center"/>
              <w:rPr>
                <w:rFonts w:ascii="宋体" w:hAnsi="宋体" w:eastAsia="宋体" w:cs="宋体"/>
                <w:color w:val="000000"/>
                <w:sz w:val="24"/>
              </w:rPr>
            </w:pPr>
          </w:p>
        </w:tc>
        <w:tc>
          <w:tcPr>
            <w:tcW w:w="1177"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时效指标</w:t>
            </w:r>
          </w:p>
        </w:tc>
        <w:tc>
          <w:tcPr>
            <w:tcW w:w="1237" w:type="dxa"/>
            <w:tcBorders>
              <w:top w:val="single" w:color="000000" w:sz="4" w:space="0"/>
              <w:left w:val="single" w:color="000000" w:sz="4" w:space="0"/>
              <w:bottom w:val="single" w:color="000000" w:sz="4" w:space="0"/>
              <w:right w:val="single" w:color="000000" w:sz="4" w:space="0"/>
            </w:tcBorders>
            <w:vAlign w:val="center"/>
          </w:tcPr>
          <w:p>
            <w:pPr>
              <w:spacing w:line="300" w:lineRule="exact"/>
              <w:rPr>
                <w:rFonts w:ascii="宋体" w:hAnsi="宋体" w:eastAsia="宋体" w:cs="宋体"/>
                <w:color w:val="000000"/>
                <w:sz w:val="24"/>
              </w:rPr>
            </w:pPr>
            <w:r>
              <w:rPr>
                <w:rFonts w:hint="eastAsia" w:ascii="宋体" w:hAnsi="宋体" w:eastAsia="宋体" w:cs="宋体"/>
                <w:color w:val="000000"/>
                <w:kern w:val="0"/>
                <w:sz w:val="24"/>
              </w:rPr>
              <w:t>完成时限</w:t>
            </w:r>
          </w:p>
        </w:tc>
        <w:tc>
          <w:tcPr>
            <w:tcW w:w="106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w:t>
            </w:r>
          </w:p>
        </w:tc>
        <w:tc>
          <w:tcPr>
            <w:tcW w:w="914"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rFonts w:ascii="宋体" w:hAnsi="宋体" w:eastAsia="宋体" w:cs="宋体"/>
                <w:color w:val="000000"/>
                <w:sz w:val="24"/>
              </w:rPr>
            </w:pPr>
            <w:r>
              <w:rPr>
                <w:rFonts w:hint="eastAsia" w:ascii="宋体" w:hAnsi="宋体" w:eastAsia="宋体" w:cs="宋体"/>
                <w:color w:val="000000"/>
                <w:sz w:val="24"/>
              </w:rPr>
              <w:t>9</w:t>
            </w:r>
          </w:p>
        </w:tc>
        <w:tc>
          <w:tcPr>
            <w:tcW w:w="1000"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rFonts w:ascii="宋体" w:hAnsi="宋体" w:eastAsia="宋体" w:cs="宋体"/>
                <w:color w:val="000000"/>
                <w:sz w:val="24"/>
              </w:rPr>
            </w:pPr>
            <w:r>
              <w:rPr>
                <w:rFonts w:hint="eastAsia" w:ascii="宋体" w:hAnsi="宋体" w:eastAsia="宋体" w:cs="宋体"/>
                <w:color w:val="000000"/>
                <w:sz w:val="24"/>
              </w:rPr>
              <w:t>月</w:t>
            </w:r>
          </w:p>
        </w:tc>
        <w:tc>
          <w:tcPr>
            <w:tcW w:w="808"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rFonts w:ascii="宋体" w:hAnsi="宋体" w:eastAsia="宋体" w:cs="宋体"/>
                <w:color w:val="000000"/>
                <w:sz w:val="24"/>
              </w:rPr>
            </w:pPr>
            <w:r>
              <w:rPr>
                <w:rFonts w:hint="eastAsia" w:ascii="宋体" w:hAnsi="宋体" w:eastAsia="宋体" w:cs="宋体"/>
                <w:color w:val="000000"/>
                <w:sz w:val="24"/>
              </w:rPr>
              <w:t>20</w:t>
            </w:r>
          </w:p>
        </w:tc>
        <w:tc>
          <w:tcPr>
            <w:tcW w:w="1811"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rFonts w:ascii="宋体" w:hAnsi="宋体" w:eastAsia="宋体" w:cs="宋体"/>
                <w:color w:val="000000"/>
                <w:sz w:val="24"/>
              </w:rPr>
            </w:pPr>
            <w:r>
              <w:rPr>
                <w:rFonts w:hint="eastAsia" w:ascii="宋体" w:hAnsi="宋体" w:eastAsia="宋体" w:cs="宋体"/>
                <w:color w:val="000000"/>
                <w:sz w:val="24"/>
              </w:rPr>
              <w:t>9</w:t>
            </w:r>
          </w:p>
        </w:tc>
      </w:tr>
      <w:tr>
        <w:tblPrEx>
          <w:tblCellMar>
            <w:top w:w="15" w:type="dxa"/>
            <w:left w:w="15" w:type="dxa"/>
            <w:bottom w:w="15" w:type="dxa"/>
            <w:right w:w="15" w:type="dxa"/>
          </w:tblCellMar>
        </w:tblPrEx>
        <w:trPr>
          <w:trHeight w:val="2722" w:hRule="atLeast"/>
          <w:jc w:val="center"/>
        </w:trPr>
        <w:tc>
          <w:tcPr>
            <w:tcW w:w="614" w:type="dxa"/>
            <w:vMerge w:val="continue"/>
            <w:tcBorders>
              <w:top w:val="single" w:color="000000" w:sz="4" w:space="0"/>
              <w:left w:val="single" w:color="000000" w:sz="4" w:space="0"/>
              <w:bottom w:val="single" w:color="000000" w:sz="4" w:space="0"/>
            </w:tcBorders>
            <w:vAlign w:val="center"/>
          </w:tcPr>
          <w:p>
            <w:pPr>
              <w:spacing w:line="300" w:lineRule="exact"/>
              <w:jc w:val="center"/>
              <w:rPr>
                <w:rFonts w:ascii="宋体" w:hAnsi="宋体" w:eastAsia="宋体" w:cs="宋体"/>
                <w:color w:val="000000"/>
                <w:sz w:val="24"/>
              </w:rPr>
            </w:pPr>
          </w:p>
        </w:tc>
        <w:tc>
          <w:tcPr>
            <w:tcW w:w="1018" w:type="dxa"/>
            <w:tcBorders>
              <w:top w:val="single" w:color="000000" w:sz="4" w:space="0"/>
              <w:left w:val="single" w:color="000000" w:sz="4" w:space="0"/>
              <w:right w:val="single" w:color="000000" w:sz="4" w:space="0"/>
            </w:tcBorders>
            <w:vAlign w:val="center"/>
          </w:tcPr>
          <w:p>
            <w:pPr>
              <w:widowControl/>
              <w:spacing w:line="30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效益指标</w:t>
            </w:r>
          </w:p>
        </w:tc>
        <w:tc>
          <w:tcPr>
            <w:tcW w:w="1177"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社会效益指标</w:t>
            </w:r>
          </w:p>
        </w:tc>
        <w:tc>
          <w:tcPr>
            <w:tcW w:w="1237" w:type="dxa"/>
            <w:tcBorders>
              <w:top w:val="single" w:color="000000" w:sz="4" w:space="0"/>
              <w:left w:val="single" w:color="000000" w:sz="4" w:space="0"/>
              <w:bottom w:val="single" w:color="000000" w:sz="4" w:space="0"/>
              <w:right w:val="single" w:color="000000" w:sz="4" w:space="0"/>
            </w:tcBorders>
            <w:vAlign w:val="center"/>
          </w:tcPr>
          <w:p>
            <w:pPr>
              <w:spacing w:line="300" w:lineRule="exact"/>
              <w:rPr>
                <w:rFonts w:ascii="宋体" w:hAnsi="宋体" w:eastAsia="宋体" w:cs="宋体"/>
                <w:color w:val="000000"/>
                <w:sz w:val="24"/>
              </w:rPr>
            </w:pPr>
            <w:r>
              <w:rPr>
                <w:rFonts w:hint="eastAsia" w:ascii="宋体" w:hAnsi="宋体" w:eastAsia="宋体" w:cs="宋体"/>
                <w:color w:val="000000"/>
                <w:sz w:val="24"/>
              </w:rPr>
              <w:t>进一步改善了基础设施建设，有力地推动了该村的经济和文化建设的发展，给村民的生活和工作带来极大的便利。</w:t>
            </w:r>
          </w:p>
        </w:tc>
        <w:tc>
          <w:tcPr>
            <w:tcW w:w="1061"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rFonts w:ascii="宋体" w:hAnsi="宋体" w:eastAsia="宋体" w:cs="宋体"/>
                <w:color w:val="000000"/>
                <w:sz w:val="24"/>
              </w:rPr>
            </w:pPr>
            <w:r>
              <w:rPr>
                <w:rFonts w:hint="eastAsia" w:ascii="宋体" w:hAnsi="宋体" w:eastAsia="宋体" w:cs="宋体"/>
                <w:color w:val="000000"/>
                <w:sz w:val="24"/>
              </w:rPr>
              <w:t>≥</w:t>
            </w:r>
          </w:p>
        </w:tc>
        <w:tc>
          <w:tcPr>
            <w:tcW w:w="914"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rFonts w:ascii="宋体" w:hAnsi="宋体" w:eastAsia="宋体" w:cs="宋体"/>
                <w:color w:val="000000"/>
                <w:sz w:val="24"/>
              </w:rPr>
            </w:pPr>
            <w:r>
              <w:rPr>
                <w:rFonts w:hint="eastAsia" w:ascii="宋体" w:hAnsi="宋体" w:eastAsia="宋体" w:cs="宋体"/>
                <w:color w:val="000000"/>
                <w:sz w:val="24"/>
              </w:rPr>
              <w:t>100</w:t>
            </w:r>
          </w:p>
        </w:tc>
        <w:tc>
          <w:tcPr>
            <w:tcW w:w="1000"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rFonts w:ascii="宋体" w:hAnsi="宋体" w:eastAsia="宋体" w:cs="宋体"/>
                <w:color w:val="000000"/>
                <w:sz w:val="24"/>
              </w:rPr>
            </w:pPr>
            <w:r>
              <w:rPr>
                <w:rFonts w:hint="eastAsia" w:ascii="宋体" w:hAnsi="宋体" w:eastAsia="宋体" w:cs="宋体"/>
                <w:color w:val="000000"/>
                <w:sz w:val="24"/>
              </w:rPr>
              <w:t>%</w:t>
            </w:r>
          </w:p>
        </w:tc>
        <w:tc>
          <w:tcPr>
            <w:tcW w:w="808"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rFonts w:ascii="宋体" w:hAnsi="宋体" w:eastAsia="宋体" w:cs="宋体"/>
                <w:color w:val="000000"/>
                <w:sz w:val="24"/>
              </w:rPr>
            </w:pPr>
            <w:r>
              <w:rPr>
                <w:rFonts w:hint="eastAsia" w:ascii="宋体" w:hAnsi="宋体" w:eastAsia="宋体" w:cs="宋体"/>
                <w:color w:val="000000"/>
                <w:sz w:val="24"/>
              </w:rPr>
              <w:t>20</w:t>
            </w:r>
          </w:p>
        </w:tc>
        <w:tc>
          <w:tcPr>
            <w:tcW w:w="1811"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rFonts w:ascii="宋体" w:hAnsi="宋体" w:eastAsia="宋体" w:cs="宋体"/>
                <w:color w:val="000000"/>
                <w:sz w:val="24"/>
              </w:rPr>
            </w:pPr>
            <w:r>
              <w:rPr>
                <w:rFonts w:hint="eastAsia" w:ascii="宋体" w:hAnsi="宋体" w:eastAsia="宋体" w:cs="宋体"/>
                <w:color w:val="000000"/>
                <w:sz w:val="24"/>
              </w:rPr>
              <w:t>100</w:t>
            </w:r>
          </w:p>
        </w:tc>
      </w:tr>
      <w:tr>
        <w:tblPrEx>
          <w:tblCellMar>
            <w:top w:w="15" w:type="dxa"/>
            <w:left w:w="15" w:type="dxa"/>
            <w:bottom w:w="15" w:type="dxa"/>
            <w:right w:w="15" w:type="dxa"/>
          </w:tblCellMar>
        </w:tblPrEx>
        <w:trPr>
          <w:trHeight w:val="1119" w:hRule="atLeast"/>
          <w:jc w:val="center"/>
        </w:trPr>
        <w:tc>
          <w:tcPr>
            <w:tcW w:w="614" w:type="dxa"/>
            <w:vMerge w:val="continue"/>
            <w:tcBorders>
              <w:top w:val="single" w:color="000000" w:sz="4" w:space="0"/>
              <w:left w:val="single" w:color="000000" w:sz="4" w:space="0"/>
              <w:bottom w:val="single" w:color="000000" w:sz="4" w:space="0"/>
            </w:tcBorders>
            <w:vAlign w:val="center"/>
          </w:tcPr>
          <w:p>
            <w:pPr>
              <w:spacing w:line="300" w:lineRule="exact"/>
              <w:jc w:val="center"/>
              <w:rPr>
                <w:rFonts w:ascii="宋体" w:hAnsi="宋体" w:eastAsia="宋体" w:cs="宋体"/>
                <w:color w:val="000000"/>
                <w:sz w:val="24"/>
              </w:rPr>
            </w:pPr>
          </w:p>
        </w:tc>
        <w:tc>
          <w:tcPr>
            <w:tcW w:w="1018" w:type="dxa"/>
            <w:tcBorders>
              <w:top w:val="single" w:color="000000" w:sz="4" w:space="0"/>
              <w:left w:val="single" w:color="000000" w:sz="4" w:space="0"/>
              <w:right w:val="single" w:color="000000" w:sz="4" w:space="0"/>
            </w:tcBorders>
            <w:vAlign w:val="center"/>
          </w:tcPr>
          <w:p>
            <w:pPr>
              <w:widowControl/>
              <w:spacing w:line="30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满意度</w:t>
            </w:r>
          </w:p>
          <w:p>
            <w:pPr>
              <w:widowControl/>
              <w:spacing w:line="30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指标</w:t>
            </w:r>
          </w:p>
        </w:tc>
        <w:tc>
          <w:tcPr>
            <w:tcW w:w="1177" w:type="dxa"/>
            <w:tcBorders>
              <w:top w:val="single" w:color="000000" w:sz="4" w:space="0"/>
              <w:left w:val="single" w:color="000000" w:sz="4" w:space="0"/>
              <w:right w:val="single" w:color="000000" w:sz="4" w:space="0"/>
            </w:tcBorders>
            <w:vAlign w:val="center"/>
          </w:tcPr>
          <w:p>
            <w:pPr>
              <w:widowControl/>
              <w:spacing w:line="300" w:lineRule="exact"/>
              <w:jc w:val="center"/>
              <w:textAlignment w:val="center"/>
              <w:rPr>
                <w:rFonts w:ascii="宋体" w:hAnsi="宋体" w:eastAsia="宋体" w:cs="宋体"/>
                <w:color w:val="000000"/>
                <w:kern w:val="0"/>
                <w:sz w:val="24"/>
              </w:rPr>
            </w:pPr>
          </w:p>
          <w:p>
            <w:pPr>
              <w:widowControl/>
              <w:spacing w:line="30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服务对象满意度指标</w:t>
            </w:r>
          </w:p>
        </w:tc>
        <w:tc>
          <w:tcPr>
            <w:tcW w:w="1237" w:type="dxa"/>
            <w:tcBorders>
              <w:top w:val="single" w:color="000000" w:sz="4" w:space="0"/>
              <w:left w:val="single" w:color="000000" w:sz="4" w:space="0"/>
              <w:bottom w:val="single" w:color="000000" w:sz="4" w:space="0"/>
              <w:right w:val="single" w:color="000000" w:sz="4" w:space="0"/>
            </w:tcBorders>
            <w:vAlign w:val="center"/>
          </w:tcPr>
          <w:p>
            <w:pPr>
              <w:spacing w:line="300" w:lineRule="exact"/>
              <w:rPr>
                <w:rFonts w:ascii="宋体" w:hAnsi="宋体" w:eastAsia="宋体" w:cs="宋体"/>
                <w:color w:val="000000"/>
                <w:sz w:val="24"/>
              </w:rPr>
            </w:pPr>
            <w:r>
              <w:rPr>
                <w:rFonts w:hint="eastAsia" w:ascii="宋体" w:hAnsi="宋体" w:eastAsia="宋体" w:cs="宋体"/>
                <w:color w:val="000000"/>
                <w:sz w:val="24"/>
              </w:rPr>
              <w:t>提高了村民幸福感，改善了村民生活水平、质量。</w:t>
            </w:r>
          </w:p>
        </w:tc>
        <w:tc>
          <w:tcPr>
            <w:tcW w:w="1061"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rFonts w:ascii="宋体" w:hAnsi="宋体" w:eastAsia="宋体" w:cs="宋体"/>
                <w:color w:val="000000"/>
                <w:sz w:val="24"/>
              </w:rPr>
            </w:pPr>
            <w:r>
              <w:rPr>
                <w:rFonts w:hint="eastAsia" w:ascii="宋体" w:hAnsi="宋体" w:eastAsia="宋体" w:cs="宋体"/>
                <w:color w:val="000000"/>
                <w:sz w:val="24"/>
              </w:rPr>
              <w:t>≥</w:t>
            </w:r>
          </w:p>
        </w:tc>
        <w:tc>
          <w:tcPr>
            <w:tcW w:w="914"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rFonts w:ascii="宋体" w:hAnsi="宋体" w:eastAsia="宋体" w:cs="宋体"/>
                <w:color w:val="000000"/>
                <w:sz w:val="24"/>
              </w:rPr>
            </w:pPr>
            <w:r>
              <w:rPr>
                <w:rFonts w:hint="eastAsia" w:ascii="宋体" w:hAnsi="宋体" w:eastAsia="宋体" w:cs="宋体"/>
                <w:color w:val="000000"/>
                <w:sz w:val="24"/>
              </w:rPr>
              <w:t>100</w:t>
            </w:r>
          </w:p>
        </w:tc>
        <w:tc>
          <w:tcPr>
            <w:tcW w:w="1000"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rFonts w:ascii="宋体" w:hAnsi="宋体" w:eastAsia="宋体" w:cs="宋体"/>
                <w:color w:val="000000"/>
                <w:sz w:val="24"/>
              </w:rPr>
            </w:pPr>
            <w:r>
              <w:rPr>
                <w:rFonts w:hint="eastAsia" w:ascii="宋体" w:hAnsi="宋体" w:eastAsia="宋体" w:cs="宋体"/>
                <w:color w:val="000000"/>
                <w:sz w:val="24"/>
              </w:rPr>
              <w:t>%</w:t>
            </w:r>
          </w:p>
        </w:tc>
        <w:tc>
          <w:tcPr>
            <w:tcW w:w="808"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rFonts w:ascii="宋体" w:hAnsi="宋体" w:eastAsia="宋体" w:cs="宋体"/>
                <w:color w:val="000000"/>
                <w:sz w:val="24"/>
              </w:rPr>
            </w:pPr>
            <w:r>
              <w:rPr>
                <w:rFonts w:hint="eastAsia" w:ascii="宋体" w:hAnsi="宋体" w:eastAsia="宋体" w:cs="宋体"/>
                <w:color w:val="000000"/>
                <w:sz w:val="24"/>
              </w:rPr>
              <w:t>10</w:t>
            </w:r>
          </w:p>
        </w:tc>
        <w:tc>
          <w:tcPr>
            <w:tcW w:w="1811"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rFonts w:ascii="宋体" w:hAnsi="宋体" w:eastAsia="宋体" w:cs="宋体"/>
                <w:color w:val="000000"/>
                <w:sz w:val="24"/>
              </w:rPr>
            </w:pPr>
            <w:r>
              <w:rPr>
                <w:rFonts w:hint="eastAsia" w:ascii="宋体" w:hAnsi="宋体" w:eastAsia="宋体" w:cs="宋体"/>
                <w:color w:val="000000"/>
                <w:sz w:val="24"/>
              </w:rPr>
              <w:t>100</w:t>
            </w:r>
          </w:p>
        </w:tc>
      </w:tr>
    </w:tbl>
    <w:p>
      <w:pPr>
        <w:rPr>
          <w:rFonts w:ascii="宋体" w:hAnsi="宋体" w:eastAsia="宋体" w:cs="宋体"/>
          <w:sz w:val="24"/>
        </w:rPr>
      </w:pPr>
    </w:p>
    <w:p>
      <w:pPr>
        <w:rPr>
          <w:rFonts w:ascii="仿宋_GB2312" w:hAnsi="仿宋_GB2312" w:eastAsia="仿宋_GB2312" w:cs="仿宋_GB2312"/>
          <w:sz w:val="32"/>
          <w:szCs w:val="32"/>
        </w:rPr>
      </w:pPr>
    </w:p>
    <w:p>
      <w:pPr>
        <w:pStyle w:val="5"/>
        <w:spacing w:after="0" w:line="560" w:lineRule="exact"/>
        <w:ind w:left="0" w:leftChars="0" w:firstLine="0" w:firstLineChars="0"/>
        <w:rPr>
          <w:rFonts w:eastAsia="仿宋_GB2312"/>
          <w:sz w:val="32"/>
          <w:szCs w:val="32"/>
        </w:rPr>
      </w:pPr>
    </w:p>
    <w:sectPr>
      <w:headerReference r:id="rId3" w:type="default"/>
      <w:footerReference r:id="rId4" w:type="default"/>
      <w:pgSz w:w="11906" w:h="16838"/>
      <w:pgMar w:top="2098" w:right="1474" w:bottom="1984" w:left="1587" w:header="851" w:footer="992" w:gutter="0"/>
      <w:pgNumType w:fmt="numberInDash" w:start="1"/>
      <w:cols w:space="0" w:num="1"/>
      <w:docGrid w:type="linesAndChars" w:linePitch="289" w:charSpace="-183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_GBK">
    <w:panose1 w:val="02000000000000000000"/>
    <w:charset w:val="86"/>
    <w:family w:val="script"/>
    <w:pitch w:val="default"/>
    <w:sig w:usb0="A00002BF" w:usb1="38CF7CFA" w:usb2="00082016"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小标宋简体">
    <w:altName w:val="方正小标宋_GBK"/>
    <w:panose1 w:val="00000000000000000000"/>
    <w:charset w:val="86"/>
    <w:family w:val="auto"/>
    <w:pitch w:val="default"/>
    <w:sig w:usb0="00000000" w:usb1="00000000" w:usb2="00000000" w:usb3="00000000" w:csb0="00000000" w:csb1="00000000"/>
  </w:font>
  <w:font w:name="楷体">
    <w:altName w:val="方正楷体_GBK"/>
    <w:panose1 w:val="02010609060101010101"/>
    <w:charset w:val="86"/>
    <w:family w:val="modern"/>
    <w:pitch w:val="default"/>
    <w:sig w:usb0="00000000" w:usb1="00000000" w:usb2="00000016"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方正书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A00002BF" w:usb1="38CF7CFA" w:usb2="00082016" w:usb3="00000000" w:csb0="00040001" w:csb1="00000000"/>
  </w:font>
  <w:font w:name="方正楷体_GBK">
    <w:panose1 w:val="02000000000000000000"/>
    <w:charset w:val="86"/>
    <w:family w:val="auto"/>
    <w:pitch w:val="default"/>
    <w:sig w:usb0="A00002BF" w:usb1="38CF7CFA" w:usb2="00082016" w:usb3="00000000" w:csb0="00040001" w:csb1="00000000"/>
  </w:font>
  <w:font w:name="方正仿宋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pict>
        <v:shape id="_x0000_s2049" o:spid="_x0000_s2049"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JvSDC8VAgAAEwQAAA4AAAAAAAAA&#10;AQAgAAAAHwEAAGRycy9lMm9Eb2MueG1sUEsFBgAAAAAGAAYAWQEAAKYFAAAAAA==&#10;">
          <v:path/>
          <v:fill on="f" focussize="0,0"/>
          <v:stroke on="f" weight="0.5pt" joinstyle="miter"/>
          <v:imagedata o:title=""/>
          <o:lock v:ext="edit"/>
          <v:textbox inset="0mm,0mm,0mm,0mm" style="mso-fit-shape-to-text:t;">
            <w:txbxContent>
              <w:p>
                <w:pPr>
                  <w:pStyle w:val="2"/>
                  <w:rPr>
                    <w:rFonts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ascii="仿宋_GB2312" w:hAnsi="仿宋_GB2312" w:eastAsia="仿宋_GB2312" w:cs="仿宋_GB2312"/>
                    <w:sz w:val="28"/>
                    <w:szCs w:val="28"/>
                  </w:rPr>
                  <w:t>- 14 -</w:t>
                </w:r>
                <w:r>
                  <w:rPr>
                    <w:rFonts w:hint="eastAsia" w:ascii="仿宋_GB2312" w:hAnsi="仿宋_GB2312" w:eastAsia="仿宋_GB2312" w:cs="仿宋_GB2312"/>
                    <w:sz w:val="28"/>
                    <w:szCs w:val="28"/>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73D3656"/>
    <w:multiLevelType w:val="singleLevel"/>
    <w:tmpl w:val="873D3656"/>
    <w:lvl w:ilvl="0" w:tentative="0">
      <w:start w:val="1"/>
      <w:numFmt w:val="chineseCounting"/>
      <w:suff w:val="nothing"/>
      <w:lvlText w:val="%1、"/>
      <w:lvlJc w:val="left"/>
      <w:rPr>
        <w:rFonts w:hint="eastAsia"/>
      </w:rPr>
    </w:lvl>
  </w:abstractNum>
  <w:abstractNum w:abstractNumId="1">
    <w:nsid w:val="E2F8D747"/>
    <w:multiLevelType w:val="singleLevel"/>
    <w:tmpl w:val="E2F8D747"/>
    <w:lvl w:ilvl="0" w:tentative="0">
      <w:start w:val="1"/>
      <w:numFmt w:val="chineseCounting"/>
      <w:suff w:val="nothing"/>
      <w:lvlText w:val="（%1）"/>
      <w:lvlJc w:val="left"/>
      <w:rPr>
        <w:rFonts w:hint="eastAsia"/>
      </w:rPr>
    </w:lvl>
  </w:abstractNum>
  <w:abstractNum w:abstractNumId="2">
    <w:nsid w:val="EDE6F930"/>
    <w:multiLevelType w:val="singleLevel"/>
    <w:tmpl w:val="EDE6F930"/>
    <w:lvl w:ilvl="0" w:tentative="0">
      <w:start w:val="2"/>
      <w:numFmt w:val="decimal"/>
      <w:lvlText w:val="%1."/>
      <w:lvlJc w:val="left"/>
      <w:pPr>
        <w:tabs>
          <w:tab w:val="left" w:pos="312"/>
        </w:tabs>
      </w:pPr>
    </w:lvl>
  </w:abstractNum>
  <w:abstractNum w:abstractNumId="3">
    <w:nsid w:val="18372A37"/>
    <w:multiLevelType w:val="singleLevel"/>
    <w:tmpl w:val="18372A37"/>
    <w:lvl w:ilvl="0" w:tentative="0">
      <w:start w:val="3"/>
      <w:numFmt w:val="decimal"/>
      <w:suff w:val="nothing"/>
      <w:lvlText w:val="%1、"/>
      <w:lvlJc w:val="left"/>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HorizontalSpacing w:val="101"/>
  <w:drawingGridVerticalSpacing w:val="144"/>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ZWVhYzZhOWZkMzcxMDAyOTE4NjhmYWNlOTM1MGFkMTcifQ=="/>
  </w:docVars>
  <w:rsids>
    <w:rsidRoot w:val="00CC280B"/>
    <w:rsid w:val="00036671"/>
    <w:rsid w:val="001D4D5D"/>
    <w:rsid w:val="00425047"/>
    <w:rsid w:val="00432157"/>
    <w:rsid w:val="006D4BBA"/>
    <w:rsid w:val="00A328D7"/>
    <w:rsid w:val="00C3307F"/>
    <w:rsid w:val="00CC280B"/>
    <w:rsid w:val="00CF705E"/>
    <w:rsid w:val="00E20C68"/>
    <w:rsid w:val="016A4507"/>
    <w:rsid w:val="02A661AB"/>
    <w:rsid w:val="03CA2AD2"/>
    <w:rsid w:val="041B757A"/>
    <w:rsid w:val="06087B61"/>
    <w:rsid w:val="06091C50"/>
    <w:rsid w:val="07375BAD"/>
    <w:rsid w:val="08E21A6A"/>
    <w:rsid w:val="09F52F79"/>
    <w:rsid w:val="0B322536"/>
    <w:rsid w:val="0B82757F"/>
    <w:rsid w:val="0C343C96"/>
    <w:rsid w:val="0D187019"/>
    <w:rsid w:val="0DE708FE"/>
    <w:rsid w:val="0E1A1C15"/>
    <w:rsid w:val="0EC26852"/>
    <w:rsid w:val="0F0C769B"/>
    <w:rsid w:val="0FAA79C0"/>
    <w:rsid w:val="104E5CA1"/>
    <w:rsid w:val="1125116C"/>
    <w:rsid w:val="15300D39"/>
    <w:rsid w:val="17253C74"/>
    <w:rsid w:val="182203F7"/>
    <w:rsid w:val="19262884"/>
    <w:rsid w:val="19EA1601"/>
    <w:rsid w:val="19EE7482"/>
    <w:rsid w:val="1A950EB5"/>
    <w:rsid w:val="1B3D035A"/>
    <w:rsid w:val="1BA94E4D"/>
    <w:rsid w:val="1BC83D47"/>
    <w:rsid w:val="1C0E621E"/>
    <w:rsid w:val="1C8D282E"/>
    <w:rsid w:val="1D523A9A"/>
    <w:rsid w:val="1E0A4DD5"/>
    <w:rsid w:val="1E37428D"/>
    <w:rsid w:val="1F0A656E"/>
    <w:rsid w:val="1F81254B"/>
    <w:rsid w:val="1FC263E0"/>
    <w:rsid w:val="203E7547"/>
    <w:rsid w:val="2081315A"/>
    <w:rsid w:val="227C640C"/>
    <w:rsid w:val="23AD3EFF"/>
    <w:rsid w:val="243B3D1F"/>
    <w:rsid w:val="245A3099"/>
    <w:rsid w:val="24CF0956"/>
    <w:rsid w:val="24E327EF"/>
    <w:rsid w:val="275F3C97"/>
    <w:rsid w:val="27C6290A"/>
    <w:rsid w:val="295247BA"/>
    <w:rsid w:val="29935198"/>
    <w:rsid w:val="299917C2"/>
    <w:rsid w:val="2A5D21C4"/>
    <w:rsid w:val="2A74521B"/>
    <w:rsid w:val="2A7A13A5"/>
    <w:rsid w:val="2AA57F0A"/>
    <w:rsid w:val="2AF368C4"/>
    <w:rsid w:val="2C8A234B"/>
    <w:rsid w:val="2CCB2770"/>
    <w:rsid w:val="2D341BF8"/>
    <w:rsid w:val="2DDDF74A"/>
    <w:rsid w:val="2E0C7C15"/>
    <w:rsid w:val="2EBA2A9C"/>
    <w:rsid w:val="2F4A3A17"/>
    <w:rsid w:val="2F6B73CB"/>
    <w:rsid w:val="2F6C2559"/>
    <w:rsid w:val="2F803BF7"/>
    <w:rsid w:val="314B6857"/>
    <w:rsid w:val="31F31648"/>
    <w:rsid w:val="326A44DE"/>
    <w:rsid w:val="326B74D5"/>
    <w:rsid w:val="327F3C78"/>
    <w:rsid w:val="32F10117"/>
    <w:rsid w:val="33413D18"/>
    <w:rsid w:val="361F62AC"/>
    <w:rsid w:val="37284885"/>
    <w:rsid w:val="37907C72"/>
    <w:rsid w:val="38027305"/>
    <w:rsid w:val="39B970E5"/>
    <w:rsid w:val="3A8B1791"/>
    <w:rsid w:val="3AF9684B"/>
    <w:rsid w:val="3BC73FED"/>
    <w:rsid w:val="3CEE6046"/>
    <w:rsid w:val="3D4A45CC"/>
    <w:rsid w:val="3D582B39"/>
    <w:rsid w:val="3DBA6615"/>
    <w:rsid w:val="3DFB59A1"/>
    <w:rsid w:val="3E0203F7"/>
    <w:rsid w:val="41986C6D"/>
    <w:rsid w:val="458D22A4"/>
    <w:rsid w:val="45BF217A"/>
    <w:rsid w:val="460438C3"/>
    <w:rsid w:val="460743C1"/>
    <w:rsid w:val="46465302"/>
    <w:rsid w:val="47433BED"/>
    <w:rsid w:val="47EE6F5D"/>
    <w:rsid w:val="482B0E2E"/>
    <w:rsid w:val="48442B31"/>
    <w:rsid w:val="491E6785"/>
    <w:rsid w:val="49303C2F"/>
    <w:rsid w:val="493C1665"/>
    <w:rsid w:val="49971FEA"/>
    <w:rsid w:val="49FE4A19"/>
    <w:rsid w:val="49FF61F4"/>
    <w:rsid w:val="4A0704C0"/>
    <w:rsid w:val="4A31539A"/>
    <w:rsid w:val="4D741CDC"/>
    <w:rsid w:val="4DA7325B"/>
    <w:rsid w:val="4E5308F2"/>
    <w:rsid w:val="4E541876"/>
    <w:rsid w:val="4EC13877"/>
    <w:rsid w:val="4EDB378F"/>
    <w:rsid w:val="4FA31C2C"/>
    <w:rsid w:val="4FD60CE5"/>
    <w:rsid w:val="514534B9"/>
    <w:rsid w:val="51D64290"/>
    <w:rsid w:val="539F549B"/>
    <w:rsid w:val="53D81E06"/>
    <w:rsid w:val="53EA035F"/>
    <w:rsid w:val="53F5247E"/>
    <w:rsid w:val="53F817ED"/>
    <w:rsid w:val="540B2F18"/>
    <w:rsid w:val="548E3029"/>
    <w:rsid w:val="56FE2CAA"/>
    <w:rsid w:val="57181054"/>
    <w:rsid w:val="57BFDAF5"/>
    <w:rsid w:val="57FE057B"/>
    <w:rsid w:val="59BC79EA"/>
    <w:rsid w:val="5A92160A"/>
    <w:rsid w:val="5C930A0A"/>
    <w:rsid w:val="5CB03F37"/>
    <w:rsid w:val="5D670B7A"/>
    <w:rsid w:val="5DAD6FAF"/>
    <w:rsid w:val="60185CCE"/>
    <w:rsid w:val="603D630E"/>
    <w:rsid w:val="61B65CD8"/>
    <w:rsid w:val="636D7C92"/>
    <w:rsid w:val="641C3BC5"/>
    <w:rsid w:val="66A503AB"/>
    <w:rsid w:val="66FA3D5D"/>
    <w:rsid w:val="672F439A"/>
    <w:rsid w:val="67505C5F"/>
    <w:rsid w:val="67D60DDC"/>
    <w:rsid w:val="68370684"/>
    <w:rsid w:val="68E17DE6"/>
    <w:rsid w:val="6A4173C3"/>
    <w:rsid w:val="6ABF2757"/>
    <w:rsid w:val="6B805A63"/>
    <w:rsid w:val="6BB224A0"/>
    <w:rsid w:val="6D026D1C"/>
    <w:rsid w:val="6D473796"/>
    <w:rsid w:val="6DFF06D5"/>
    <w:rsid w:val="6E493F8C"/>
    <w:rsid w:val="6E8B1920"/>
    <w:rsid w:val="6EAC06E5"/>
    <w:rsid w:val="6EB93713"/>
    <w:rsid w:val="6EE97ACE"/>
    <w:rsid w:val="6F021D74"/>
    <w:rsid w:val="73176A89"/>
    <w:rsid w:val="73A03A5A"/>
    <w:rsid w:val="73E83AC8"/>
    <w:rsid w:val="73FD1FDA"/>
    <w:rsid w:val="76056513"/>
    <w:rsid w:val="771E006B"/>
    <w:rsid w:val="796C5F86"/>
    <w:rsid w:val="79F1274C"/>
    <w:rsid w:val="7A697ED2"/>
    <w:rsid w:val="7C6B5AB5"/>
    <w:rsid w:val="7DFF0A6A"/>
    <w:rsid w:val="7E273B51"/>
    <w:rsid w:val="7E9E2B34"/>
    <w:rsid w:val="7F1B145F"/>
    <w:rsid w:val="7F854DD2"/>
    <w:rsid w:val="7FFE2C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rFonts w:ascii="Times New Roman" w:hAnsi="Times New Roman" w:eastAsia="宋体" w:cs="Times New Roman"/>
      <w:sz w:val="18"/>
      <w:szCs w:val="18"/>
    </w:rPr>
  </w:style>
  <w:style w:type="paragraph" w:styleId="3">
    <w:name w:val="Body Text"/>
    <w:basedOn w:val="1"/>
    <w:next w:val="1"/>
    <w:qFormat/>
    <w:uiPriority w:val="0"/>
    <w:rPr>
      <w:sz w:val="28"/>
    </w:rPr>
  </w:style>
  <w:style w:type="paragraph" w:styleId="4">
    <w:name w:val="Body Text Indent"/>
    <w:basedOn w:val="1"/>
    <w:next w:val="5"/>
    <w:qFormat/>
    <w:uiPriority w:val="0"/>
    <w:pPr>
      <w:spacing w:after="120"/>
      <w:ind w:left="200" w:leftChars="200"/>
    </w:pPr>
    <w:rPr>
      <w:rFonts w:ascii="Times New Roman" w:hAnsi="Times New Roman" w:eastAsia="宋体" w:cs="Times New Roman"/>
    </w:rPr>
  </w:style>
  <w:style w:type="paragraph" w:styleId="5">
    <w:name w:val="Body Text First Indent 2"/>
    <w:basedOn w:val="4"/>
    <w:next w:val="1"/>
    <w:qFormat/>
    <w:uiPriority w:val="0"/>
    <w:pPr>
      <w:ind w:firstLine="200" w:firstLineChars="200"/>
    </w:p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table of figures"/>
    <w:basedOn w:val="1"/>
    <w:next w:val="1"/>
    <w:qFormat/>
    <w:uiPriority w:val="0"/>
    <w:pPr>
      <w:ind w:left="400" w:leftChars="200" w:hanging="200" w:hangingChars="200"/>
    </w:pPr>
    <w:rPr>
      <w:rFonts w:ascii="Calibri" w:hAnsi="Calibri"/>
    </w:rPr>
  </w:style>
  <w:style w:type="paragraph" w:styleId="8">
    <w:name w:val="Normal (Web)"/>
    <w:basedOn w:val="1"/>
    <w:qFormat/>
    <w:uiPriority w:val="0"/>
    <w:pPr>
      <w:spacing w:beforeAutospacing="1" w:afterAutospacing="1"/>
      <w:jc w:val="left"/>
    </w:pPr>
    <w:rPr>
      <w:rFonts w:cs="Times New Roman"/>
      <w:kern w:val="0"/>
      <w:sz w:val="24"/>
    </w:rPr>
  </w:style>
  <w:style w:type="character" w:styleId="11">
    <w:name w:val="page number"/>
    <w:basedOn w:val="10"/>
    <w:qFormat/>
    <w:uiPriority w:val="0"/>
    <w:rPr>
      <w:rFonts w:ascii="Times New Roman" w:hAnsi="Times New Roman" w:eastAsia="宋体" w:cs="Times New Roman"/>
    </w:rPr>
  </w:style>
  <w:style w:type="paragraph" w:customStyle="1" w:styleId="12">
    <w:name w:val="table of figures1"/>
    <w:basedOn w:val="1"/>
    <w:next w:val="1"/>
    <w:qFormat/>
    <w:uiPriority w:val="0"/>
    <w:pPr>
      <w:spacing w:before="100" w:beforeAutospacing="1" w:after="100" w:afterAutospacing="1"/>
      <w:ind w:left="200" w:leftChars="200" w:hanging="200" w:hangingChars="200"/>
    </w:pPr>
    <w:rPr>
      <w:rFonts w:ascii="Calibri" w:hAnsi="Calibri" w:eastAsia="宋体" w:cs="Times New Roman"/>
      <w:kern w:val="0"/>
      <w:sz w:val="20"/>
      <w:szCs w:val="21"/>
    </w:rPr>
  </w:style>
  <w:style w:type="paragraph" w:customStyle="1" w:styleId="13">
    <w:name w:val="列出段落1"/>
    <w:basedOn w:val="1"/>
    <w:qFormat/>
    <w:uiPriority w:val="34"/>
    <w:pPr>
      <w:ind w:firstLine="420" w:firstLineChars="200"/>
    </w:pPr>
    <w:rPr>
      <w:rFonts w:ascii="Calibri" w:hAnsi="Calibri" w:eastAsia="宋体" w:cs="Times New Roman"/>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2.pn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204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14</Pages>
  <Words>4874</Words>
  <Characters>631</Characters>
  <Lines>5</Lines>
  <Paragraphs>10</Paragraphs>
  <TotalTime>12</TotalTime>
  <ScaleCrop>false</ScaleCrop>
  <LinksUpToDate>false</LinksUpToDate>
  <CharactersWithSpaces>5495</CharactersWithSpaces>
  <Application>WPS Office_11.1.0.10702_F1E327BC-269C-435d-A152-05C5408002CA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2022-04-28T09:25:00Z</dcterms:created>
  <dc:creator>Administrator</dc:creator>
  <cp:lastModifiedBy>user</cp:lastModifiedBy>
  <cp:lastPrinted>2022-08-09T17:07:00Z</cp:lastPrinted>
  <dcterms:modified xsi:type="dcterms:W3CDTF">2025-04-09T11:17:38Z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2052-11.1.0.10702</vt:lpwstr>
  </property>
  <property fmtid="{D5CDD505-2E9C-101B-9397-08002B2CF9AE}" pid="3" name="ICV">
    <vt:lpwstr>8AC05B12691E48B8A9C8E26C600BF0EE_13</vt:lpwstr>
  </property>
</Properties>
</file>