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bCs/>
          <w:color w:val="auto"/>
          <w:sz w:val="32"/>
          <w:szCs w:val="32"/>
          <w:lang w:val="en-US" w:eastAsia="zh-CN" w:bidi="ar-SA"/>
        </w:rPr>
      </w:pPr>
      <w:r>
        <w:rPr>
          <w:rFonts w:hint="default" w:ascii="Times New Roman" w:hAnsi="Times New Roman" w:eastAsia="宋体" w:cs="Times New Roman"/>
          <w:color w:val="auto"/>
          <w:lang w:eastAsia="zh-CN"/>
        </w:rPr>
        <w:drawing>
          <wp:inline distT="0" distB="0" distL="114300" distR="114300">
            <wp:extent cx="5549900" cy="1872615"/>
            <wp:effectExtent l="0" t="0" r="12700" b="13335"/>
            <wp:docPr id="1" name="图片 1" descr="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5"/>
                    <pic:cNvPicPr>
                      <a:picLocks noChangeAspect="1"/>
                    </pic:cNvPicPr>
                  </pic:nvPicPr>
                  <pic:blipFill>
                    <a:blip r:embed="rId4"/>
                    <a:stretch>
                      <a:fillRect/>
                    </a:stretch>
                  </pic:blipFill>
                  <pic:spPr>
                    <a:xfrm>
                      <a:off x="0" y="0"/>
                      <a:ext cx="5549900" cy="18726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right="-512" w:rightChars="-244" w:firstLine="160" w:firstLineChars="50"/>
        <w:jc w:val="left"/>
        <w:textAlignment w:val="auto"/>
        <w:rPr>
          <w:rFonts w:hint="default" w:ascii="Times New Roman" w:hAnsi="Times New Roman" w:eastAsia="方正小标宋_GBK" w:cs="Times New Roman"/>
          <w:color w:val="auto"/>
          <w:sz w:val="32"/>
          <w:szCs w:val="32"/>
          <w:lang w:val="en-US" w:eastAsia="zh-CN" w:bidi="ar-SA"/>
        </w:rPr>
      </w:pPr>
      <w:r>
        <w:rPr>
          <w:rFonts w:hint="default" w:ascii="Times New Roman" w:hAnsi="Times New Roman" w:eastAsia="仿宋_GB2312" w:cs="Times New Roman"/>
          <w:bCs/>
          <w:color w:val="auto"/>
          <w:sz w:val="32"/>
          <w:szCs w:val="32"/>
          <w:lang w:val="en-US" w:eastAsia="zh-CN" w:bidi="ar-SA"/>
        </w:rPr>
        <w:t>黑木府〔2024〕</w:t>
      </w:r>
      <w:r>
        <w:rPr>
          <w:rFonts w:hint="eastAsia" w:ascii="Times New Roman" w:hAnsi="Times New Roman" w:eastAsia="仿宋_GB2312" w:cs="Times New Roman"/>
          <w:bCs/>
          <w:color w:val="auto"/>
          <w:sz w:val="32"/>
          <w:szCs w:val="32"/>
          <w:lang w:val="en-US" w:eastAsia="zh-CN" w:bidi="ar-SA"/>
        </w:rPr>
        <w:t>36</w:t>
      </w:r>
      <w:r>
        <w:rPr>
          <w:rFonts w:hint="default" w:ascii="Times New Roman" w:hAnsi="Times New Roman" w:eastAsia="仿宋_GB2312" w:cs="Times New Roman"/>
          <w:bCs/>
          <w:color w:val="auto"/>
          <w:sz w:val="32"/>
          <w:szCs w:val="32"/>
          <w:lang w:val="en-US" w:eastAsia="zh-CN" w:bidi="ar-SA"/>
        </w:rPr>
        <w:t xml:space="preserve">号 </w:t>
      </w:r>
      <w:r>
        <w:rPr>
          <w:rFonts w:hint="default" w:ascii="Times New Roman" w:hAnsi="Times New Roman" w:eastAsia="宋体" w:cs="Times New Roman"/>
          <w:bCs/>
          <w:color w:val="auto"/>
          <w:sz w:val="32"/>
          <w:szCs w:val="32"/>
          <w:lang w:bidi="ar-SA"/>
        </w:rPr>
        <w:t xml:space="preserve">                 </w:t>
      </w:r>
      <w:r>
        <w:rPr>
          <w:rFonts w:hint="default" w:ascii="Times New Roman" w:hAnsi="Times New Roman" w:eastAsia="宋体" w:cs="Times New Roman"/>
          <w:bCs/>
          <w:color w:val="auto"/>
          <w:sz w:val="32"/>
          <w:szCs w:val="32"/>
          <w:lang w:val="en-US" w:eastAsia="zh-CN" w:bidi="ar-SA"/>
        </w:rPr>
        <w:t xml:space="preserve"> </w:t>
      </w:r>
      <w:r>
        <w:rPr>
          <w:rFonts w:hint="default" w:ascii="Times New Roman" w:hAnsi="Times New Roman" w:eastAsia="宋体" w:cs="Times New Roman"/>
          <w:bCs/>
          <w:color w:val="auto"/>
          <w:sz w:val="32"/>
          <w:szCs w:val="32"/>
          <w:lang w:bidi="ar-SA"/>
        </w:rPr>
        <w:t xml:space="preserve"> </w:t>
      </w:r>
      <w:r>
        <w:rPr>
          <w:rFonts w:hint="default" w:ascii="Times New Roman" w:hAnsi="Times New Roman" w:eastAsia="宋体" w:cs="Times New Roman"/>
          <w:bCs/>
          <w:color w:val="auto"/>
          <w:sz w:val="32"/>
          <w:szCs w:val="32"/>
          <w:lang w:val="en-US" w:eastAsia="zh-CN" w:bidi="ar-SA"/>
        </w:rPr>
        <w:t xml:space="preserve"> </w:t>
      </w:r>
      <w:r>
        <w:rPr>
          <w:rFonts w:hint="default" w:ascii="Times New Roman" w:hAnsi="Times New Roman" w:eastAsia="仿宋_GB2312" w:cs="Times New Roman"/>
          <w:color w:val="auto"/>
          <w:sz w:val="32"/>
          <w:szCs w:val="32"/>
          <w:lang w:val="en-US" w:eastAsia="zh-CN" w:bidi="ar-SA"/>
        </w:rPr>
        <w:t xml:space="preserve"> </w:t>
      </w:r>
      <w:r>
        <w:rPr>
          <w:rFonts w:hint="default" w:ascii="Times New Roman" w:hAnsi="Times New Roman" w:eastAsia="仿宋_GB2312" w:cs="Times New Roman"/>
          <w:color w:val="auto"/>
          <w:sz w:val="32"/>
          <w:szCs w:val="32"/>
          <w:lang w:bidi="ar-SA"/>
        </w:rPr>
        <w:t>签发人：</w:t>
      </w:r>
      <w:r>
        <w:rPr>
          <w:rFonts w:hint="default" w:ascii="Times New Roman" w:hAnsi="Times New Roman" w:eastAsia="楷体_GB2312" w:cs="Times New Roman"/>
          <w:color w:val="auto"/>
          <w:sz w:val="32"/>
          <w:szCs w:val="32"/>
          <w:lang w:val="en-US" w:eastAsia="zh-CN" w:bidi="ar-SA"/>
        </w:rPr>
        <w:t>赵 军</w:t>
      </w:r>
    </w:p>
    <w:p>
      <w:pPr>
        <w:keepNext w:val="0"/>
        <w:keepLines w:val="0"/>
        <w:pageBreakBefore w:val="0"/>
        <w:widowControl w:val="0"/>
        <w:kinsoku/>
        <w:wordWrap/>
        <w:overflowPunct/>
        <w:topLinePunct w:val="0"/>
        <w:autoSpaceDE/>
        <w:autoSpaceDN/>
        <w:bidi w:val="0"/>
        <w:adjustRightInd/>
        <w:snapToGrid/>
        <w:spacing w:line="40" w:lineRule="exact"/>
        <w:jc w:val="left"/>
        <w:textAlignment w:val="auto"/>
        <w:rPr>
          <w:rFonts w:hint="default" w:ascii="Times New Roman" w:hAnsi="Times New Roman" w:eastAsia="方正小标宋_GBK" w:cs="Times New Roman"/>
          <w:color w:val="auto"/>
          <w:sz w:val="44"/>
          <w:szCs w:val="44"/>
          <w:lang w:eastAsia="zh-CN" w:bidi="ar-SA"/>
        </w:rPr>
      </w:pPr>
    </w:p>
    <w:p>
      <w:pPr>
        <w:keepNext w:val="0"/>
        <w:keepLines w:val="0"/>
        <w:pageBreakBefore w:val="0"/>
        <w:widowControl w:val="0"/>
        <w:kinsoku/>
        <w:wordWrap/>
        <w:overflowPunct/>
        <w:topLinePunct w:val="0"/>
        <w:autoSpaceDE/>
        <w:autoSpaceDN/>
        <w:bidi w:val="0"/>
        <w:adjustRightInd/>
        <w:snapToGrid/>
        <w:spacing w:line="40" w:lineRule="exact"/>
        <w:jc w:val="left"/>
        <w:textAlignment w:val="auto"/>
        <w:rPr>
          <w:rFonts w:hint="default" w:ascii="Times New Roman" w:hAnsi="Times New Roman" w:eastAsia="方正小标宋_GBK" w:cs="Times New Roman"/>
          <w:color w:val="auto"/>
          <w:sz w:val="44"/>
          <w:szCs w:val="44"/>
          <w:lang w:eastAsia="zh-CN" w:bidi="ar-SA"/>
        </w:rPr>
      </w:pPr>
    </w:p>
    <w:p>
      <w:pPr>
        <w:keepNext w:val="0"/>
        <w:keepLines w:val="0"/>
        <w:pageBreakBefore w:val="0"/>
        <w:widowControl w:val="0"/>
        <w:kinsoku/>
        <w:wordWrap/>
        <w:overflowPunct/>
        <w:topLinePunct w:val="0"/>
        <w:autoSpaceDE/>
        <w:autoSpaceDN/>
        <w:bidi w:val="0"/>
        <w:adjustRightInd/>
        <w:snapToGrid/>
        <w:spacing w:line="40" w:lineRule="exact"/>
        <w:jc w:val="left"/>
        <w:textAlignment w:val="auto"/>
        <w:rPr>
          <w:rFonts w:hint="default" w:ascii="Times New Roman" w:hAnsi="Times New Roman" w:eastAsia="仿宋_GB2312" w:cs="Times New Roman"/>
          <w:color w:val="auto"/>
          <w:sz w:val="44"/>
          <w:szCs w:val="44"/>
          <w:lang w:bidi="ar-SA"/>
        </w:rPr>
      </w:pPr>
      <w:r>
        <w:rPr>
          <w:rFonts w:hint="default" w:ascii="Times New Roman" w:hAnsi="Times New Roman" w:eastAsia="仿宋_GB2312" w:cs="Times New Roman"/>
          <w:color w:val="auto"/>
          <w:sz w:val="44"/>
          <w:szCs w:val="44"/>
          <w:lang w:bidi="ar-SA"/>
        </w:rPr>
        <mc:AlternateContent>
          <mc:Choice Requires="wps">
            <w:drawing>
              <wp:anchor distT="0" distB="0" distL="114300" distR="114300" simplePos="0" relativeHeight="251659264" behindDoc="0" locked="0" layoutInCell="1" allowOverlap="1">
                <wp:simplePos x="0" y="0"/>
                <wp:positionH relativeFrom="column">
                  <wp:posOffset>-74930</wp:posOffset>
                </wp:positionH>
                <wp:positionV relativeFrom="paragraph">
                  <wp:posOffset>6985</wp:posOffset>
                </wp:positionV>
                <wp:extent cx="5594350" cy="19050"/>
                <wp:effectExtent l="0" t="15875" r="6350" b="22225"/>
                <wp:wrapNone/>
                <wp:docPr id="2" name="直接箭头连接符 2"/>
                <wp:cNvGraphicFramePr/>
                <a:graphic xmlns:a="http://schemas.openxmlformats.org/drawingml/2006/main">
                  <a:graphicData uri="http://schemas.microsoft.com/office/word/2010/wordprocessingShape">
                    <wps:wsp>
                      <wps:cNvCnPr/>
                      <wps:spPr>
                        <a:xfrm>
                          <a:off x="0" y="0"/>
                          <a:ext cx="5594350" cy="19050"/>
                        </a:xfrm>
                        <a:prstGeom prst="straightConnector1">
                          <a:avLst/>
                        </a:prstGeom>
                        <a:ln w="3175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5.9pt;margin-top:0.55pt;height:1.5pt;width:440.5pt;z-index:251659264;mso-width-relative:page;mso-height-relative:page;" filled="f" stroked="t" coordsize="21600,21600" o:gfxdata="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O+j3q3UAAAABwEAAA8AAAAA&#10;AAAAAQAgAAAAOAAAAGRycy9kb3ducmV2LnhtbFBLAQIUABQAAAAIAIdO4kBRqAu3AgIAAPEDAAAO&#10;AAAAAAAAAAEAIAAAADkBAABkcnMvZTJvRG9jLnhtbFBLBQYAAAAABgAGAFkBAACtBQAAAAA=&#10;">
                <v:fill on="f" focussize="0,0"/>
                <v:stroke weight="2.5pt" color="#FF0000" joinstyle="round"/>
                <v:imagedata o:title=""/>
                <o:lock v:ext="edit" aspectratio="f"/>
              </v:shape>
            </w:pict>
          </mc:Fallback>
        </mc:AlternateContent>
      </w:r>
    </w:p>
    <w:p>
      <w:pPr>
        <w:keepNext w:val="0"/>
        <w:keepLines w:val="0"/>
        <w:pageBreakBefore w:val="0"/>
        <w:widowControl w:val="0"/>
        <w:kinsoku/>
        <w:wordWrap/>
        <w:overflowPunct/>
        <w:topLinePunct w:val="0"/>
        <w:autoSpaceDE/>
        <w:autoSpaceDN/>
        <w:bidi w:val="0"/>
        <w:adjustRightInd/>
        <w:snapToGrid/>
        <w:spacing w:line="40" w:lineRule="exact"/>
        <w:jc w:val="left"/>
        <w:textAlignment w:val="auto"/>
        <w:rPr>
          <w:rFonts w:hint="default" w:ascii="Times New Roman" w:hAnsi="Times New Roman" w:eastAsia="仿宋_GB2312" w:cs="Times New Roman"/>
          <w:color w:val="auto"/>
          <w:sz w:val="44"/>
          <w:szCs w:val="44"/>
          <w:lang w:bidi="ar-SA"/>
        </w:rPr>
      </w:pPr>
    </w:p>
    <w:p>
      <w:pPr>
        <w:keepNext w:val="0"/>
        <w:keepLines w:val="0"/>
        <w:pageBreakBefore w:val="0"/>
        <w:widowControl w:val="0"/>
        <w:kinsoku/>
        <w:wordWrap/>
        <w:overflowPunct/>
        <w:topLinePunct w:val="0"/>
        <w:autoSpaceDE/>
        <w:autoSpaceDN/>
        <w:bidi w:val="0"/>
        <w:adjustRightInd/>
        <w:snapToGrid/>
        <w:spacing w:line="40" w:lineRule="exact"/>
        <w:jc w:val="left"/>
        <w:textAlignment w:val="auto"/>
        <w:rPr>
          <w:rFonts w:hint="default" w:ascii="Times New Roman" w:hAnsi="Times New Roman" w:eastAsia="仿宋_GB2312" w:cs="Times New Roman"/>
          <w:color w:val="auto"/>
          <w:sz w:val="44"/>
          <w:szCs w:val="44"/>
          <w:lang w:bidi="ar-SA"/>
        </w:rPr>
      </w:pPr>
    </w:p>
    <w:p>
      <w:pPr>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黑水县木苏镇人民政府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部门预算绩效报告</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仿宋" w:hAnsi="仿宋" w:eastAsia="仿宋" w:cs="仿宋"/>
          <w:sz w:val="32"/>
          <w:szCs w:val="32"/>
          <w:highlight w:val="none"/>
          <w:shd w:val="clear" w:color="auto" w:fill="FFFFFF"/>
        </w:rPr>
      </w:pPr>
      <w:r>
        <w:rPr>
          <w:rFonts w:hint="eastAsia" w:ascii="仿宋" w:hAnsi="仿宋" w:eastAsia="仿宋" w:cs="仿宋"/>
          <w:sz w:val="32"/>
          <w:szCs w:val="32"/>
          <w:highlight w:val="none"/>
          <w:shd w:val="clear" w:color="auto" w:fill="FFFFFF"/>
        </w:rPr>
        <w:t>（报告范围包括机关和下属单位）</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县财政局：</w:t>
      </w:r>
    </w:p>
    <w:p>
      <w:pPr>
        <w:keepNext w:val="0"/>
        <w:keepLines w:val="0"/>
        <w:pageBreakBefore w:val="0"/>
        <w:widowControl w:val="0"/>
        <w:kinsoku/>
        <w:wordWrap/>
        <w:overflowPunct/>
        <w:topLinePunct w:val="0"/>
        <w:autoSpaceDE/>
        <w:autoSpaceDN/>
        <w:bidi w:val="0"/>
        <w:adjustRightInd/>
        <w:snapToGrid/>
        <w:spacing w:line="560" w:lineRule="exact"/>
        <w:ind w:firstLine="963" w:firstLineChars="3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一、部门（单位）基本情况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机构组成。木苏镇属于镇财县管的镇镇，设有独立的财政所，本单位无下属二级预算单位。全镇共辖11个行政村。木苏镇下设股级行政机构5个（4办1所）：党政综合办、基层组织建设办、综治维稳办、城镇办、财政所。下设事业机构4个：经济发展服务中心、社会事业服务中心、就业和社会保障服务中心、综合文化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（二）机构职能。黑水县木苏镇人民政府是基层国家行政机关，行使本行政区域的政府行政职能部门。根据县委、县政府关于2022年全县工作的总体部署，2022年木苏镇主要工作是: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（1）继续全力推进脱贫攻坚与镇村振兴有效衔接任务，扎实推进重点村的整体建设，在大力发展中药材种植规模和水平的同时，发展特色水果种植、蜜蜂、牦牛养殖。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（2）继续抓好维稳工作，深入细致地了解、掌握各村动态，排查矛盾、纠纷，做好思想工作，化解纠纷，防止恶性群体事件，为群众创造一个和谐稳定的社会环境。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（3）积极探索致富路线，加大产业结构调整力度，进一步推进高半山中药材种植，促进农民增收。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（4）巩固木苏镇别窝村传统村落成果。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（5）抓好安全生产、护林防火工作与汛期地质灾害防治，完善应急预案，落实防治责任，加大防灾和安全知识的宣传力度，坚决杜绝安全生产事故的发生。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（6）继续做好各项目建设协调工作，做好群众思想工作，有计划、有质量地保证各项目按时完成。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（7）继续抓好计生、民政、教育、卫生等工作，确保我镇的社会各项事业有序开展。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（8）认真完成上级交办的各项工作任务。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（三）人员概况。截至2023年末，木苏镇总编制50名，其中：行政编制34名，事业编制16名，工勤2名。2023年12月在册人数：在职44名，其中：行政人员26名，事业人员17名，行政工勤1名。</w:t>
      </w:r>
    </w:p>
    <w:p>
      <w:pPr>
        <w:keepNext w:val="0"/>
        <w:keepLines w:val="0"/>
        <w:pageBreakBefore w:val="0"/>
        <w:widowControl w:val="0"/>
        <w:kinsoku/>
        <w:wordWrap/>
        <w:overflowPunct/>
        <w:topLinePunct w:val="0"/>
        <w:autoSpaceDE/>
        <w:autoSpaceDN/>
        <w:bidi w:val="0"/>
        <w:adjustRightInd/>
        <w:snapToGrid/>
        <w:spacing w:line="560" w:lineRule="exact"/>
        <w:ind w:firstLine="963" w:firstLineChars="3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二、部门资金收支情况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（一）收入情况。我镇2023年收入预算1714.21万元，其中一般公共预算拨款收1714.21万元，占100%；政府性基金拨款收入0万元，占0%。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（二）支出情况。我镇2023年支出预算1714.21万元，其中：基本支出1036.21万元，占60.45%，项目支出678.01万元,占39.55%。</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一般公共服务支出520.17万元，占30.34%；社会保障和就业支出119.79万元，占6.99%、住房保障支出69.93万元，占4.08%、农林水支出950.89万元，占54.83%、医疗卫生与计划生育支出53.42万元，占比3.12%。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结余分配和结转结余情况。截止2023年底，木苏镇无结转结余。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3" w:firstLineChars="3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三、部门预算绩效分析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（一）部门预算总体绩效分析。指标分值65分（不适用4分），自评得分51分。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1.履职效能。指标分值15分，自评得分15分。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核心职能目标一：基本支出，在职人员工资保险。目标完成情况，截止2023年底我单位如期完成预算44人全年工资保险发放。该资金开支范围、标准及支付进度，支付依据合规合法，资金支付与绩效目标相符。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核心职能目标二：项目支出，基础组织运行及公共运行维护费。目标完成情况，截止2023年底我单位如期完成11个村日常办公费22万元，维修维护费55万元支付。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核心职能目标三：项目支出，村干部工资保险。目标完成情况，截止2023年底我单位如期完成11个村99名村干部全年工资绩效发放。该资金开支范围、标准及支付进度，支付依据合规合法，资金支付与预算相符。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2.预算管理。指标分值25分（不适用4分），自评得分17分。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编制质量：本单位本年度收入调整预算数为1714.21万元，收入决算数为1714.21万元，预算完成度为100.00%。本年度支出调整预算数为1714.21万元，支出决算数为1714.21万元，预算支出完成度为100.00%。截止2023年度我单位资金无结转结余。指标分值8分，自评得分7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单位收入统筹：我单位不涉及该项指标。指标分值4分，不适用该项4分。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支出执行进度：2023年1-6月支付情况：预算数据1782.94万元，支付数据692.34万元，支付率38.83%。1-12月预算数据1767.94万元，支付数据1767.94万元，支付率100%。指标分值6分，自评得分5分。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预算年终结余:2023年无结转结余。指标分值2分，自评得分2分。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严控一般性支出：我单位严控“三公”经费、会议、培训、差旅、办节办展、办公设备购置、信息网络及软件购置更新、课题经费等8项一般性支出。指标分值5分，自评得分3分。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3.财务管理。指标分值10分，自评得分8分。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务管理制度：强化制度建设。不断强化财务管理制度建设，依据相关法律、法规及管理办法，制定符合我镇财务制度，着重从预算绩效管理主要内容和环节，规范操作程序和质量控制要求，构建起工作有指导、实施有方案、内部有规程等相互支撑制度体系。指标分值4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财务岗位设置：我镇按照财务制度规定,设立会计、出纳岗位，相互监督。指标分值2分，自评得分2分。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资金使用规范：本年度收到预算资金1714.21万元，实际使用1714.21万元。资金使用过程中严格按照单位财务管理制度要求执行，提高资金使用的合规性。指标分值4分，自评得分4分。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4.资产管理。指标分值9分，自评得分6分。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人均资产变化率。(期末人均资产-期初人均资产)/期初人均资产*100%。基本符合相关规定，低于规定值。指标分值3分，自评得分2分。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固定资产在用率。截止2023年12月31日，固定资产总计579.41万元，在用的固定资产总额579.41万元，固定资产在用率达100%。基本符合规定，指标分值3分，自评得分2分。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资产盘活率。资产闲置0万元，资产盘活率基本达100%。指标分值3分，自评得分2分。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5.采购管理。指标分值6分，自评得分5分。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采购执行率：采购执行规范性，2023年年度政府采购货物计划18.4万元，支出0万元，政府采购服务支出381.33万元。指标分值3分，自评得分2分。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支持中小企业发展：政府采购授予中小企业合同金额381.33万元，其中：授予小微企业合同金额0万元。指标分值3分，自评得分3分。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（二）部门预算项目绩效分析。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常年项目绩效分析。该类项目总数6个，涉及预算总金额156.93万元，1—12月预算执行总体进度为156.93 %，其中：预算结余率大于10%的项目共计0个。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阶段（一次性）项目绩效分析。该类项目总数4个，涉及预算总金额647.9万元，1—12月预算执行总体进度为170.96 %，其中：预算结余率大于10%的项目共计0个。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1.项目决策。指标分值12分，自评得分9分。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决策程序;我镇从项目立项必要性、投入经济性、目标合理性、实施可行性、筹资合规性。按照厉行节约的要求，结合项目开支情况结合实际需求、相关费用标准及市场价格水平，重点对目标数量是否合理、投入是否经济、预算测算是否准确、测算过程是否详细、测算依据是否充分等方面进行了分析。确定项目实施。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项目入库；我镇按照项目建设要求在规定时间基本完成项目入库。指标分值4分，自评得分3分。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目标设置:我镇申报的资金项目内容与具体实施内容基本相符、申报目标基本合理可行。指标分值4分，自评得分3分。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2.项目执行。指标分值12分，自评得分9分。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执行</w:t>
      </w:r>
      <w:r>
        <w:rPr>
          <w:rFonts w:hint="default" w:ascii="仿宋_GB2312" w:hAnsi="仿宋_GB2312" w:eastAsia="仿宋_GB2312" w:cs="仿宋_GB2312"/>
          <w:sz w:val="32"/>
          <w:szCs w:val="32"/>
          <w:lang w:eastAsia="zh-CN"/>
        </w:rPr>
        <w:t>方</w:t>
      </w:r>
      <w:r>
        <w:rPr>
          <w:rFonts w:hint="eastAsia" w:ascii="仿宋_GB2312" w:hAnsi="仿宋_GB2312" w:eastAsia="仿宋_GB2312" w:cs="仿宋_GB2312"/>
          <w:sz w:val="32"/>
          <w:szCs w:val="32"/>
          <w:lang w:val="en-US" w:eastAsia="zh-CN"/>
        </w:rPr>
        <w:t>向：各项目实际列支内容是否与绩效目标设置方向相符。项目组织管理架构及具体实施流程，包括机构设置、监管措施、执行相关管理制度等基本符合相关规定。指标分值4分，自评得分3分。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项目调整：按照县委资金分配，设立项目，经过细微调整。指标分值4分，自评得分3分。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执行结果：资金开支范围、标准及支付进度，支付依据合规合法，资金支付与预算基本相符。指标分值4分，自评得分3分。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3.目标实现。指标分值11分，自评得分8分。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目标完成：截止2023年年底，我镇项目基本按照目标任务完成数量、质量、时效、成本等计划完成目标。指标分值4分，自评得分3分。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目标偏离：预算项目绩效目标数量指标实现程度与预期目标的无偏离情况。各项目实际工作中达到预期的目标或标准存在一定差异。指标分值4分，自评得分3分。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实现效果：我镇加快构建全方位、全过程、全覆盖预算绩效管理体系，财政资源配置效率和资金使用效益实现“双提升”。指标分值3分，自评得分2分。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预算绩效存在问题：我镇2023年，预算目标绩效设置有一定的合理之处，经自评，扣1分。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我单位不涉及2023年度国有资本经营预算、社会保险基金预算。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（三）重点领域绩效分析。我单位不涉及2023年度若涉国有资本经营预算、社会保险基金预算。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截止2023年12月31日，固定资产总计579.41万元，在用的固定资产总计579.41万元，固定资产在用率达100%。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2023年年度政府采购货物支出0万元，政府采购工程支出0万元，政府采购服务支出381.33万元。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政府采购授予中小企业合同金额381.33万元，其中：授予小微企业合同金额0万元。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绩效结果应用情况。我单位于2023年3月15日在黑水县人民政府信息公开网站上公开了《木苏镇人民政府2023年预算编制说明》。2024年3月20日在黑水县人民政府信息公开网站上公开了《木苏镇人民政府2024年预算编制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2023年8月30日在黑水县人民政府信息公开网站上公开了《2021年度木苏镇人民政府部门决算编制说明》。由于2024年尚未进行决算批复，无法决算公开。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绩效信息公开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于2023年8月30日在黑水县政府信息公开网站上公开了《2022年度木苏镇人民政府部门决算编制说明》，说明中公开了预算绩效管理工作开展情况，并公开了2022年整体支出绩效报告。由于2024年尚未进行决算批复，无法进行公开。</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评价结论。2023年，在县委、县政府的坚强领导，我镇工作继续完善、提升、发展，总体呈现出稳中有升、高位求进的良好发展态势，圆满完成了州县下达的各项目标任务，为全县经济社会发展创造良好的社会环境做出了突出贡献。我镇2023年部门整体预算绩效自评得分为76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（二）存在问题。 1、基础设施运行经费管理还有待加强。村民大局观念不强，过分强调自身利益，对所在村民小组的实施项目没有强烈的兴趣，对村上的公共服务建设项目无心过问。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2、农村基层民主制度建设的核心——财务公开与监督建设有待进一步提高。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（三）改进建议。 1、加强资金的管理，在公共运行维护资金的使用范围上严格把关，按照规定进行公示。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2、及时总结我镇在公共运行维护项目在实施过程中存在的问题及好的经验，进一步加大宣传力度，完善运行维护费工作机制。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3、加强宣传基础设施维修维护费的用途，督促村干部在项目完工后及时报账。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后，我镇将认真总结经验，完善不足，吃透上级政策精神，强化村干部法律意识，加强资金的管理，并结合我镇的实际情况，创新工作思路，加大工作力度，切实把村级运行维护资金这项惠民工作做好、做实，让农民真正得到实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附表：部门整体支出绩效目标完成情况自评表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黑水县</w:t>
      </w:r>
      <w:r>
        <w:rPr>
          <w:rFonts w:hint="eastAsia" w:ascii="仿宋_GB2312" w:hAnsi="仿宋_GB2312" w:eastAsia="仿宋_GB2312" w:cs="仿宋_GB2312"/>
          <w:sz w:val="32"/>
          <w:szCs w:val="32"/>
          <w:lang w:eastAsia="zh-CN"/>
        </w:rPr>
        <w:t>木苏镇人民政府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2024年8月21日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cs="仿宋_GB2312"/>
          <w:sz w:val="32"/>
          <w:szCs w:val="32"/>
          <w:vertAlign w:val="baseli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cs="仿宋_GB2312"/>
          <w:sz w:val="32"/>
          <w:szCs w:val="32"/>
          <w:vertAlign w:val="baseli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p>
    <w:p>
      <w:pPr>
        <w:ind w:firstLine="640" w:firstLineChars="200"/>
        <w:jc w:val="left"/>
        <w:rPr>
          <w:rFonts w:hint="eastAsia" w:ascii="仿宋" w:eastAsia="仿宋" w:cs="仿宋"/>
          <w:sz w:val="32"/>
          <w:szCs w:val="36"/>
          <w:lang w:val="en-US" w:eastAsia="zh-CN"/>
        </w:rPr>
      </w:pPr>
    </w:p>
    <w:p>
      <w:pPr>
        <w:rPr>
          <w:rFonts w:hint="default" w:ascii="Times New Roman" w:hAnsi="Times New Roman" w:cs="Times New Roma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2"/>
          <w:szCs w:val="32"/>
          <w:lang w:val="en-US" w:eastAsia="zh-CN"/>
        </w:rPr>
      </w:pPr>
    </w:p>
    <w:p/>
    <w:p/>
    <w:p/>
    <w:p/>
    <w:p/>
    <w:p/>
    <w:p/>
    <w:p/>
    <w:p/>
    <w:p/>
    <w:tbl>
      <w:tblPr>
        <w:tblStyle w:val="5"/>
        <w:tblpPr w:leftFromText="180" w:rightFromText="180" w:vertAnchor="text" w:horzAnchor="page" w:tblpX="1584" w:tblpY="1358"/>
        <w:tblOverlap w:val="never"/>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053"/>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c>
          <w:tcPr>
            <w:tcW w:w="9053" w:type="dxa"/>
            <w:tcBorders>
              <w:top w:val="single" w:color="auto" w:sz="4" w:space="0"/>
              <w:left w:val="nil"/>
              <w:bottom w:val="single" w:color="auto" w:sz="4" w:space="0"/>
              <w:right w:val="nil"/>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28"/>
                <w:szCs w:val="28"/>
                <w:lang w:val="en-US" w:eastAsia="zh-CN"/>
              </w:rPr>
            </w:pPr>
            <w:r>
              <w:rPr>
                <w:rFonts w:hint="eastAsia" w:ascii="仿宋_GB2312" w:hAnsi="仿宋_GB2312" w:eastAsia="仿宋_GB2312" w:cs="仿宋_GB2312"/>
                <w:sz w:val="28"/>
                <w:szCs w:val="28"/>
                <w:lang w:val="en-US" w:eastAsia="zh-CN"/>
              </w:rPr>
              <w:t>黑水县木苏镇党政办公室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val="en" w:eastAsia="zh-CN"/>
              </w:rPr>
              <w:t xml:space="preserve">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val="en-US" w:eastAsia="zh-CN"/>
              </w:rPr>
              <w:t xml:space="preserve"> 2024年</w:t>
            </w:r>
            <w:r>
              <w:rPr>
                <w:rFonts w:hint="eastAsia"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lang w:val="en-US" w:eastAsia="zh-CN"/>
              </w:rPr>
              <w:t>月</w:t>
            </w:r>
            <w:r>
              <w:rPr>
                <w:rFonts w:hint="eastAsia" w:ascii="Times New Roman" w:hAnsi="Times New Roman" w:eastAsia="仿宋_GB2312" w:cs="Times New Roman"/>
                <w:sz w:val="28"/>
                <w:szCs w:val="28"/>
                <w:lang w:val="en-US" w:eastAsia="zh-CN"/>
              </w:rPr>
              <w:t>21</w:t>
            </w:r>
            <w:r>
              <w:rPr>
                <w:rFonts w:hint="default" w:ascii="Times New Roman" w:hAnsi="Times New Roman" w:eastAsia="仿宋_GB2312" w:cs="Times New Roman"/>
                <w:sz w:val="28"/>
                <w:szCs w:val="28"/>
                <w:lang w:val="en-US" w:eastAsia="zh-CN"/>
              </w:rPr>
              <w:t>日印</w:t>
            </w:r>
          </w:p>
        </w:tc>
      </w:tr>
    </w:tbl>
    <w:p/>
    <w:p>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w:t>
      </w:r>
    </w:p>
    <w:tbl>
      <w:tblPr>
        <w:tblStyle w:val="5"/>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黑水县木苏镇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1178.78</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1178.78</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ascii="宋体" w:hAnsi="宋体" w:eastAsia="宋体" w:cs="宋体"/>
                <w:sz w:val="24"/>
                <w:szCs w:val="24"/>
              </w:rPr>
              <w:t>根据县委、县政府关于2023年全县工作的总体部署，紧扣“一地三县六区”战略总体目标，以“四业同优、四向发力、六片共兴、六区共建”发展思路为依托，结合我镇实际，全力开启创业创新发展，巩固脱贫攻坚成果与</w:t>
            </w:r>
            <w:r>
              <w:rPr>
                <w:rFonts w:hint="eastAsia" w:ascii="宋体" w:hAnsi="宋体" w:eastAsia="宋体" w:cs="宋体"/>
                <w:sz w:val="24"/>
                <w:szCs w:val="24"/>
                <w:lang w:eastAsia="zh-CN"/>
              </w:rPr>
              <w:t>镇</w:t>
            </w:r>
            <w:r>
              <w:rPr>
                <w:rFonts w:ascii="宋体" w:hAnsi="宋体" w:eastAsia="宋体" w:cs="宋体"/>
                <w:sz w:val="24"/>
                <w:szCs w:val="24"/>
              </w:rPr>
              <w:t>村振兴有效衔接。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保障我镇职工权利（人员保障）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2023年我镇共下达人员经费6940069.5元，其中人员工资4430401元（基本工资、津贴补贴、绩效工资等）；社会保险缴纳2509668.5元（养老、医疗、公务员补助、住房公积金等）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保障我镇日常公用运转（公用保障）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我镇下达公用经费1081000元，其中办公费202500元，用于日常办公用品采购；水电费83000元，用于办公楼用电；邮电费92000元，用于办公网费等相关开支；差旅费350000元，用于保障职工出差；会议费10000元，用于保障会议相关开支；培训费5000元，用于职工日常培训；公务接待费1000元，用于日常公务接待；劳务费66000元，用于镇机关伙食团临聘厨师工资；公务用车运行维护费95000元，用于镇公车燃油、修补、洗车等公务开支；其他交通费88000元，用于公务租车等相关开支；体检费83500元，用于保障职工身体健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保障村组干部社区报酬（专项保障）</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2023年我镇共有99名社区干部，合计11个行政村，下达基本报酬、绩效报酬共计2983536元，用于保障村组干部基本福利。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2023年木苏村干部预算数99人，确保村干部工资，保险缴纳按时有序缴纳，保障村干部基本生活保障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99</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12</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数量</w:t>
            </w: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2023年木苏镇共计11个村，主要用于村级基础设施日常建设维护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firstLine="480" w:firstLineChars="200"/>
              <w:jc w:val="left"/>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bidi="ar"/>
              </w:rPr>
              <w:t>数量</w:t>
            </w: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ab/>
            </w:r>
          </w:p>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2023年木苏镇西部志愿者1人</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2023年木苏镇在职干部职工预算42人，在编车辆2辆，严格控制三公经费支出</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42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人</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default" w:eastAsia="宋体" w:cs="Times New Roman"/>
                <w:i w:val="0"/>
                <w:color w:val="000000"/>
                <w:sz w:val="24"/>
                <w:szCs w:val="24"/>
                <w:u w:val="none"/>
                <w:lang w:val="en-US" w:eastAsia="zh-CN"/>
              </w:rPr>
            </w:pPr>
            <w:r>
              <w:rPr>
                <w:rFonts w:hint="default" w:eastAsia="宋体" w:cs="Times New Roman"/>
                <w:i w:val="0"/>
                <w:color w:val="000000"/>
                <w:sz w:val="24"/>
                <w:szCs w:val="24"/>
                <w:u w:val="none"/>
                <w:lang w:val="en-US" w:eastAsia="zh-CN"/>
              </w:rPr>
              <w:t>保障木苏镇在职职工按时发放工资和保险覆盖率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12</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保障村干部工资绩效支出，安排每年1次身体体检，有利于保障村干部身体身心健康，更好</w:t>
            </w:r>
            <w:r>
              <w:rPr>
                <w:rFonts w:hint="default" w:ascii="Times New Roman" w:hAnsi="Times New Roman" w:eastAsia="宋体" w:cs="Times New Roman"/>
                <w:i w:val="0"/>
                <w:color w:val="000000"/>
                <w:sz w:val="24"/>
                <w:szCs w:val="24"/>
                <w:u w:val="none"/>
              </w:rPr>
              <w:t>地</w:t>
            </w:r>
            <w:r>
              <w:rPr>
                <w:rFonts w:hint="default" w:ascii="Times New Roman" w:hAnsi="Times New Roman" w:eastAsia="宋体" w:cs="Times New Roman"/>
                <w:i w:val="0"/>
                <w:color w:val="000000"/>
                <w:sz w:val="24"/>
                <w:szCs w:val="24"/>
                <w:u w:val="none"/>
              </w:rPr>
              <w:t>投入基层工作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社会效益指标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保障村级公共运行维护费的支出，有效</w:t>
            </w:r>
            <w:r>
              <w:rPr>
                <w:rFonts w:hint="default" w:ascii="Times New Roman" w:hAnsi="Times New Roman" w:eastAsia="宋体" w:cs="Times New Roman"/>
                <w:i w:val="0"/>
                <w:color w:val="000000"/>
                <w:sz w:val="24"/>
                <w:szCs w:val="24"/>
                <w:u w:val="none"/>
              </w:rPr>
              <w:t>地</w:t>
            </w:r>
            <w:bookmarkStart w:id="0" w:name="_GoBack"/>
            <w:bookmarkEnd w:id="0"/>
            <w:r>
              <w:rPr>
                <w:rFonts w:hint="default" w:ascii="Times New Roman" w:hAnsi="Times New Roman" w:eastAsia="宋体" w:cs="Times New Roman"/>
                <w:i w:val="0"/>
                <w:color w:val="000000"/>
                <w:sz w:val="24"/>
                <w:szCs w:val="24"/>
                <w:u w:val="none"/>
              </w:rPr>
              <w:t>改善各村居住环境，优化基础设施建设，便于村民出行，产生良好的社会效益</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社会效益指标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ab/>
            </w:r>
          </w:p>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保障人员经费和公用经费基本支出，有利于提升职工工作环境，提高职工履职能力，保障职工工作积极性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社会效益指标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保障西部志愿者生活补助支出，有效提升志愿者对</w:t>
            </w:r>
            <w:r>
              <w:rPr>
                <w:rFonts w:hint="eastAsia" w:eastAsia="宋体" w:cs="Times New Roman"/>
                <w:i w:val="0"/>
                <w:color w:val="000000"/>
                <w:sz w:val="24"/>
                <w:szCs w:val="24"/>
                <w:u w:val="none"/>
                <w:lang w:eastAsia="zh-CN"/>
              </w:rPr>
              <w:t>镇</w:t>
            </w:r>
            <w:r>
              <w:rPr>
                <w:rFonts w:hint="default" w:ascii="Times New Roman" w:hAnsi="Times New Roman" w:eastAsia="宋体" w:cs="Times New Roman"/>
                <w:i w:val="0"/>
                <w:color w:val="000000"/>
                <w:sz w:val="24"/>
                <w:szCs w:val="24"/>
                <w:u w:val="none"/>
              </w:rPr>
              <w:t>镇各项事务发展建设的积极性，更好的参与各项事务中</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ab/>
            </w:r>
          </w:p>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提升村民对</w:t>
            </w:r>
            <w:r>
              <w:rPr>
                <w:rFonts w:hint="eastAsia" w:eastAsia="宋体" w:cs="Times New Roman"/>
                <w:i w:val="0"/>
                <w:color w:val="000000"/>
                <w:sz w:val="24"/>
                <w:szCs w:val="24"/>
                <w:u w:val="none"/>
                <w:lang w:eastAsia="zh-CN"/>
              </w:rPr>
              <w:t>镇</w:t>
            </w:r>
            <w:r>
              <w:rPr>
                <w:rFonts w:hint="default" w:ascii="Times New Roman" w:hAnsi="Times New Roman" w:eastAsia="宋体" w:cs="Times New Roman"/>
                <w:i w:val="0"/>
                <w:color w:val="000000"/>
                <w:sz w:val="24"/>
                <w:szCs w:val="24"/>
                <w:u w:val="none"/>
              </w:rPr>
              <w:t>镇工作的满意度，做好对职工的关心关爱工作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   100</w:t>
            </w:r>
          </w:p>
        </w:tc>
      </w:tr>
    </w:tbl>
    <w:p>
      <w:pPr>
        <w:pStyle w:val="2"/>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283C6"/>
    <w:multiLevelType w:val="singleLevel"/>
    <w:tmpl w:val="337283C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kNjNiYzdjZDE4ZjgwM2E5YmJlN2I2NmY2MjMxOWUifQ=="/>
  </w:docVars>
  <w:rsids>
    <w:rsidRoot w:val="7E8C25E7"/>
    <w:rsid w:val="3FF52D46"/>
    <w:rsid w:val="496D7B62"/>
    <w:rsid w:val="50A00F4B"/>
    <w:rsid w:val="5B0B52B7"/>
    <w:rsid w:val="5E6ECC40"/>
    <w:rsid w:val="5FDC0B57"/>
    <w:rsid w:val="6F26C991"/>
    <w:rsid w:val="77FB4AED"/>
    <w:rsid w:val="7ADD1B1F"/>
    <w:rsid w:val="7B7F7AAA"/>
    <w:rsid w:val="7BB31836"/>
    <w:rsid w:val="7E8C25E7"/>
    <w:rsid w:val="7FA7CDF1"/>
    <w:rsid w:val="BFDF63EC"/>
    <w:rsid w:val="E47AC94B"/>
    <w:rsid w:val="F2F62E49"/>
    <w:rsid w:val="F5BAB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Body Text"/>
    <w:basedOn w:val="1"/>
    <w:qFormat/>
    <w:uiPriority w:val="0"/>
    <w:pPr>
      <w:widowControl w:val="0"/>
      <w:spacing w:after="120"/>
      <w:jc w:val="both"/>
    </w:pPr>
    <w:rPr>
      <w:rFonts w:ascii="Calibri" w:hAnsi="Calibri" w:eastAsia="宋体" w:cs="Times New Roman"/>
      <w:kern w:val="2"/>
      <w:sz w:val="21"/>
      <w:szCs w:val="24"/>
      <w:lang w:val="en-US" w:eastAsia="zh-CN" w:bidi="ar-SA"/>
    </w:rPr>
  </w:style>
  <w:style w:type="paragraph" w:styleId="4">
    <w:name w:val="table of figures"/>
    <w:basedOn w:val="1"/>
    <w:next w:val="1"/>
    <w:qFormat/>
    <w:uiPriority w:val="0"/>
    <w:pPr>
      <w:widowControl w:val="0"/>
      <w:ind w:left="400" w:leftChars="200" w:hanging="200" w:hangingChars="20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2024-03-25T19:56:00Z</dcterms:created>
  <dc:creator>マ梦魇</dc:creator>
  <cp:lastModifiedBy>user</cp:lastModifiedBy>
  <dcterms:modified xsi:type="dcterms:W3CDTF">2025-01-07T11:35:27Z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3E68644D3F2D47E08BFE7E715A9257F7_11</vt:lpwstr>
  </property>
</Properties>
</file>