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维古乡人民政府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（一）机构组成。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维古</w:t>
      </w:r>
      <w:r>
        <w:rPr>
          <w:rFonts w:hint="eastAsia" w:ascii="仿宋_GB2312" w:hAnsi="仿宋" w:eastAsia="仿宋_GB2312" w:cs="仿宋_GB2312"/>
          <w:sz w:val="32"/>
          <w:szCs w:val="32"/>
        </w:rPr>
        <w:t>乡属于乡财县管的乡镇，设有独立的财政所，本单位无下属二级预算单位。全镇共辖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个行政村。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维古</w:t>
      </w:r>
      <w:r>
        <w:rPr>
          <w:rFonts w:hint="eastAsia" w:ascii="仿宋_GB2312" w:hAnsi="仿宋" w:eastAsia="仿宋_GB2312" w:cs="仿宋_GB2312"/>
          <w:sz w:val="32"/>
          <w:szCs w:val="32"/>
        </w:rPr>
        <w:t>乡下设股级行政机构4个（3办1所）：党政综合办、基层组织建设办、综治维稳办、财政所。下设事业机构4个：经济发展服务中心、社会事业服务中心、就业和社会保障服务中心、综合文化中心。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（二）机构职能。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黑水县维古乡人民政府是基层国家行政机关，行使本行政区域的政府行政职能部门。根据县委、县政府关于20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年全县工作的总体部署，20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年维古乡主要工作是: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贯彻执行党的路线、方针、政策和国家法律法规，贯彻执行本级人民代表大会的决议和上级行政机关的决定和命令，发布决定和命令；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讨论并解决本乡经济建设和社会发展的重大问题，编制和执行本乡经济建设和社会发展计划；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加强乡党委自身建设和以党支部为单位的村级组织建设；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按照干部管理权限，负责对本乡干部的教育、培养、选拔、考核和监督工作；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管理本行政区域内的经济、教育、科学、文化、卫生、体育事业和财政、民政、公安、司法行政、计划生育等行政工作；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负责对接完成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攻坚、项目建设、发展改革、环境保护、应急处理、综治维稳、信访、依法治理、退役军人管理、经商、统计、农技推广服务，农村集体经济组织建设、乡村振兴、住房建设、市场监管、文化旅游等各项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保护社会主义全民所有的财产和劳动群众集体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所有的财产，保护公民私人所有的合法财产，维护社会秩序，保障公民的人身权利、民主权利和其他权利，保护各种经济组织的合法权益；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国有资产管理、财政资金管理、财务核算和管理，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编制并执行财政预算，做好预算资金的管理和使用工作；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保障少数民族的权利和尊重少数民族的风俗习惯，完成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民族团结进步创建等工作；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办理县委、县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政府和上级行业部门交办的其他事项。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（三）人员概况。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维古</w:t>
      </w:r>
      <w:r>
        <w:rPr>
          <w:rFonts w:hint="eastAsia" w:ascii="仿宋_GB2312" w:hAnsi="仿宋" w:eastAsia="仿宋_GB2312" w:cs="仿宋_GB2312"/>
          <w:sz w:val="32"/>
          <w:szCs w:val="32"/>
        </w:rPr>
        <w:t>乡总编制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_GB2312"/>
          <w:sz w:val="32"/>
          <w:szCs w:val="32"/>
        </w:rPr>
        <w:t>名，其中：行政编制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</w:rPr>
        <w:t>名，工勤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人，事业编制7名。在职人员总数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人，其中：行政人员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人,工勤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人，事业单位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二、部门财政资金收支情况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（一）部门财政资金收入情况。</w:t>
      </w:r>
      <w:r>
        <w:rPr>
          <w:rFonts w:hint="eastAsia" w:ascii="仿宋_GB2312" w:hAnsi="仿宋" w:eastAsia="仿宋_GB2312" w:cs="仿宋"/>
          <w:sz w:val="32"/>
          <w:szCs w:val="32"/>
        </w:rPr>
        <w:t>本年预算收入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474.11万元</w:t>
      </w:r>
      <w:r>
        <w:rPr>
          <w:rFonts w:hint="eastAsia" w:ascii="仿宋_GB2312" w:hAnsi="仿宋" w:eastAsia="仿宋_GB2312" w:cs="仿宋"/>
          <w:sz w:val="32"/>
          <w:szCs w:val="32"/>
        </w:rPr>
        <w:t>，决算收入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608.2</w:t>
      </w:r>
      <w:r>
        <w:rPr>
          <w:rFonts w:hint="eastAsia" w:ascii="仿宋_GB2312" w:hAnsi="仿宋" w:eastAsia="仿宋_GB2312" w:cs="仿宋"/>
          <w:sz w:val="32"/>
          <w:szCs w:val="32"/>
        </w:rPr>
        <w:t>万元，实际收入比预算收入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增加134.09</w:t>
      </w:r>
      <w:r>
        <w:rPr>
          <w:rFonts w:hint="eastAsia" w:ascii="仿宋_GB2312" w:hAnsi="仿宋" w:eastAsia="仿宋_GB2312" w:cs="仿宋"/>
          <w:sz w:val="32"/>
          <w:szCs w:val="32"/>
        </w:rPr>
        <w:t>万元，差异率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28.28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差异主要原因是本年工资、社保金、目标奖等人员经费，项目资金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（二）部门财政资金支出情况。</w:t>
      </w:r>
      <w:r>
        <w:rPr>
          <w:rFonts w:hint="eastAsia" w:ascii="仿宋_GB2312" w:hAnsi="仿宋" w:eastAsia="仿宋_GB2312" w:cs="仿宋"/>
          <w:sz w:val="32"/>
          <w:szCs w:val="32"/>
        </w:rPr>
        <w:t>本年预算支出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474.11</w:t>
      </w:r>
      <w:r>
        <w:rPr>
          <w:rFonts w:hint="eastAsia" w:ascii="仿宋_GB2312" w:hAnsi="仿宋" w:eastAsia="仿宋_GB2312" w:cs="仿宋"/>
          <w:sz w:val="32"/>
          <w:szCs w:val="32"/>
        </w:rPr>
        <w:t>万元，决算支出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691.71</w:t>
      </w:r>
      <w:r>
        <w:rPr>
          <w:rFonts w:hint="eastAsia" w:ascii="仿宋_GB2312" w:hAnsi="仿宋" w:eastAsia="仿宋_GB2312" w:cs="仿宋"/>
          <w:sz w:val="32"/>
          <w:szCs w:val="32"/>
        </w:rPr>
        <w:t>万元，实际支出比预算支出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增加217.6</w:t>
      </w:r>
      <w:r>
        <w:rPr>
          <w:rFonts w:hint="eastAsia" w:ascii="仿宋_GB2312" w:hAnsi="仿宋" w:eastAsia="仿宋_GB2312" w:cs="仿宋"/>
          <w:sz w:val="32"/>
          <w:szCs w:val="32"/>
        </w:rPr>
        <w:t>万元，差异率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45.9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按资金来源分析：其中财政拨款支出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691.71</w:t>
      </w:r>
      <w:r>
        <w:rPr>
          <w:rFonts w:hint="eastAsia" w:ascii="仿宋_GB2312" w:hAnsi="仿宋" w:eastAsia="仿宋_GB2312"/>
          <w:sz w:val="32"/>
          <w:szCs w:val="32"/>
        </w:rPr>
        <w:t>万元，占本年总支出的100%，按支出性质分析：基本支出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418.6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60.52</w:t>
      </w:r>
      <w:r>
        <w:rPr>
          <w:rFonts w:hint="eastAsia" w:ascii="仿宋_GB2312" w:hAnsi="仿宋" w:eastAsia="仿宋_GB2312"/>
          <w:sz w:val="32"/>
          <w:szCs w:val="32"/>
        </w:rPr>
        <w:t>%，项目支出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273.11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39.48</w:t>
      </w:r>
      <w:r>
        <w:rPr>
          <w:rFonts w:hint="eastAsia" w:ascii="仿宋_GB2312" w:hAnsi="仿宋" w:eastAsia="仿宋_GB2312"/>
          <w:sz w:val="32"/>
          <w:szCs w:val="32"/>
        </w:rPr>
        <w:t>%；按支出经济分类：工资福利支出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358.6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51.85</w:t>
      </w:r>
      <w:r>
        <w:rPr>
          <w:rFonts w:hint="eastAsia" w:ascii="仿宋_GB2312" w:hAnsi="仿宋" w:eastAsia="仿宋_GB2312"/>
          <w:sz w:val="32"/>
          <w:szCs w:val="32"/>
        </w:rPr>
        <w:t>%；商品和服务支出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95.91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13.86</w:t>
      </w:r>
      <w:r>
        <w:rPr>
          <w:rFonts w:hint="eastAsia" w:ascii="仿宋_GB2312" w:hAnsi="仿宋" w:eastAsia="仿宋_GB2312"/>
          <w:sz w:val="32"/>
          <w:szCs w:val="32"/>
        </w:rPr>
        <w:t>%；对个人和家庭的补助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100.78</w:t>
      </w:r>
      <w:r>
        <w:rPr>
          <w:rFonts w:hint="eastAsia" w:ascii="仿宋_GB2312" w:hAnsi="仿宋" w:eastAsia="仿宋_GB2312"/>
          <w:sz w:val="32"/>
          <w:szCs w:val="32"/>
        </w:rPr>
        <w:t>万元，占本年支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14.57</w:t>
      </w:r>
      <w:r>
        <w:rPr>
          <w:rFonts w:hint="eastAsia" w:ascii="仿宋_GB2312" w:hAnsi="仿宋" w:eastAsia="仿宋_GB2312"/>
          <w:sz w:val="32"/>
          <w:szCs w:val="32"/>
        </w:rPr>
        <w:t>%；资本性支出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136.42</w:t>
      </w:r>
      <w:r>
        <w:rPr>
          <w:rFonts w:hint="eastAsia" w:ascii="仿宋_GB2312" w:hAnsi="仿宋" w:eastAsia="仿宋_GB2312"/>
          <w:sz w:val="32"/>
          <w:szCs w:val="32"/>
        </w:rPr>
        <w:t>万，占本年支出的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19.72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“三公”经费预算执行情况: 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年预算公务接待费0万元,公务用车运行维护费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万元,合计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年度决算公务接待费0万元,公务用车运行维护费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万元,合计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部门整体预算绩效管理情况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（一）部门预算管理。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474.11</w:t>
      </w:r>
      <w:r>
        <w:rPr>
          <w:rFonts w:hint="eastAsia" w:ascii="仿宋_GB2312" w:hAnsi="仿宋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881.49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减少407.38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减少原因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涉及项目支出减少</w:t>
      </w:r>
      <w:r>
        <w:rPr>
          <w:rFonts w:hint="eastAsia" w:ascii="仿宋_GB2312" w:hAnsi="仿宋" w:eastAsia="仿宋_GB2312" w:cs="仿宋_GB2312"/>
          <w:sz w:val="32"/>
          <w:szCs w:val="32"/>
        </w:rPr>
        <w:t>；201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部门支出预算总额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474.11</w:t>
      </w:r>
      <w:r>
        <w:rPr>
          <w:rFonts w:hint="eastAsia" w:ascii="仿宋_GB2312" w:hAnsi="仿宋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881.49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减少407.38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涉及项目支出减少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当年预算支出完成率＝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691.71</w:t>
      </w:r>
      <w:r>
        <w:rPr>
          <w:rFonts w:hint="eastAsia" w:ascii="仿宋_GB2312" w:hAnsi="仿宋" w:eastAsia="仿宋_GB2312" w:cs="仿宋_GB2312"/>
          <w:sz w:val="32"/>
          <w:szCs w:val="32"/>
        </w:rPr>
        <w:t>÷（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474.11</w:t>
      </w:r>
      <w:r>
        <w:rPr>
          <w:rFonts w:hint="eastAsia" w:ascii="仿宋_GB2312" w:hAnsi="仿宋" w:eastAsia="仿宋_GB2312" w:cs="仿宋_GB2312"/>
          <w:sz w:val="32"/>
          <w:szCs w:val="32"/>
        </w:rPr>
        <w:t>）×100%＝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145.9</w:t>
      </w:r>
      <w:r>
        <w:rPr>
          <w:rFonts w:hint="eastAsia" w:ascii="仿宋_GB2312" w:hAnsi="仿宋" w:eastAsia="仿宋_GB2312" w:cs="仿宋_GB2312"/>
          <w:sz w:val="32"/>
          <w:szCs w:val="32"/>
        </w:rPr>
        <w:t>%。201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691.71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基本支出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418.6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60.52</w:t>
      </w:r>
      <w:r>
        <w:rPr>
          <w:rFonts w:hint="eastAsia" w:ascii="仿宋_GB2312" w:hAnsi="仿宋" w:eastAsia="仿宋_GB2312"/>
          <w:sz w:val="32"/>
          <w:szCs w:val="32"/>
        </w:rPr>
        <w:t>%，项目支出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273.11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39.48</w:t>
      </w:r>
      <w:r>
        <w:rPr>
          <w:rFonts w:hint="eastAsia" w:ascii="仿宋_GB2312" w:hAnsi="仿宋" w:eastAsia="仿宋_GB2312"/>
          <w:sz w:val="32"/>
          <w:szCs w:val="32"/>
        </w:rPr>
        <w:t>%；按支出经济分类：工资福利支出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358.6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51.85</w:t>
      </w:r>
      <w:r>
        <w:rPr>
          <w:rFonts w:hint="eastAsia" w:ascii="仿宋_GB2312" w:hAnsi="仿宋" w:eastAsia="仿宋_GB2312"/>
          <w:sz w:val="32"/>
          <w:szCs w:val="32"/>
        </w:rPr>
        <w:t>%；商品和服务支出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95.91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13.86</w:t>
      </w:r>
      <w:r>
        <w:rPr>
          <w:rFonts w:hint="eastAsia" w:ascii="仿宋_GB2312" w:hAnsi="仿宋" w:eastAsia="仿宋_GB2312"/>
          <w:sz w:val="32"/>
          <w:szCs w:val="32"/>
        </w:rPr>
        <w:t>%；对个人和家庭的补助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100.78</w:t>
      </w:r>
      <w:r>
        <w:rPr>
          <w:rFonts w:hint="eastAsia" w:ascii="仿宋_GB2312" w:hAnsi="仿宋" w:eastAsia="仿宋_GB2312"/>
          <w:sz w:val="32"/>
          <w:szCs w:val="32"/>
        </w:rPr>
        <w:t>万元，占本年支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14.57</w:t>
      </w:r>
      <w:r>
        <w:rPr>
          <w:rFonts w:hint="eastAsia" w:ascii="仿宋_GB2312" w:hAnsi="仿宋" w:eastAsia="仿宋_GB2312"/>
          <w:sz w:val="32"/>
          <w:szCs w:val="32"/>
        </w:rPr>
        <w:t>%；资本性支出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136.42</w:t>
      </w:r>
      <w:r>
        <w:rPr>
          <w:rFonts w:hint="eastAsia" w:ascii="仿宋_GB2312" w:hAnsi="仿宋" w:eastAsia="仿宋_GB2312"/>
          <w:sz w:val="32"/>
          <w:szCs w:val="32"/>
        </w:rPr>
        <w:t>万，占本年支出的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19.72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四、评价结论及建议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（一）评价结论。</w:t>
      </w: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474.11</w:t>
      </w:r>
      <w:r>
        <w:rPr>
          <w:rFonts w:hint="eastAsia" w:ascii="仿宋_GB2312" w:hAnsi="仿宋" w:eastAsia="仿宋_GB2312" w:cs="仿宋_GB2312"/>
          <w:sz w:val="32"/>
          <w:szCs w:val="32"/>
        </w:rPr>
        <w:t>万元，决算财政拨款总收入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608.2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增加134.09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万元，主要为乡财政统筹返还资金调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" w:eastAsia="仿宋_GB2312" w:cs="仿宋_GB2312"/>
          <w:sz w:val="32"/>
          <w:szCs w:val="32"/>
        </w:rPr>
        <w:t>收入等；201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691.71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基本支出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418.6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60.52</w:t>
      </w:r>
      <w:r>
        <w:rPr>
          <w:rFonts w:hint="eastAsia" w:ascii="仿宋_GB2312" w:hAnsi="仿宋" w:eastAsia="仿宋_GB2312"/>
          <w:sz w:val="32"/>
          <w:szCs w:val="32"/>
        </w:rPr>
        <w:t>%，项目支出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273.11</w:t>
      </w:r>
      <w:r>
        <w:rPr>
          <w:rFonts w:hint="eastAsia" w:ascii="仿宋_GB2312" w:hAnsi="仿宋" w:eastAsia="仿宋_GB2312"/>
          <w:sz w:val="32"/>
          <w:szCs w:val="32"/>
        </w:rPr>
        <w:t>万元，占本年总支出的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39.48</w:t>
      </w:r>
      <w:r>
        <w:rPr>
          <w:rFonts w:hint="eastAsia" w:ascii="仿宋_GB2312" w:hAnsi="仿宋" w:eastAsia="仿宋_GB2312"/>
          <w:sz w:val="32"/>
          <w:szCs w:val="32"/>
        </w:rPr>
        <w:t>%；按支出经济分类：工资福利支出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358.6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51.85</w:t>
      </w:r>
      <w:r>
        <w:rPr>
          <w:rFonts w:hint="eastAsia" w:ascii="仿宋_GB2312" w:hAnsi="仿宋" w:eastAsia="仿宋_GB2312"/>
          <w:sz w:val="32"/>
          <w:szCs w:val="32"/>
        </w:rPr>
        <w:t>%；商品和服务支出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95.91</w:t>
      </w:r>
      <w:r>
        <w:rPr>
          <w:rFonts w:hint="eastAsia" w:ascii="仿宋_GB2312" w:hAnsi="仿宋" w:eastAsia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13.86</w:t>
      </w:r>
      <w:r>
        <w:rPr>
          <w:rFonts w:hint="eastAsia" w:ascii="仿宋_GB2312" w:hAnsi="仿宋" w:eastAsia="仿宋_GB2312"/>
          <w:sz w:val="32"/>
          <w:szCs w:val="32"/>
        </w:rPr>
        <w:t>%；对个人和家庭的补助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100.78</w:t>
      </w:r>
      <w:r>
        <w:rPr>
          <w:rFonts w:hint="eastAsia" w:ascii="仿宋_GB2312" w:hAnsi="仿宋" w:eastAsia="仿宋_GB2312"/>
          <w:sz w:val="32"/>
          <w:szCs w:val="32"/>
        </w:rPr>
        <w:t>万元，占本年支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14.57</w:t>
      </w:r>
      <w:r>
        <w:rPr>
          <w:rFonts w:hint="eastAsia" w:ascii="仿宋_GB2312" w:hAnsi="仿宋" w:eastAsia="仿宋_GB2312"/>
          <w:sz w:val="32"/>
          <w:szCs w:val="32"/>
        </w:rPr>
        <w:t>%；资本性支出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136.42</w:t>
      </w:r>
      <w:r>
        <w:rPr>
          <w:rFonts w:hint="eastAsia" w:ascii="仿宋_GB2312" w:hAnsi="仿宋" w:eastAsia="仿宋_GB2312"/>
          <w:sz w:val="32"/>
          <w:szCs w:val="32"/>
        </w:rPr>
        <w:t>万，占本年支出的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19.72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本年度财政拨款为我乡工作的开展提供了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" w:eastAsia="仿宋_GB2312" w:cs="仿宋_GB2312"/>
          <w:sz w:val="32"/>
          <w:szCs w:val="32"/>
        </w:rPr>
        <w:t>有力的保障，使我乡顺利完成201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年度基层运行工作。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（二）存在问题。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（三）改进建议。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6CC60"/>
    <w:multiLevelType w:val="singleLevel"/>
    <w:tmpl w:val="C5E6CC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0CC301E"/>
    <w:rsid w:val="0A3929A5"/>
    <w:rsid w:val="36435EC2"/>
    <w:rsid w:val="490F7C4E"/>
    <w:rsid w:val="5222090F"/>
    <w:rsid w:val="671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_llYaQ</cp:lastModifiedBy>
  <cp:lastPrinted>2020-08-25T03:05:00Z</cp:lastPrinted>
  <dcterms:modified xsi:type="dcterms:W3CDTF">2021-02-27T07:49:21Z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