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F0DC30">
      <w:pPr>
        <w:keepNext w:val="0"/>
        <w:keepLines w:val="0"/>
        <w:pageBreakBefore w:val="0"/>
        <w:widowControl/>
        <w:kinsoku/>
        <w:wordWrap/>
        <w:overflowPunct/>
        <w:topLinePunct w:val="0"/>
        <w:autoSpaceDE/>
        <w:autoSpaceDN/>
        <w:bidi w:val="0"/>
        <w:spacing w:line="578" w:lineRule="exact"/>
        <w:contextualSpacing/>
        <w:jc w:val="both"/>
        <w:textAlignment w:val="auto"/>
        <w:outlineLvl w:val="9"/>
        <w:rPr>
          <w:rFonts w:hint="eastAsia" w:eastAsia="宋体" w:cs="Times New Roman"/>
          <w:b/>
          <w:sz w:val="44"/>
          <w:szCs w:val="44"/>
          <w:highlight w:val="none"/>
          <w:shd w:val="clear" w:color="auto" w:fill="FFFFFF"/>
          <w:lang w:val="en-US" w:eastAsia="zh-CN"/>
        </w:rPr>
      </w:pPr>
    </w:p>
    <w:p w14:paraId="4D495C78">
      <w:pPr>
        <w:keepNext w:val="0"/>
        <w:keepLines w:val="0"/>
        <w:pageBreakBefore w:val="0"/>
        <w:widowControl/>
        <w:kinsoku/>
        <w:wordWrap/>
        <w:overflowPunct/>
        <w:topLinePunct w:val="0"/>
        <w:autoSpaceDE/>
        <w:autoSpaceDN/>
        <w:bidi w:val="0"/>
        <w:spacing w:line="578" w:lineRule="exact"/>
        <w:ind w:firstLine="442" w:firstLineChars="100"/>
        <w:contextualSpacing/>
        <w:jc w:val="center"/>
        <w:textAlignment w:val="auto"/>
        <w:outlineLvl w:val="9"/>
        <w:rPr>
          <w:rFonts w:hint="eastAsia" w:ascii="Times New Roman" w:hAnsi="Times New Roman" w:eastAsia="宋体" w:cs="Times New Roman"/>
          <w:b/>
          <w:sz w:val="44"/>
          <w:szCs w:val="44"/>
          <w:highlight w:val="none"/>
          <w:shd w:val="clear" w:color="auto" w:fill="FFFFFF"/>
          <w:lang w:val="en-US" w:eastAsia="zh-CN"/>
        </w:rPr>
      </w:pPr>
      <w:r>
        <w:rPr>
          <w:rFonts w:hint="eastAsia" w:eastAsia="宋体" w:cs="Times New Roman"/>
          <w:b/>
          <w:sz w:val="44"/>
          <w:szCs w:val="44"/>
          <w:highlight w:val="none"/>
          <w:shd w:val="clear" w:color="auto" w:fill="FFFFFF"/>
          <w:lang w:val="en-US" w:eastAsia="zh-CN"/>
        </w:rPr>
        <w:t>维古乡人民政府</w:t>
      </w:r>
    </w:p>
    <w:p w14:paraId="5EE204DB">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r>
        <w:rPr>
          <w:rFonts w:hint="eastAsia" w:eastAsia="方正小标宋简体" w:cs="Times New Roman"/>
          <w:b w:val="0"/>
          <w:bCs/>
          <w:sz w:val="44"/>
          <w:szCs w:val="44"/>
          <w:highlight w:val="none"/>
          <w:shd w:val="clear" w:color="auto" w:fill="FFFFFF"/>
          <w:lang w:val="en-US" w:eastAsia="zh-CN"/>
        </w:rPr>
        <w:t>2024年部门</w:t>
      </w:r>
      <w:r>
        <w:rPr>
          <w:rFonts w:hint="default"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w:t>
      </w:r>
    </w:p>
    <w:p w14:paraId="35B6E55F">
      <w:pPr>
        <w:keepNext w:val="0"/>
        <w:keepLines w:val="0"/>
        <w:pageBreakBefore w:val="0"/>
        <w:widowControl/>
        <w:kinsoku/>
        <w:wordWrap/>
        <w:overflowPunct/>
        <w:topLinePunct w:val="0"/>
        <w:autoSpaceDE/>
        <w:autoSpaceDN/>
        <w:bidi w:val="0"/>
        <w:adjustRightInd w:val="0"/>
        <w:snapToGrid w:val="0"/>
        <w:spacing w:line="578" w:lineRule="exact"/>
        <w:ind w:firstLine="480" w:firstLineChars="200"/>
        <w:contextualSpacing/>
        <w:jc w:val="left"/>
        <w:textAlignment w:val="auto"/>
        <w:outlineLvl w:val="9"/>
        <w:rPr>
          <w:rFonts w:hint="default" w:ascii="Times New Roman" w:hAnsi="Times New Roman" w:eastAsia="黑体" w:cs="Times New Roman"/>
          <w:color w:val="000000"/>
          <w:kern w:val="0"/>
          <w:sz w:val="24"/>
          <w:szCs w:val="32"/>
          <w:highlight w:val="none"/>
          <w:shd w:val="clear" w:color="auto" w:fill="FFFFFF"/>
        </w:rPr>
      </w:pPr>
    </w:p>
    <w:p w14:paraId="197A179C">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cs="Times New Roman"/>
          <w:szCs w:val="32"/>
        </w:rPr>
      </w:pPr>
      <w:r>
        <w:rPr>
          <w:rFonts w:hint="eastAsia" w:eastAsia="黑体" w:cs="Times New Roman"/>
          <w:color w:val="000000"/>
          <w:kern w:val="0"/>
          <w:szCs w:val="32"/>
          <w:highlight w:val="none"/>
          <w:shd w:val="clear" w:color="auto" w:fill="FFFFFF"/>
          <w:lang w:val="zh-CN"/>
        </w:rPr>
        <w:t>一、</w:t>
      </w:r>
      <w:r>
        <w:rPr>
          <w:rFonts w:hint="default" w:ascii="Times New Roman" w:hAnsi="Times New Roman" w:eastAsia="黑体" w:cs="Times New Roman"/>
          <w:color w:val="000000"/>
          <w:kern w:val="0"/>
          <w:szCs w:val="32"/>
          <w:highlight w:val="none"/>
          <w:shd w:val="clear" w:color="auto" w:fill="FFFFFF"/>
          <w:lang w:val="zh-CN"/>
        </w:rPr>
        <w:t>部门（单位）基本情况</w:t>
      </w:r>
    </w:p>
    <w:p w14:paraId="027F88A3">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仿宋_GB2312" w:hAnsi="仿宋_GB2312" w:eastAsia="仿宋_GB2312" w:cs="仿宋_GB2312"/>
          <w:color w:val="auto"/>
          <w:sz w:val="32"/>
          <w:szCs w:val="32"/>
        </w:rPr>
      </w:pPr>
      <w:r>
        <w:rPr>
          <w:rFonts w:hint="eastAsia" w:eastAsia="楷体_GB2312" w:cs="Times New Roman"/>
          <w:b/>
          <w:bCs/>
          <w:color w:val="000000"/>
          <w:kern w:val="0"/>
          <w:szCs w:val="32"/>
          <w:highlight w:val="none"/>
          <w:shd w:val="clear" w:color="auto" w:fill="FFFFFF"/>
          <w:lang w:val="zh-CN"/>
        </w:rPr>
        <w:t>（一）</w:t>
      </w:r>
      <w:r>
        <w:rPr>
          <w:rFonts w:hint="default" w:ascii="Times New Roman" w:hAnsi="Times New Roman" w:eastAsia="楷体_GB2312" w:cs="Times New Roman"/>
          <w:b/>
          <w:bCs/>
          <w:color w:val="000000"/>
          <w:kern w:val="0"/>
          <w:szCs w:val="32"/>
          <w:highlight w:val="none"/>
          <w:shd w:val="clear" w:color="auto" w:fill="FFFFFF"/>
          <w:lang w:val="zh-CN"/>
        </w:rPr>
        <w:t>机构组成。</w:t>
      </w:r>
      <w:r>
        <w:rPr>
          <w:rFonts w:hint="eastAsia" w:ascii="仿宋_GB2312" w:hAnsi="仿宋_GB2312" w:eastAsia="仿宋_GB2312" w:cs="仿宋_GB2312"/>
          <w:color w:val="auto"/>
          <w:sz w:val="32"/>
          <w:szCs w:val="32"/>
          <w:highlight w:val="none"/>
          <w:lang w:eastAsia="zh-CN"/>
        </w:rPr>
        <w:t>维古乡由党委、人大、政府三大领导机构构成。下设党政</w:t>
      </w:r>
      <w:r>
        <w:rPr>
          <w:rFonts w:hint="eastAsia" w:ascii="仿宋_GB2312" w:hAnsi="仿宋_GB2312" w:cs="仿宋_GB2312"/>
          <w:color w:val="auto"/>
          <w:sz w:val="32"/>
          <w:szCs w:val="32"/>
          <w:highlight w:val="none"/>
          <w:lang w:eastAsia="zh-CN"/>
        </w:rPr>
        <w:t>乡</w:t>
      </w:r>
      <w:r>
        <w:rPr>
          <w:rFonts w:hint="eastAsia" w:ascii="仿宋_GB2312" w:hAnsi="仿宋_GB2312" w:eastAsia="仿宋_GB2312" w:cs="仿宋_GB2312"/>
          <w:color w:val="auto"/>
          <w:sz w:val="32"/>
          <w:szCs w:val="32"/>
          <w:highlight w:val="none"/>
          <w:lang w:eastAsia="zh-CN"/>
        </w:rPr>
        <w:t>公室、党建</w:t>
      </w:r>
      <w:r>
        <w:rPr>
          <w:rFonts w:hint="eastAsia" w:ascii="仿宋_GB2312" w:hAnsi="仿宋_GB2312" w:cs="仿宋_GB2312"/>
          <w:color w:val="auto"/>
          <w:sz w:val="32"/>
          <w:szCs w:val="32"/>
          <w:highlight w:val="none"/>
          <w:lang w:eastAsia="zh-CN"/>
        </w:rPr>
        <w:t>乡</w:t>
      </w:r>
      <w:r>
        <w:rPr>
          <w:rFonts w:hint="eastAsia" w:ascii="仿宋_GB2312" w:hAnsi="仿宋_GB2312" w:eastAsia="仿宋_GB2312" w:cs="仿宋_GB2312"/>
          <w:color w:val="auto"/>
          <w:sz w:val="32"/>
          <w:szCs w:val="32"/>
          <w:highlight w:val="none"/>
          <w:lang w:eastAsia="zh-CN"/>
        </w:rPr>
        <w:t>公事、纪检监察</w:t>
      </w:r>
      <w:r>
        <w:rPr>
          <w:rFonts w:hint="eastAsia" w:ascii="仿宋_GB2312" w:hAnsi="仿宋_GB2312" w:cs="仿宋_GB2312"/>
          <w:color w:val="auto"/>
          <w:sz w:val="32"/>
          <w:szCs w:val="32"/>
          <w:highlight w:val="none"/>
          <w:lang w:eastAsia="zh-CN"/>
        </w:rPr>
        <w:t>乡</w:t>
      </w:r>
      <w:r>
        <w:rPr>
          <w:rFonts w:hint="eastAsia" w:ascii="仿宋_GB2312" w:hAnsi="仿宋_GB2312" w:eastAsia="仿宋_GB2312" w:cs="仿宋_GB2312"/>
          <w:color w:val="auto"/>
          <w:sz w:val="32"/>
          <w:szCs w:val="32"/>
          <w:highlight w:val="none"/>
          <w:lang w:eastAsia="zh-CN"/>
        </w:rPr>
        <w:t>公室、财务</w:t>
      </w:r>
      <w:r>
        <w:rPr>
          <w:rFonts w:hint="eastAsia" w:ascii="仿宋_GB2312" w:hAnsi="仿宋_GB2312" w:cs="仿宋_GB2312"/>
          <w:color w:val="auto"/>
          <w:sz w:val="32"/>
          <w:szCs w:val="32"/>
          <w:highlight w:val="none"/>
          <w:lang w:eastAsia="zh-CN"/>
        </w:rPr>
        <w:t>乡</w:t>
      </w:r>
      <w:r>
        <w:rPr>
          <w:rFonts w:hint="eastAsia" w:ascii="仿宋_GB2312" w:hAnsi="仿宋_GB2312" w:eastAsia="仿宋_GB2312" w:cs="仿宋_GB2312"/>
          <w:color w:val="auto"/>
          <w:sz w:val="32"/>
          <w:szCs w:val="32"/>
          <w:highlight w:val="none"/>
          <w:lang w:eastAsia="zh-CN"/>
        </w:rPr>
        <w:t>公室及农业农村发展中心。</w:t>
      </w:r>
      <w:r>
        <w:rPr>
          <w:rFonts w:hint="eastAsia" w:ascii="仿宋_GB2312" w:hAnsi="仿宋_GB2312" w:eastAsia="仿宋_GB2312" w:cs="仿宋_GB2312"/>
          <w:color w:val="auto"/>
          <w:sz w:val="32"/>
          <w:szCs w:val="32"/>
          <w:lang w:eastAsia="zh-CN"/>
        </w:rPr>
        <w:t>设</w:t>
      </w:r>
      <w:r>
        <w:rPr>
          <w:rFonts w:hint="eastAsia" w:ascii="仿宋_GB2312" w:hAnsi="仿宋_GB2312" w:eastAsia="仿宋_GB2312" w:cs="仿宋_GB2312"/>
          <w:color w:val="auto"/>
          <w:sz w:val="32"/>
          <w:szCs w:val="32"/>
        </w:rPr>
        <w:t>事业单位1个，</w:t>
      </w:r>
      <w:r>
        <w:rPr>
          <w:rFonts w:hint="eastAsia" w:ascii="仿宋_GB2312" w:hAnsi="仿宋_GB2312" w:eastAsia="仿宋_GB2312" w:cs="仿宋_GB2312"/>
          <w:color w:val="auto"/>
          <w:sz w:val="32"/>
          <w:szCs w:val="32"/>
          <w:lang w:eastAsia="zh-CN"/>
        </w:rPr>
        <w:t>即</w:t>
      </w:r>
      <w:r>
        <w:rPr>
          <w:rFonts w:hint="eastAsia" w:ascii="仿宋_GB2312" w:hAnsi="仿宋_GB2312" w:eastAsia="仿宋_GB2312" w:cs="仿宋_GB2312"/>
          <w:color w:val="auto"/>
          <w:sz w:val="32"/>
          <w:szCs w:val="32"/>
          <w:highlight w:val="none"/>
        </w:rPr>
        <w:t>黑水县维古乡人民政府</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事业</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lang w:eastAsia="zh-CN"/>
        </w:rPr>
        <w:t>，为公益一类事业单位</w:t>
      </w:r>
      <w:r>
        <w:rPr>
          <w:rFonts w:hint="eastAsia" w:ascii="仿宋_GB2312" w:hAnsi="仿宋_GB2312" w:eastAsia="仿宋_GB2312" w:cs="仿宋_GB2312"/>
          <w:color w:val="auto"/>
          <w:sz w:val="32"/>
          <w:szCs w:val="32"/>
        </w:rPr>
        <w:t>。</w:t>
      </w:r>
    </w:p>
    <w:p w14:paraId="33EEEA82">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color w:val="auto"/>
          <w:sz w:val="32"/>
          <w:szCs w:val="32"/>
          <w:highlight w:val="none"/>
          <w:lang w:val="zh-CN" w:eastAsia="zh-CN"/>
        </w:rPr>
      </w:pPr>
      <w:r>
        <w:rPr>
          <w:rFonts w:hint="default" w:ascii="Times New Roman" w:hAnsi="Times New Roman" w:eastAsia="楷体_GB2312" w:cs="Times New Roman"/>
          <w:b/>
          <w:bCs/>
          <w:color w:val="000000"/>
          <w:kern w:val="0"/>
          <w:szCs w:val="32"/>
          <w:highlight w:val="none"/>
          <w:shd w:val="clear" w:color="auto" w:fill="FFFFFF"/>
          <w:lang w:val="zh-CN"/>
        </w:rPr>
        <w:t>（二）机构职能</w:t>
      </w:r>
      <w:r>
        <w:rPr>
          <w:rFonts w:hint="eastAsia" w:eastAsia="楷体_GB2312" w:cs="Times New Roman"/>
          <w:b/>
          <w:bCs/>
          <w:color w:val="000000"/>
          <w:kern w:val="0"/>
          <w:szCs w:val="32"/>
          <w:highlight w:val="none"/>
          <w:shd w:val="clear" w:color="auto" w:fill="FFFFFF"/>
          <w:lang w:val="zh-CN"/>
        </w:rPr>
        <w:t>。</w:t>
      </w:r>
      <w:r>
        <w:rPr>
          <w:rFonts w:hint="eastAsia" w:ascii="仿宋_GB2312" w:hAnsi="仿宋_GB2312" w:eastAsia="仿宋_GB2312" w:cs="仿宋_GB2312"/>
          <w:color w:val="auto"/>
          <w:sz w:val="32"/>
          <w:szCs w:val="32"/>
          <w:highlight w:val="none"/>
          <w:lang w:val="zh-CN" w:eastAsia="zh-CN"/>
        </w:rPr>
        <w:t>黑水县维古乡人民政府是基层国家行政机关，行使本行政区域的政府行政职能，根据有关文件规定，主要职责是：宣传和贯彻执行上级各部门及本镇的各项政策、法规、决议等；讨论决定全镇经济建设和社会发展中的重大问题；加强党委自身建设和以党支部为核心的村级组织建设；按照干部管理权限，负责对本级镇村干部的教育、管理、培训、选拔和监督工作，并实现村级财务统一由镇代管；认真做好全镇社会治安综合治理及计划生育，环境、国土等管理工作。</w:t>
      </w:r>
    </w:p>
    <w:p w14:paraId="1404F3CE">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cs="Times New Roman"/>
          <w:szCs w:val="32"/>
        </w:rPr>
      </w:pPr>
      <w:r>
        <w:rPr>
          <w:rFonts w:hint="default" w:ascii="Times New Roman" w:hAnsi="Times New Roman" w:eastAsia="楷体_GB2312" w:cs="Times New Roman"/>
          <w:b/>
          <w:bCs/>
          <w:color w:val="000000"/>
          <w:kern w:val="0"/>
          <w:szCs w:val="32"/>
          <w:highlight w:val="none"/>
          <w:shd w:val="clear" w:color="auto" w:fill="FFFFFF"/>
          <w:lang w:val="zh-CN"/>
        </w:rPr>
        <w:t>（</w:t>
      </w:r>
      <w:r>
        <w:rPr>
          <w:rFonts w:hint="eastAsia" w:eastAsia="楷体_GB2312" w:cs="Times New Roman"/>
          <w:b/>
          <w:bCs/>
          <w:color w:val="000000"/>
          <w:kern w:val="0"/>
          <w:szCs w:val="32"/>
          <w:highlight w:val="none"/>
          <w:shd w:val="clear" w:color="auto" w:fill="FFFFFF"/>
          <w:lang w:val="zh-CN"/>
        </w:rPr>
        <w:t>三</w:t>
      </w:r>
      <w:r>
        <w:rPr>
          <w:rFonts w:hint="default" w:ascii="Times New Roman" w:hAnsi="Times New Roman" w:eastAsia="楷体_GB2312" w:cs="Times New Roman"/>
          <w:b/>
          <w:bCs/>
          <w:color w:val="000000"/>
          <w:kern w:val="0"/>
          <w:szCs w:val="32"/>
          <w:highlight w:val="none"/>
          <w:shd w:val="clear" w:color="auto" w:fill="FFFFFF"/>
          <w:lang w:val="zh-CN"/>
        </w:rPr>
        <w:t>）人员概况</w:t>
      </w:r>
      <w:r>
        <w:rPr>
          <w:rFonts w:hint="eastAsia" w:eastAsia="楷体_GB2312" w:cs="Times New Roman"/>
          <w:b/>
          <w:bCs/>
          <w:color w:val="000000"/>
          <w:kern w:val="0"/>
          <w:szCs w:val="32"/>
          <w:highlight w:val="none"/>
          <w:shd w:val="clear" w:color="auto" w:fill="FFFFFF"/>
          <w:lang w:val="zh-CN"/>
        </w:rPr>
        <w:t>。</w:t>
      </w:r>
      <w:r>
        <w:rPr>
          <w:rFonts w:hint="eastAsia" w:ascii="仿宋_GB2312" w:hAnsi="仿宋_GB2312" w:eastAsia="仿宋_GB2312" w:cs="仿宋_GB2312"/>
          <w:sz w:val="32"/>
          <w:szCs w:val="32"/>
          <w:highlight w:val="none"/>
        </w:rPr>
        <w:t>本单位编制共</w:t>
      </w:r>
      <w:r>
        <w:rPr>
          <w:rFonts w:hint="eastAsia" w:ascii="仿宋_GB2312" w:hAnsi="仿宋_GB2312" w:eastAsia="仿宋_GB2312" w:cs="仿宋_GB2312"/>
          <w:sz w:val="32"/>
          <w:szCs w:val="32"/>
          <w:highlight w:val="none"/>
          <w:lang w:val="en-US" w:eastAsia="zh-CN"/>
        </w:rPr>
        <w:t>34</w:t>
      </w:r>
      <w:r>
        <w:rPr>
          <w:rFonts w:hint="eastAsia" w:ascii="仿宋_GB2312" w:hAnsi="仿宋_GB2312" w:eastAsia="仿宋_GB2312" w:cs="仿宋_GB2312"/>
          <w:sz w:val="32"/>
          <w:szCs w:val="32"/>
          <w:highlight w:val="none"/>
        </w:rPr>
        <w:t>人：其中行政编制</w:t>
      </w:r>
      <w:r>
        <w:rPr>
          <w:rFonts w:hint="eastAsia" w:ascii="仿宋_GB2312" w:hAnsi="仿宋_GB2312" w:eastAsia="仿宋_GB2312" w:cs="仿宋_GB2312"/>
          <w:sz w:val="32"/>
          <w:szCs w:val="32"/>
          <w:highlight w:val="none"/>
          <w:lang w:val="en-US" w:eastAsia="zh-CN"/>
        </w:rPr>
        <w:t>21</w:t>
      </w:r>
      <w:r>
        <w:rPr>
          <w:rFonts w:hint="eastAsia" w:ascii="仿宋_GB2312" w:hAnsi="仿宋_GB2312" w:eastAsia="仿宋_GB2312" w:cs="仿宋_GB2312"/>
          <w:sz w:val="32"/>
          <w:szCs w:val="32"/>
          <w:highlight w:val="none"/>
        </w:rPr>
        <w:t>人，</w:t>
      </w:r>
      <w:r>
        <w:rPr>
          <w:rFonts w:hint="eastAsia" w:ascii="仿宋_GB2312" w:hAnsi="仿宋_GB2312" w:eastAsia="仿宋_GB2312" w:cs="仿宋_GB2312"/>
          <w:sz w:val="32"/>
          <w:szCs w:val="32"/>
          <w:highlight w:val="none"/>
          <w:lang w:eastAsia="zh-CN"/>
        </w:rPr>
        <w:t>事业编制</w:t>
      </w:r>
      <w:r>
        <w:rPr>
          <w:rFonts w:hint="eastAsia" w:ascii="仿宋_GB2312" w:hAnsi="仿宋_GB2312" w:eastAsia="仿宋_GB2312" w:cs="仿宋_GB2312"/>
          <w:sz w:val="32"/>
          <w:szCs w:val="32"/>
          <w:highlight w:val="none"/>
          <w:lang w:val="en-US" w:eastAsia="zh-CN"/>
        </w:rPr>
        <w:t>11人，</w:t>
      </w:r>
      <w:r>
        <w:rPr>
          <w:rFonts w:hint="eastAsia" w:ascii="仿宋_GB2312" w:hAnsi="仿宋_GB2312" w:eastAsia="仿宋_GB2312" w:cs="仿宋_GB2312"/>
          <w:sz w:val="32"/>
          <w:szCs w:val="32"/>
          <w:highlight w:val="none"/>
        </w:rPr>
        <w:t>工勤编制</w:t>
      </w: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rPr>
        <w:t>人；20</w:t>
      </w:r>
      <w:r>
        <w:rPr>
          <w:rFonts w:hint="eastAsia" w:ascii="仿宋_GB2312" w:hAnsi="仿宋_GB2312" w:eastAsia="仿宋_GB2312" w:cs="仿宋_GB2312"/>
          <w:sz w:val="32"/>
          <w:szCs w:val="32"/>
          <w:highlight w:val="none"/>
          <w:lang w:val="en-US" w:eastAsia="zh-CN"/>
        </w:rPr>
        <w:t>2</w:t>
      </w:r>
      <w:r>
        <w:rPr>
          <w:rFonts w:hint="eastAsia" w:ascii="仿宋_GB2312" w:hAnsi="仿宋_GB2312" w:cs="仿宋_GB2312"/>
          <w:sz w:val="32"/>
          <w:szCs w:val="32"/>
          <w:highlight w:val="none"/>
          <w:lang w:val="en-US" w:eastAsia="zh-CN"/>
        </w:rPr>
        <w:t>4</w:t>
      </w:r>
      <w:r>
        <w:rPr>
          <w:rFonts w:hint="eastAsia" w:ascii="仿宋_GB2312" w:hAnsi="仿宋_GB2312" w:eastAsia="仿宋_GB2312" w:cs="仿宋_GB2312"/>
          <w:sz w:val="32"/>
          <w:szCs w:val="32"/>
          <w:highlight w:val="none"/>
        </w:rPr>
        <w:t>年</w:t>
      </w:r>
      <w:r>
        <w:rPr>
          <w:rFonts w:hint="eastAsia" w:ascii="仿宋_GB2312" w:hAnsi="仿宋_GB2312" w:eastAsia="仿宋_GB2312" w:cs="仿宋_GB2312"/>
          <w:sz w:val="32"/>
          <w:szCs w:val="32"/>
          <w:highlight w:val="none"/>
          <w:lang w:eastAsia="zh-CN"/>
        </w:rPr>
        <w:t>年末</w:t>
      </w:r>
      <w:r>
        <w:rPr>
          <w:rFonts w:hint="eastAsia" w:ascii="仿宋_GB2312" w:hAnsi="仿宋_GB2312" w:eastAsia="仿宋_GB2312" w:cs="仿宋_GB2312"/>
          <w:sz w:val="32"/>
          <w:szCs w:val="32"/>
          <w:highlight w:val="none"/>
        </w:rPr>
        <w:t>在职实有人数为</w:t>
      </w:r>
      <w:r>
        <w:rPr>
          <w:rFonts w:hint="eastAsia" w:ascii="仿宋_GB2312" w:hAnsi="仿宋_GB2312" w:cs="仿宋_GB2312"/>
          <w:sz w:val="32"/>
          <w:szCs w:val="32"/>
          <w:highlight w:val="none"/>
          <w:lang w:val="en-US" w:eastAsia="zh-CN"/>
        </w:rPr>
        <w:t>33</w:t>
      </w:r>
      <w:r>
        <w:rPr>
          <w:rFonts w:hint="eastAsia" w:ascii="仿宋_GB2312" w:hAnsi="仿宋_GB2312" w:eastAsia="仿宋_GB2312" w:cs="仿宋_GB2312"/>
          <w:sz w:val="32"/>
          <w:szCs w:val="32"/>
          <w:highlight w:val="none"/>
        </w:rPr>
        <w:t>人：其中行政人员</w:t>
      </w:r>
      <w:r>
        <w:rPr>
          <w:rFonts w:hint="eastAsia" w:ascii="仿宋_GB2312" w:hAnsi="仿宋_GB2312" w:cs="仿宋_GB2312"/>
          <w:sz w:val="32"/>
          <w:szCs w:val="32"/>
          <w:highlight w:val="none"/>
          <w:lang w:val="en-US" w:eastAsia="zh-CN"/>
        </w:rPr>
        <w:t>20</w:t>
      </w:r>
      <w:r>
        <w:rPr>
          <w:rFonts w:hint="eastAsia" w:ascii="仿宋_GB2312" w:hAnsi="仿宋_GB2312" w:eastAsia="仿宋_GB2312" w:cs="仿宋_GB2312"/>
          <w:sz w:val="32"/>
          <w:szCs w:val="32"/>
          <w:highlight w:val="none"/>
        </w:rPr>
        <w:t>人，</w:t>
      </w:r>
      <w:r>
        <w:rPr>
          <w:rFonts w:hint="eastAsia" w:ascii="仿宋_GB2312" w:hAnsi="仿宋_GB2312" w:eastAsia="仿宋_GB2312" w:cs="仿宋_GB2312"/>
          <w:sz w:val="32"/>
          <w:szCs w:val="32"/>
          <w:highlight w:val="none"/>
          <w:lang w:eastAsia="zh-CN"/>
        </w:rPr>
        <w:t>事业人员</w:t>
      </w:r>
      <w:r>
        <w:rPr>
          <w:rFonts w:hint="eastAsia" w:ascii="仿宋_GB2312" w:hAnsi="仿宋_GB2312" w:eastAsia="仿宋_GB2312" w:cs="仿宋_GB2312"/>
          <w:sz w:val="32"/>
          <w:szCs w:val="32"/>
          <w:highlight w:val="none"/>
          <w:lang w:val="en-US" w:eastAsia="zh-CN"/>
        </w:rPr>
        <w:t>1</w:t>
      </w:r>
      <w:r>
        <w:rPr>
          <w:rFonts w:hint="eastAsia" w:ascii="仿宋_GB2312" w:hAnsi="仿宋_GB2312" w:cs="仿宋_GB2312"/>
          <w:sz w:val="32"/>
          <w:szCs w:val="32"/>
          <w:highlight w:val="none"/>
          <w:lang w:val="en-US" w:eastAsia="zh-CN"/>
        </w:rPr>
        <w:t>1</w:t>
      </w:r>
      <w:r>
        <w:rPr>
          <w:rFonts w:hint="eastAsia" w:ascii="仿宋_GB2312" w:hAnsi="仿宋_GB2312" w:eastAsia="仿宋_GB2312" w:cs="仿宋_GB2312"/>
          <w:sz w:val="32"/>
          <w:szCs w:val="32"/>
          <w:highlight w:val="none"/>
          <w:lang w:val="en-US" w:eastAsia="zh-CN"/>
        </w:rPr>
        <w:t>人，</w:t>
      </w:r>
      <w:r>
        <w:rPr>
          <w:rFonts w:hint="eastAsia" w:ascii="仿宋_GB2312" w:hAnsi="仿宋_GB2312" w:eastAsia="仿宋_GB2312" w:cs="仿宋_GB2312"/>
          <w:sz w:val="32"/>
          <w:szCs w:val="32"/>
          <w:highlight w:val="none"/>
        </w:rPr>
        <w:t>工勤人员</w:t>
      </w:r>
      <w:r>
        <w:rPr>
          <w:rFonts w:hint="eastAsia" w:ascii="仿宋_GB2312" w:hAnsi="仿宋_GB2312" w:cs="仿宋_GB2312"/>
          <w:sz w:val="32"/>
          <w:szCs w:val="32"/>
          <w:highlight w:val="none"/>
          <w:lang w:val="en-US" w:eastAsia="zh-CN"/>
        </w:rPr>
        <w:t>2</w:t>
      </w:r>
      <w:r>
        <w:rPr>
          <w:rFonts w:hint="eastAsia" w:ascii="仿宋_GB2312" w:hAnsi="仿宋_GB2312" w:eastAsia="仿宋_GB2312" w:cs="仿宋_GB2312"/>
          <w:sz w:val="32"/>
          <w:szCs w:val="32"/>
          <w:highlight w:val="none"/>
        </w:rPr>
        <w:t>人</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退休人员</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人，抚养人员</w:t>
      </w: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rPr>
        <w:t>人。</w:t>
      </w:r>
    </w:p>
    <w:p w14:paraId="303DB86C">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Cs w:val="32"/>
          <w:highlight w:val="none"/>
          <w:shd w:val="clear" w:color="auto" w:fill="FFFFFF"/>
        </w:rPr>
      </w:pPr>
      <w:r>
        <w:rPr>
          <w:rFonts w:hint="default" w:ascii="Times New Roman" w:hAnsi="Times New Roman" w:eastAsia="黑体" w:cs="Times New Roman"/>
          <w:color w:val="000000"/>
          <w:kern w:val="0"/>
          <w:szCs w:val="32"/>
          <w:highlight w:val="none"/>
          <w:shd w:val="clear" w:color="auto" w:fill="FFFFFF"/>
        </w:rPr>
        <w:t>二、</w:t>
      </w:r>
      <w:r>
        <w:rPr>
          <w:rFonts w:hint="default" w:ascii="Times New Roman" w:hAnsi="Times New Roman" w:eastAsia="黑体" w:cs="Times New Roman"/>
          <w:color w:val="000000"/>
          <w:kern w:val="0"/>
          <w:szCs w:val="32"/>
          <w:highlight w:val="none"/>
          <w:shd w:val="clear" w:color="auto" w:fill="FFFFFF"/>
          <w:lang w:eastAsia="zh-CN"/>
        </w:rPr>
        <w:t>部门</w:t>
      </w:r>
      <w:r>
        <w:rPr>
          <w:rFonts w:hint="default" w:ascii="Times New Roman" w:hAnsi="Times New Roman" w:eastAsia="黑体" w:cs="Times New Roman"/>
          <w:color w:val="000000"/>
          <w:kern w:val="0"/>
          <w:szCs w:val="32"/>
          <w:highlight w:val="none"/>
          <w:shd w:val="clear" w:color="auto" w:fill="FFFFFF"/>
        </w:rPr>
        <w:t>资金收支情况</w:t>
      </w:r>
    </w:p>
    <w:p w14:paraId="27880F32">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default" w:ascii="Times New Roman" w:hAnsi="Times New Roman" w:eastAsia="楷体_GB2312" w:cs="Times New Roman"/>
          <w:b/>
          <w:bCs/>
          <w:color w:val="000000"/>
          <w:kern w:val="0"/>
          <w:szCs w:val="32"/>
          <w:highlight w:val="none"/>
          <w:shd w:val="clear" w:color="auto" w:fill="FFFFFF"/>
          <w:lang w:val="zh-CN"/>
        </w:rPr>
        <w:t>（一）</w:t>
      </w:r>
      <w:r>
        <w:rPr>
          <w:rFonts w:hint="eastAsia" w:eastAsia="楷体_GB2312" w:cs="Times New Roman"/>
          <w:b/>
          <w:bCs/>
          <w:color w:val="000000"/>
          <w:kern w:val="0"/>
          <w:szCs w:val="32"/>
          <w:highlight w:val="none"/>
          <w:shd w:val="clear" w:color="auto" w:fill="FFFFFF"/>
          <w:lang w:val="zh-CN"/>
        </w:rPr>
        <w:t>收入情况</w:t>
      </w:r>
      <w:r>
        <w:rPr>
          <w:rFonts w:hint="default" w:ascii="Times New Roman" w:hAnsi="Times New Roman" w:eastAsia="楷体_GB2312" w:cs="Times New Roman"/>
          <w:b/>
          <w:bCs/>
          <w:color w:val="000000"/>
          <w:kern w:val="0"/>
          <w:szCs w:val="32"/>
          <w:highlight w:val="none"/>
          <w:shd w:val="clear" w:color="auto" w:fill="FFFFFF"/>
          <w:lang w:val="zh-CN"/>
        </w:rPr>
        <w:t>。</w:t>
      </w:r>
    </w:p>
    <w:p w14:paraId="67BD6622">
      <w:pPr>
        <w:pStyle w:val="14"/>
        <w:keepNext w:val="0"/>
        <w:keepLines w:val="0"/>
        <w:pageBreakBefore w:val="0"/>
        <w:shd w:val="clear" w:color="auto" w:fill="FFFFFF"/>
        <w:kinsoku/>
        <w:wordWrap/>
        <w:overflowPunct/>
        <w:topLinePunct w:val="0"/>
        <w:autoSpaceDE/>
        <w:autoSpaceDN/>
        <w:bidi w:val="0"/>
        <w:adjustRightInd/>
        <w:spacing w:before="0" w:beforeAutospacing="0" w:after="0" w:afterAutospacing="0" w:line="560" w:lineRule="exact"/>
        <w:ind w:firstLine="640" w:firstLineChars="200"/>
        <w:jc w:val="both"/>
        <w:textAlignment w:val="auto"/>
        <w:rPr>
          <w:rFonts w:hint="eastAsia" w:ascii="Times New Roman" w:hAnsi="Times New Roman" w:eastAsia="宋体" w:cs="Times New Roman"/>
          <w:b/>
          <w:bCs/>
          <w:color w:val="000000"/>
          <w:kern w:val="0"/>
          <w:szCs w:val="32"/>
          <w:highlight w:val="none"/>
          <w:shd w:val="clear" w:color="auto" w:fill="FFFFFF"/>
          <w:lang w:val="en-US" w:eastAsia="zh-CN"/>
        </w:rPr>
      </w:pPr>
      <w:r>
        <w:rPr>
          <w:rFonts w:hint="eastAsia" w:ascii="仿宋_GB2312" w:hAnsi="仿宋_GB2312" w:eastAsia="仿宋_GB2312" w:cs="仿宋_GB2312"/>
          <w:sz w:val="32"/>
          <w:szCs w:val="32"/>
          <w:highlight w:val="none"/>
        </w:rPr>
        <w:t>202</w:t>
      </w:r>
      <w:r>
        <w:rPr>
          <w:rFonts w:hint="eastAsia" w:ascii="仿宋_GB2312" w:hAnsi="仿宋_GB2312" w:eastAsia="仿宋_GB2312" w:cs="仿宋_GB2312"/>
          <w:sz w:val="32"/>
          <w:szCs w:val="32"/>
          <w:highlight w:val="none"/>
          <w:lang w:val="en-US" w:eastAsia="zh-CN"/>
        </w:rPr>
        <w:t>4</w:t>
      </w:r>
      <w:r>
        <w:rPr>
          <w:rFonts w:hint="eastAsia" w:ascii="仿宋_GB2312" w:hAnsi="仿宋_GB2312" w:eastAsia="仿宋_GB2312" w:cs="仿宋_GB2312"/>
          <w:sz w:val="32"/>
          <w:szCs w:val="32"/>
          <w:highlight w:val="none"/>
        </w:rPr>
        <w:t>年</w:t>
      </w:r>
      <w:r>
        <w:rPr>
          <w:rFonts w:hint="eastAsia" w:ascii="仿宋_GB2312" w:hAnsi="仿宋_GB2312" w:eastAsia="仿宋_GB2312" w:cs="仿宋_GB2312"/>
          <w:sz w:val="32"/>
          <w:szCs w:val="32"/>
          <w:highlight w:val="none"/>
          <w:lang w:eastAsia="zh-CN"/>
        </w:rPr>
        <w:t>预算收入为</w:t>
      </w:r>
      <w:r>
        <w:rPr>
          <w:rFonts w:hint="eastAsia" w:ascii="仿宋_GB2312" w:hAnsi="仿宋_GB2312" w:eastAsia="仿宋_GB2312" w:cs="仿宋_GB2312"/>
          <w:sz w:val="32"/>
          <w:szCs w:val="32"/>
          <w:highlight w:val="none"/>
          <w:lang w:val="en-US" w:eastAsia="zh-CN"/>
        </w:rPr>
        <w:t>1215.99万元，其中：</w:t>
      </w:r>
      <w:r>
        <w:rPr>
          <w:rFonts w:hint="eastAsia" w:ascii="仿宋_GB2312" w:hAnsi="仿宋_GB2312" w:eastAsia="仿宋_GB2312" w:cs="仿宋_GB2312"/>
          <w:sz w:val="32"/>
          <w:szCs w:val="32"/>
          <w:highlight w:val="none"/>
        </w:rPr>
        <w:t>一般公共预算</w:t>
      </w:r>
      <w:r>
        <w:rPr>
          <w:rFonts w:hint="eastAsia" w:ascii="仿宋_GB2312" w:hAnsi="仿宋_GB2312" w:eastAsia="仿宋_GB2312" w:cs="仿宋_GB2312"/>
          <w:sz w:val="32"/>
          <w:szCs w:val="32"/>
          <w:highlight w:val="none"/>
          <w:lang w:eastAsia="zh-CN"/>
        </w:rPr>
        <w:t>收入</w:t>
      </w:r>
      <w:r>
        <w:rPr>
          <w:rFonts w:hint="eastAsia" w:ascii="仿宋_GB2312" w:hAnsi="仿宋_GB2312" w:eastAsia="仿宋_GB2312" w:cs="仿宋_GB2312"/>
          <w:sz w:val="32"/>
          <w:szCs w:val="32"/>
          <w:highlight w:val="none"/>
          <w:lang w:val="en-US" w:eastAsia="zh-CN"/>
        </w:rPr>
        <w:t>1215.94</w:t>
      </w:r>
      <w:r>
        <w:rPr>
          <w:rFonts w:hint="eastAsia" w:ascii="仿宋_GB2312" w:hAnsi="仿宋_GB2312" w:eastAsia="仿宋_GB2312" w:cs="仿宋_GB2312"/>
          <w:sz w:val="32"/>
          <w:szCs w:val="32"/>
          <w:highlight w:val="none"/>
        </w:rPr>
        <w:t>万元</w:t>
      </w:r>
      <w:r>
        <w:rPr>
          <w:rFonts w:hint="eastAsia" w:ascii="仿宋_GB2312" w:hAnsi="仿宋_GB2312" w:eastAsia="仿宋_GB2312" w:cs="仿宋_GB2312"/>
          <w:sz w:val="32"/>
          <w:szCs w:val="32"/>
          <w:highlight w:val="none"/>
          <w:lang w:eastAsia="zh-CN"/>
        </w:rPr>
        <w:t>，国有资本经营预算财政拨款收入</w:t>
      </w:r>
      <w:r>
        <w:rPr>
          <w:rFonts w:hint="eastAsia" w:ascii="仿宋_GB2312" w:hAnsi="仿宋_GB2312" w:eastAsia="仿宋_GB2312" w:cs="仿宋_GB2312"/>
          <w:sz w:val="32"/>
          <w:szCs w:val="32"/>
          <w:highlight w:val="none"/>
          <w:lang w:val="en-US" w:eastAsia="zh-CN"/>
        </w:rPr>
        <w:t>0.05万元，</w:t>
      </w:r>
      <w:r>
        <w:rPr>
          <w:rFonts w:hint="eastAsia" w:ascii="仿宋_GB2312" w:hAnsi="仿宋_GB2312" w:eastAsia="仿宋_GB2312" w:cs="仿宋_GB2312"/>
          <w:sz w:val="32"/>
          <w:szCs w:val="32"/>
          <w:highlight w:val="none"/>
          <w:lang w:eastAsia="zh-CN"/>
        </w:rPr>
        <w:t>年初结转结余</w:t>
      </w:r>
      <w:r>
        <w:rPr>
          <w:rFonts w:hint="eastAsia" w:ascii="仿宋_GB2312" w:hAnsi="仿宋_GB2312" w:eastAsia="仿宋_GB2312" w:cs="仿宋_GB2312"/>
          <w:sz w:val="32"/>
          <w:szCs w:val="32"/>
          <w:highlight w:val="none"/>
          <w:lang w:val="en-US" w:eastAsia="zh-CN"/>
        </w:rPr>
        <w:t>0万元</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eastAsia="zh-CN"/>
        </w:rPr>
        <w:t>共计</w:t>
      </w:r>
      <w:r>
        <w:rPr>
          <w:rFonts w:hint="eastAsia" w:ascii="仿宋_GB2312" w:hAnsi="仿宋_GB2312" w:eastAsia="仿宋_GB2312" w:cs="仿宋_GB2312"/>
          <w:sz w:val="32"/>
          <w:szCs w:val="32"/>
          <w:highlight w:val="none"/>
          <w:lang w:val="en-US" w:eastAsia="zh-CN"/>
        </w:rPr>
        <w:t>1215.99万元。</w:t>
      </w:r>
      <w:r>
        <w:rPr>
          <w:rFonts w:hint="eastAsia" w:ascii="仿宋_GB2312" w:hAnsi="仿宋_GB2312" w:eastAsia="仿宋_GB2312" w:cs="仿宋_GB2312"/>
          <w:sz w:val="32"/>
          <w:szCs w:val="32"/>
          <w:highlight w:val="none"/>
        </w:rPr>
        <w:t>其中基本</w:t>
      </w:r>
      <w:r>
        <w:rPr>
          <w:rFonts w:hint="eastAsia" w:ascii="仿宋_GB2312" w:hAnsi="仿宋_GB2312" w:eastAsia="仿宋_GB2312" w:cs="仿宋_GB2312"/>
          <w:sz w:val="32"/>
          <w:szCs w:val="32"/>
          <w:highlight w:val="none"/>
          <w:lang w:eastAsia="zh-CN"/>
        </w:rPr>
        <w:t>收入</w:t>
      </w:r>
      <w:r>
        <w:rPr>
          <w:rFonts w:hint="eastAsia" w:ascii="仿宋_GB2312" w:hAnsi="仿宋_GB2312" w:eastAsia="仿宋_GB2312" w:cs="仿宋_GB2312"/>
          <w:sz w:val="32"/>
          <w:szCs w:val="32"/>
          <w:highlight w:val="none"/>
          <w:lang w:val="en-US" w:eastAsia="zh-CN"/>
        </w:rPr>
        <w:t>771.71</w:t>
      </w:r>
      <w:r>
        <w:rPr>
          <w:rFonts w:hint="eastAsia" w:ascii="仿宋_GB2312" w:hAnsi="仿宋_GB2312" w:eastAsia="仿宋_GB2312" w:cs="仿宋_GB2312"/>
          <w:sz w:val="32"/>
          <w:szCs w:val="32"/>
          <w:highlight w:val="none"/>
        </w:rPr>
        <w:t>万元</w:t>
      </w:r>
      <w:r>
        <w:rPr>
          <w:rFonts w:hint="eastAsia" w:ascii="仿宋_GB2312" w:hAnsi="仿宋_GB2312" w:eastAsia="仿宋_GB2312" w:cs="仿宋_GB2312"/>
          <w:sz w:val="32"/>
          <w:szCs w:val="32"/>
          <w:highlight w:val="none"/>
          <w:lang w:eastAsia="zh-CN"/>
        </w:rPr>
        <w:t>，项目收入</w:t>
      </w:r>
      <w:r>
        <w:rPr>
          <w:rFonts w:hint="eastAsia" w:ascii="仿宋_GB2312" w:hAnsi="仿宋_GB2312" w:eastAsia="仿宋_GB2312" w:cs="仿宋_GB2312"/>
          <w:sz w:val="32"/>
          <w:szCs w:val="32"/>
          <w:highlight w:val="none"/>
          <w:lang w:val="en-US" w:eastAsia="zh-CN"/>
        </w:rPr>
        <w:t>444.28万元</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主要用于</w:t>
      </w:r>
      <w:r>
        <w:rPr>
          <w:rFonts w:hint="eastAsia" w:ascii="仿宋_GB2312" w:hAnsi="仿宋_GB2312" w:eastAsia="仿宋_GB2312" w:cs="仿宋_GB2312"/>
          <w:sz w:val="32"/>
          <w:szCs w:val="32"/>
          <w:highlight w:val="none"/>
          <w:lang w:val="en-US" w:eastAsia="zh-CN"/>
        </w:rPr>
        <w:t>20244</w:t>
      </w:r>
      <w:r>
        <w:rPr>
          <w:rFonts w:hint="eastAsia" w:ascii="仿宋_GB2312" w:hAnsi="仿宋_GB2312" w:eastAsia="仿宋_GB2312" w:cs="仿宋_GB2312"/>
          <w:sz w:val="32"/>
          <w:szCs w:val="32"/>
          <w:highlight w:val="none"/>
        </w:rPr>
        <w:t>年</w:t>
      </w:r>
      <w:r>
        <w:rPr>
          <w:rFonts w:hint="eastAsia" w:ascii="仿宋_GB2312" w:hAnsi="仿宋_GB2312" w:eastAsia="仿宋_GB2312" w:cs="仿宋_GB2312"/>
          <w:sz w:val="32"/>
          <w:szCs w:val="32"/>
          <w:highlight w:val="none"/>
          <w:lang w:eastAsia="zh-CN"/>
        </w:rPr>
        <w:t>维古乡在编</w:t>
      </w:r>
      <w:r>
        <w:rPr>
          <w:rFonts w:hint="eastAsia" w:ascii="仿宋_GB2312" w:hAnsi="仿宋_GB2312" w:eastAsia="仿宋_GB2312" w:cs="仿宋_GB2312"/>
          <w:sz w:val="32"/>
          <w:szCs w:val="32"/>
          <w:highlight w:val="none"/>
        </w:rPr>
        <w:t>人员</w:t>
      </w:r>
      <w:r>
        <w:rPr>
          <w:rFonts w:hint="eastAsia" w:ascii="仿宋_GB2312" w:hAnsi="仿宋_GB2312" w:eastAsia="仿宋_GB2312" w:cs="仿宋_GB2312"/>
          <w:sz w:val="32"/>
          <w:szCs w:val="32"/>
          <w:highlight w:val="none"/>
          <w:lang w:eastAsia="zh-CN"/>
        </w:rPr>
        <w:t>经费</w:t>
      </w:r>
      <w:r>
        <w:rPr>
          <w:rFonts w:hint="eastAsia" w:ascii="仿宋_GB2312" w:hAnsi="仿宋_GB2312" w:eastAsia="仿宋_GB2312" w:cs="仿宋_GB2312"/>
          <w:sz w:val="32"/>
          <w:szCs w:val="32"/>
          <w:highlight w:val="none"/>
        </w:rPr>
        <w:t>和日常公用经</w:t>
      </w:r>
      <w:r>
        <w:rPr>
          <w:rFonts w:hint="eastAsia" w:ascii="仿宋_GB2312" w:hAnsi="仿宋_GB2312" w:eastAsia="仿宋_GB2312" w:cs="仿宋_GB2312"/>
          <w:sz w:val="32"/>
          <w:szCs w:val="32"/>
          <w:highlight w:val="none"/>
          <w:lang w:eastAsia="zh-CN"/>
        </w:rPr>
        <w:t>费、村组干部工资、村级运行经费、驻村工作队经费、小型公益性补短项目</w:t>
      </w:r>
      <w:r>
        <w:rPr>
          <w:rFonts w:hint="eastAsia" w:ascii="仿宋_GB2312" w:hAnsi="仿宋_GB2312" w:eastAsia="仿宋_GB2312" w:cs="仿宋_GB2312"/>
          <w:sz w:val="32"/>
          <w:szCs w:val="32"/>
          <w:highlight w:val="none"/>
        </w:rPr>
        <w:t>等</w:t>
      </w:r>
      <w:r>
        <w:rPr>
          <w:rFonts w:hint="eastAsia" w:ascii="仿宋_GB2312" w:hAnsi="仿宋_GB2312" w:eastAsia="仿宋_GB2312" w:cs="仿宋_GB2312"/>
          <w:sz w:val="32"/>
          <w:szCs w:val="32"/>
          <w:highlight w:val="none"/>
          <w:lang w:eastAsia="zh-CN"/>
        </w:rPr>
        <w:t>项目</w:t>
      </w:r>
      <w:r>
        <w:rPr>
          <w:rFonts w:hint="eastAsia" w:ascii="仿宋_GB2312" w:hAnsi="仿宋_GB2312" w:eastAsia="仿宋_GB2312" w:cs="仿宋_GB2312"/>
          <w:sz w:val="32"/>
          <w:szCs w:val="32"/>
          <w:highlight w:val="none"/>
        </w:rPr>
        <w:t>支出，切实保证</w:t>
      </w:r>
      <w:r>
        <w:rPr>
          <w:rFonts w:hint="eastAsia" w:ascii="仿宋_GB2312" w:hAnsi="仿宋_GB2312" w:eastAsia="仿宋_GB2312" w:cs="仿宋_GB2312"/>
          <w:sz w:val="32"/>
          <w:szCs w:val="32"/>
          <w:highlight w:val="none"/>
          <w:lang w:eastAsia="zh-CN"/>
        </w:rPr>
        <w:t>乡镇工作</w:t>
      </w:r>
      <w:r>
        <w:rPr>
          <w:rFonts w:hint="eastAsia" w:ascii="仿宋_GB2312" w:hAnsi="仿宋_GB2312" w:eastAsia="仿宋_GB2312" w:cs="仿宋_GB2312"/>
          <w:sz w:val="32"/>
          <w:szCs w:val="32"/>
          <w:highlight w:val="none"/>
        </w:rPr>
        <w:t>的正常运转。</w:t>
      </w:r>
    </w:p>
    <w:p w14:paraId="275660DD">
      <w:pPr>
        <w:keepNext w:val="0"/>
        <w:keepLines w:val="0"/>
        <w:pageBreakBefore w:val="0"/>
        <w:widowControl/>
        <w:numPr>
          <w:ilvl w:val="0"/>
          <w:numId w:val="1"/>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eastAsia" w:eastAsia="楷体_GB2312" w:cs="Times New Roman"/>
          <w:b/>
          <w:bCs/>
          <w:color w:val="000000"/>
          <w:kern w:val="0"/>
          <w:szCs w:val="32"/>
          <w:highlight w:val="none"/>
          <w:shd w:val="clear" w:color="auto" w:fill="FFFFFF"/>
          <w:lang w:val="zh-CN"/>
        </w:rPr>
        <w:t>支出情况</w:t>
      </w:r>
      <w:r>
        <w:rPr>
          <w:rFonts w:hint="default" w:ascii="Times New Roman" w:hAnsi="Times New Roman" w:eastAsia="楷体_GB2312" w:cs="Times New Roman"/>
          <w:b/>
          <w:bCs/>
          <w:color w:val="000000"/>
          <w:kern w:val="0"/>
          <w:szCs w:val="32"/>
          <w:highlight w:val="none"/>
          <w:shd w:val="clear" w:color="auto" w:fill="FFFFFF"/>
          <w:lang w:val="zh-CN"/>
        </w:rPr>
        <w:t>。</w:t>
      </w:r>
    </w:p>
    <w:p w14:paraId="6E0E7DF7">
      <w:pPr>
        <w:keepNext w:val="0"/>
        <w:keepLines w:val="0"/>
        <w:pageBreakBefore w:val="0"/>
        <w:numPr>
          <w:ilvl w:val="0"/>
          <w:numId w:val="0"/>
        </w:numPr>
        <w:kinsoku/>
        <w:wordWrap/>
        <w:overflowPunct/>
        <w:topLinePunct w:val="0"/>
        <w:autoSpaceDN/>
        <w:bidi w:val="0"/>
        <w:adjustRightInd/>
        <w:spacing w:line="560" w:lineRule="exact"/>
        <w:ind w:firstLine="640"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20</w:t>
      </w:r>
      <w:r>
        <w:rPr>
          <w:rFonts w:hint="eastAsia" w:ascii="仿宋_GB2312" w:hAnsi="仿宋_GB2312" w:eastAsia="仿宋_GB2312" w:cs="仿宋_GB2312"/>
          <w:sz w:val="32"/>
          <w:szCs w:val="32"/>
          <w:highlight w:val="none"/>
          <w:lang w:val="en-US" w:eastAsia="zh-CN"/>
        </w:rPr>
        <w:t>2</w:t>
      </w:r>
      <w:r>
        <w:rPr>
          <w:rFonts w:hint="eastAsia" w:ascii="仿宋_GB2312" w:hAnsi="仿宋_GB2312" w:cs="仿宋_GB2312"/>
          <w:sz w:val="32"/>
          <w:szCs w:val="32"/>
          <w:highlight w:val="none"/>
          <w:lang w:val="en-US" w:eastAsia="zh-CN"/>
        </w:rPr>
        <w:t>4</w:t>
      </w:r>
      <w:r>
        <w:rPr>
          <w:rFonts w:hint="eastAsia" w:ascii="仿宋_GB2312" w:hAnsi="仿宋_GB2312" w:eastAsia="仿宋_GB2312" w:cs="仿宋_GB2312"/>
          <w:sz w:val="32"/>
          <w:szCs w:val="32"/>
          <w:highlight w:val="none"/>
        </w:rPr>
        <w:t>年实际支出</w:t>
      </w:r>
      <w:r>
        <w:rPr>
          <w:rFonts w:hint="eastAsia" w:ascii="仿宋_GB2312" w:hAnsi="仿宋_GB2312" w:cs="仿宋_GB2312"/>
          <w:sz w:val="32"/>
          <w:szCs w:val="32"/>
          <w:highlight w:val="none"/>
          <w:lang w:val="en-US" w:eastAsia="zh-CN"/>
        </w:rPr>
        <w:t>1215.99</w:t>
      </w:r>
      <w:r>
        <w:rPr>
          <w:rFonts w:hint="eastAsia" w:ascii="仿宋_GB2312" w:hAnsi="仿宋_GB2312" w:eastAsia="仿宋_GB2312" w:cs="仿宋_GB2312"/>
          <w:sz w:val="32"/>
          <w:szCs w:val="32"/>
          <w:highlight w:val="none"/>
        </w:rPr>
        <w:t>万元。 按资金来源分析：其中财政拨款支出</w:t>
      </w:r>
      <w:r>
        <w:rPr>
          <w:rFonts w:hint="eastAsia" w:ascii="仿宋_GB2312" w:hAnsi="仿宋_GB2312" w:cs="仿宋_GB2312"/>
          <w:sz w:val="32"/>
          <w:szCs w:val="32"/>
          <w:highlight w:val="none"/>
          <w:lang w:val="en-US" w:eastAsia="zh-CN"/>
        </w:rPr>
        <w:t>1215.99万元；</w:t>
      </w:r>
      <w:r>
        <w:rPr>
          <w:rFonts w:hint="eastAsia" w:ascii="仿宋_GB2312" w:hAnsi="仿宋_GB2312" w:eastAsia="仿宋_GB2312" w:cs="仿宋_GB2312"/>
          <w:sz w:val="32"/>
          <w:szCs w:val="32"/>
          <w:highlight w:val="none"/>
        </w:rPr>
        <w:t>支出性质分析：基本支出</w:t>
      </w:r>
      <w:r>
        <w:rPr>
          <w:rFonts w:hint="eastAsia" w:ascii="仿宋_GB2312" w:hAnsi="仿宋_GB2312" w:cs="仿宋_GB2312"/>
          <w:sz w:val="32"/>
          <w:szCs w:val="32"/>
          <w:highlight w:val="none"/>
          <w:lang w:val="en-US" w:eastAsia="zh-CN"/>
        </w:rPr>
        <w:t>771.71</w:t>
      </w:r>
      <w:r>
        <w:rPr>
          <w:rFonts w:hint="eastAsia" w:ascii="仿宋_GB2312" w:hAnsi="仿宋_GB2312" w:eastAsia="仿宋_GB2312" w:cs="仿宋_GB2312"/>
          <w:sz w:val="32"/>
          <w:szCs w:val="32"/>
          <w:highlight w:val="none"/>
        </w:rPr>
        <w:t>万元，项目支出</w:t>
      </w:r>
      <w:r>
        <w:rPr>
          <w:rFonts w:hint="eastAsia" w:ascii="仿宋_GB2312" w:hAnsi="仿宋_GB2312" w:cs="仿宋_GB2312"/>
          <w:sz w:val="32"/>
          <w:szCs w:val="32"/>
          <w:highlight w:val="none"/>
          <w:lang w:val="en-US" w:eastAsia="zh-CN"/>
        </w:rPr>
        <w:t>1215.99</w:t>
      </w:r>
      <w:r>
        <w:rPr>
          <w:rFonts w:hint="eastAsia" w:ascii="仿宋_GB2312" w:hAnsi="仿宋_GB2312" w:eastAsia="仿宋_GB2312" w:cs="仿宋_GB2312"/>
          <w:sz w:val="32"/>
          <w:szCs w:val="32"/>
          <w:highlight w:val="none"/>
        </w:rPr>
        <w:t>万元；按支出经济分类分析：其中工资福利支出</w:t>
      </w:r>
      <w:r>
        <w:rPr>
          <w:rFonts w:hint="eastAsia" w:ascii="仿宋_GB2312" w:hAnsi="仿宋_GB2312" w:cs="仿宋_GB2312"/>
          <w:sz w:val="32"/>
          <w:szCs w:val="32"/>
          <w:highlight w:val="none"/>
          <w:lang w:val="en-US" w:eastAsia="zh-CN"/>
        </w:rPr>
        <w:t>683.56</w:t>
      </w:r>
      <w:r>
        <w:rPr>
          <w:rFonts w:hint="eastAsia" w:ascii="仿宋_GB2312" w:hAnsi="仿宋_GB2312" w:eastAsia="仿宋_GB2312" w:cs="仿宋_GB2312"/>
          <w:sz w:val="32"/>
          <w:szCs w:val="32"/>
          <w:highlight w:val="none"/>
        </w:rPr>
        <w:t>万元，商品和服务支出</w:t>
      </w:r>
      <w:r>
        <w:rPr>
          <w:rFonts w:hint="eastAsia" w:ascii="仿宋_GB2312" w:hAnsi="仿宋_GB2312" w:cs="仿宋_GB2312"/>
          <w:sz w:val="32"/>
          <w:szCs w:val="32"/>
          <w:highlight w:val="none"/>
          <w:lang w:val="en-US" w:eastAsia="zh-CN"/>
        </w:rPr>
        <w:t>143.68</w:t>
      </w:r>
      <w:r>
        <w:rPr>
          <w:rFonts w:hint="eastAsia" w:ascii="仿宋_GB2312" w:hAnsi="仿宋_GB2312" w:eastAsia="仿宋_GB2312" w:cs="仿宋_GB2312"/>
          <w:sz w:val="32"/>
          <w:szCs w:val="32"/>
          <w:highlight w:val="none"/>
        </w:rPr>
        <w:t>万元，对个人和家庭的补助支出</w:t>
      </w:r>
      <w:r>
        <w:rPr>
          <w:rFonts w:hint="eastAsia" w:ascii="仿宋_GB2312" w:hAnsi="仿宋_GB2312" w:cs="仿宋_GB2312"/>
          <w:sz w:val="32"/>
          <w:szCs w:val="32"/>
          <w:highlight w:val="none"/>
          <w:lang w:val="en-US" w:eastAsia="zh-CN"/>
        </w:rPr>
        <w:t>158.26</w:t>
      </w:r>
      <w:r>
        <w:rPr>
          <w:rFonts w:hint="eastAsia" w:ascii="仿宋_GB2312" w:hAnsi="仿宋_GB2312" w:eastAsia="仿宋_GB2312" w:cs="仿宋_GB2312"/>
          <w:sz w:val="32"/>
          <w:szCs w:val="32"/>
          <w:highlight w:val="none"/>
        </w:rPr>
        <w:t>万元</w:t>
      </w:r>
      <w:r>
        <w:rPr>
          <w:rFonts w:hint="eastAsia" w:ascii="仿宋_GB2312" w:hAnsi="仿宋_GB2312" w:eastAsia="仿宋_GB2312" w:cs="仿宋_GB2312"/>
          <w:sz w:val="32"/>
          <w:szCs w:val="32"/>
          <w:highlight w:val="none"/>
          <w:lang w:eastAsia="zh-CN"/>
        </w:rPr>
        <w:t>，资本性支出</w:t>
      </w:r>
      <w:r>
        <w:rPr>
          <w:rFonts w:hint="eastAsia" w:ascii="仿宋_GB2312" w:hAnsi="仿宋_GB2312" w:cs="仿宋_GB2312"/>
          <w:sz w:val="32"/>
          <w:szCs w:val="32"/>
          <w:highlight w:val="none"/>
          <w:lang w:val="en-US" w:eastAsia="zh-CN"/>
        </w:rPr>
        <w:t>230.49</w:t>
      </w:r>
      <w:r>
        <w:rPr>
          <w:rFonts w:hint="eastAsia" w:ascii="仿宋_GB2312" w:hAnsi="仿宋_GB2312" w:eastAsia="仿宋_GB2312" w:cs="仿宋_GB2312"/>
          <w:sz w:val="32"/>
          <w:szCs w:val="32"/>
          <w:highlight w:val="none"/>
          <w:lang w:val="en-US" w:eastAsia="zh-CN"/>
        </w:rPr>
        <w:t>万元</w:t>
      </w:r>
      <w:r>
        <w:rPr>
          <w:rFonts w:hint="eastAsia" w:ascii="仿宋_GB2312" w:hAnsi="仿宋_GB2312" w:eastAsia="仿宋_GB2312" w:cs="仿宋_GB2312"/>
          <w:sz w:val="32"/>
          <w:szCs w:val="32"/>
          <w:highlight w:val="none"/>
        </w:rPr>
        <w:t>。</w:t>
      </w:r>
    </w:p>
    <w:p w14:paraId="1B2396E9">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仿宋_GB2312" w:cs="Times New Roman"/>
          <w:b w:val="0"/>
          <w:bCs w:val="0"/>
          <w:color w:val="000000"/>
          <w:kern w:val="0"/>
          <w:szCs w:val="32"/>
          <w:highlight w:val="none"/>
          <w:shd w:val="clear" w:color="auto" w:fill="FFFFFF"/>
          <w:lang w:val="zh-CN" w:eastAsia="zh-CN"/>
        </w:rPr>
      </w:pPr>
      <w:r>
        <w:rPr>
          <w:rFonts w:hint="default" w:ascii="Times New Roman" w:hAnsi="Times New Roman" w:eastAsia="楷体_GB2312" w:cs="Times New Roman"/>
          <w:b/>
          <w:bCs/>
          <w:color w:val="000000"/>
          <w:kern w:val="0"/>
          <w:szCs w:val="32"/>
          <w:highlight w:val="none"/>
          <w:shd w:val="clear" w:color="auto" w:fill="FFFFFF"/>
          <w:lang w:val="zh-CN"/>
        </w:rPr>
        <w:t>（</w:t>
      </w:r>
      <w:r>
        <w:rPr>
          <w:rFonts w:hint="eastAsia" w:eastAsia="楷体_GB2312" w:cs="Times New Roman"/>
          <w:b/>
          <w:bCs/>
          <w:color w:val="000000"/>
          <w:kern w:val="0"/>
          <w:szCs w:val="32"/>
          <w:highlight w:val="none"/>
          <w:shd w:val="clear" w:color="auto" w:fill="FFFFFF"/>
          <w:lang w:val="zh-CN"/>
        </w:rPr>
        <w:t>三</w:t>
      </w:r>
      <w:r>
        <w:rPr>
          <w:rFonts w:hint="default" w:ascii="Times New Roman" w:hAnsi="Times New Roman" w:eastAsia="楷体_GB2312" w:cs="Times New Roman"/>
          <w:b/>
          <w:bCs/>
          <w:color w:val="000000"/>
          <w:kern w:val="0"/>
          <w:szCs w:val="32"/>
          <w:highlight w:val="none"/>
          <w:shd w:val="clear" w:color="auto" w:fill="FFFFFF"/>
          <w:lang w:val="zh-CN"/>
        </w:rPr>
        <w:t>）</w:t>
      </w:r>
      <w:r>
        <w:rPr>
          <w:rFonts w:hint="default" w:ascii="Times New Roman" w:hAnsi="Times New Roman" w:eastAsia="楷体_GB2312" w:cs="Times New Roman"/>
          <w:b/>
          <w:szCs w:val="32"/>
        </w:rPr>
        <w:t>结余分配和结转结余情况</w:t>
      </w:r>
      <w:r>
        <w:rPr>
          <w:rFonts w:hint="eastAsia" w:ascii="Times New Roman" w:hAnsi="Times New Roman" w:eastAsia="楷体_GB2312" w:cs="Times New Roman"/>
          <w:b/>
          <w:szCs w:val="32"/>
          <w:lang w:eastAsia="zh-CN"/>
        </w:rPr>
        <w:t>。</w:t>
      </w:r>
      <w:r>
        <w:rPr>
          <w:rFonts w:hint="eastAsia" w:cs="Times New Roman"/>
          <w:szCs w:val="32"/>
          <w:lang w:val="en-US" w:eastAsia="zh-CN"/>
        </w:rPr>
        <w:t>2024年</w:t>
      </w:r>
      <w:r>
        <w:rPr>
          <w:rFonts w:hint="eastAsia" w:ascii="Times New Roman" w:hAnsi="Times New Roman" w:cs="Times New Roman"/>
          <w:szCs w:val="32"/>
          <w:lang w:val="en-US" w:eastAsia="zh-CN"/>
        </w:rPr>
        <w:t>决算报表</w:t>
      </w:r>
      <w:r>
        <w:rPr>
          <w:rFonts w:hint="eastAsia" w:cs="Times New Roman"/>
          <w:szCs w:val="32"/>
          <w:lang w:val="en-US" w:eastAsia="zh-CN"/>
        </w:rPr>
        <w:t>无</w:t>
      </w:r>
      <w:r>
        <w:rPr>
          <w:rFonts w:hint="default" w:ascii="Times New Roman" w:hAnsi="Times New Roman" w:eastAsia="仿宋_GB2312" w:cs="Times New Roman"/>
          <w:b w:val="0"/>
          <w:bCs w:val="0"/>
          <w:color w:val="000000"/>
          <w:kern w:val="0"/>
          <w:szCs w:val="32"/>
          <w:highlight w:val="none"/>
          <w:shd w:val="clear" w:color="auto" w:fill="FFFFFF"/>
          <w:lang w:val="en-US" w:eastAsia="zh-CN"/>
        </w:rPr>
        <w:t>结转结余</w:t>
      </w:r>
      <w:r>
        <w:rPr>
          <w:rFonts w:hint="eastAsia" w:cs="Times New Roman"/>
          <w:b w:val="0"/>
          <w:bCs w:val="0"/>
          <w:color w:val="000000"/>
          <w:kern w:val="0"/>
          <w:szCs w:val="32"/>
          <w:highlight w:val="none"/>
          <w:shd w:val="clear" w:color="auto" w:fill="FFFFFF"/>
          <w:lang w:val="en-US" w:eastAsia="zh-CN"/>
        </w:rPr>
        <w:t>情况</w:t>
      </w:r>
      <w:r>
        <w:rPr>
          <w:rFonts w:hint="default" w:ascii="Times New Roman" w:hAnsi="Times New Roman" w:eastAsia="仿宋_GB2312" w:cs="Times New Roman"/>
          <w:b w:val="0"/>
          <w:bCs w:val="0"/>
          <w:color w:val="000000"/>
          <w:kern w:val="0"/>
          <w:szCs w:val="32"/>
          <w:highlight w:val="none"/>
          <w:shd w:val="clear" w:color="auto" w:fill="FFFFFF"/>
          <w:lang w:val="en-US" w:eastAsia="zh-CN"/>
        </w:rPr>
        <w:t>。</w:t>
      </w:r>
    </w:p>
    <w:p w14:paraId="7670C321">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themeColor="text1"/>
          <w:kern w:val="0"/>
          <w:szCs w:val="32"/>
          <w:highlight w:val="none"/>
          <w:shd w:val="clear" w:color="auto" w:fill="FFFFFF"/>
          <w14:textFill>
            <w14:solidFill>
              <w14:schemeClr w14:val="tx1"/>
            </w14:solidFill>
          </w14:textFill>
        </w:rPr>
      </w:pPr>
      <w:r>
        <w:rPr>
          <w:rFonts w:hint="default" w:ascii="Times New Roman" w:hAnsi="Times New Roman" w:eastAsia="黑体" w:cs="Times New Roman"/>
          <w:color w:val="000000"/>
          <w:kern w:val="0"/>
          <w:szCs w:val="32"/>
          <w:highlight w:val="none"/>
          <w:shd w:val="clear" w:color="auto" w:fill="FFFFFF"/>
        </w:rPr>
        <w:t>三、</w:t>
      </w:r>
      <w:r>
        <w:rPr>
          <w:rFonts w:hint="default" w:ascii="Times New Roman" w:hAnsi="Times New Roman" w:eastAsia="黑体" w:cs="Times New Roman"/>
          <w:color w:val="000000"/>
          <w:kern w:val="0"/>
          <w:szCs w:val="32"/>
          <w:highlight w:val="none"/>
          <w:u w:val="none"/>
          <w:shd w:val="clear" w:color="auto" w:fill="FFFFFF"/>
        </w:rPr>
        <w:t>部门</w:t>
      </w:r>
      <w:r>
        <w:rPr>
          <w:rFonts w:hint="default" w:ascii="Times New Roman" w:hAnsi="Times New Roman" w:eastAsia="黑体" w:cs="Times New Roman"/>
          <w:color w:val="000000"/>
          <w:kern w:val="0"/>
          <w:szCs w:val="32"/>
          <w:highlight w:val="none"/>
          <w:u w:val="none"/>
          <w:shd w:val="clear" w:color="auto" w:fill="FFFFFF"/>
          <w:lang w:eastAsia="zh-CN"/>
        </w:rPr>
        <w:t>预算</w:t>
      </w:r>
      <w:r>
        <w:rPr>
          <w:rFonts w:hint="default" w:ascii="Times New Roman" w:hAnsi="Times New Roman" w:eastAsia="黑体" w:cs="Times New Roman"/>
          <w:color w:val="000000"/>
          <w:kern w:val="0"/>
          <w:szCs w:val="32"/>
          <w:highlight w:val="none"/>
          <w:u w:val="none"/>
          <w:shd w:val="clear" w:color="auto" w:fill="FFFFFF"/>
        </w:rPr>
        <w:t>绩效</w:t>
      </w:r>
      <w:r>
        <w:rPr>
          <w:rFonts w:hint="default" w:ascii="Times New Roman" w:hAnsi="Times New Roman" w:eastAsia="黑体" w:cs="Times New Roman"/>
          <w:color w:val="000000"/>
          <w:kern w:val="0"/>
          <w:szCs w:val="32"/>
          <w:highlight w:val="none"/>
          <w:u w:val="none"/>
          <w:shd w:val="clear" w:color="auto" w:fill="FFFFFF"/>
          <w:lang w:eastAsia="zh-CN"/>
        </w:rPr>
        <w:t>分析</w:t>
      </w:r>
    </w:p>
    <w:p w14:paraId="350137CA">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cs="Times New Roman"/>
          <w:color w:val="000000"/>
          <w:kern w:val="0"/>
          <w:szCs w:val="32"/>
          <w:highlight w:val="none"/>
          <w:shd w:val="clear" w:color="auto" w:fill="FFFFFF"/>
          <w:lang w:val="zh-CN"/>
        </w:rPr>
      </w:pPr>
      <w:r>
        <w:rPr>
          <w:rFonts w:hint="default" w:ascii="Times New Roman" w:hAnsi="Times New Roman" w:eastAsia="楷体_GB2312" w:cs="Times New Roman"/>
          <w:b/>
          <w:bCs/>
          <w:color w:val="000000"/>
          <w:kern w:val="0"/>
          <w:szCs w:val="32"/>
          <w:highlight w:val="none"/>
          <w:shd w:val="clear" w:color="auto" w:fill="FFFFFF"/>
          <w:lang w:val="zh-CN"/>
        </w:rPr>
        <w:t>（一）</w:t>
      </w:r>
      <w:r>
        <w:rPr>
          <w:rFonts w:hint="eastAsia" w:eastAsia="楷体_GB2312" w:cs="Times New Roman"/>
          <w:b/>
          <w:bCs/>
          <w:color w:val="000000"/>
          <w:kern w:val="0"/>
          <w:szCs w:val="32"/>
          <w:highlight w:val="none"/>
          <w:shd w:val="clear" w:color="auto" w:fill="FFFFFF"/>
          <w:lang w:val="zh-CN"/>
        </w:rPr>
        <w:t>部门预算</w:t>
      </w:r>
      <w:r>
        <w:rPr>
          <w:rFonts w:hint="default" w:ascii="Times New Roman" w:hAnsi="Times New Roman" w:eastAsia="楷体_GB2312" w:cs="Times New Roman"/>
          <w:b/>
          <w:bCs/>
          <w:color w:val="000000"/>
          <w:kern w:val="0"/>
          <w:szCs w:val="32"/>
          <w:highlight w:val="none"/>
          <w:shd w:val="clear" w:color="auto" w:fill="FFFFFF"/>
          <w:lang w:val="zh-CN"/>
        </w:rPr>
        <w:t>总体绩效分析。</w:t>
      </w:r>
      <w:r>
        <w:rPr>
          <w:rFonts w:hint="default" w:ascii="Times New Roman" w:hAnsi="Times New Roman" w:cs="Times New Roman"/>
          <w:color w:val="000000"/>
          <w:kern w:val="0"/>
          <w:szCs w:val="32"/>
          <w:highlight w:val="none"/>
          <w:shd w:val="clear" w:color="auto" w:fill="FFFFFF"/>
          <w:lang w:val="zh-CN"/>
        </w:rPr>
        <w:t>根据部门预算绩效评价指标体系“总体绩效”涉及</w:t>
      </w:r>
      <w:r>
        <w:rPr>
          <w:rFonts w:hint="eastAsia" w:ascii="Times New Roman" w:hAnsi="Times New Roman" w:cs="Times New Roman"/>
          <w:color w:val="000000"/>
          <w:kern w:val="0"/>
          <w:szCs w:val="32"/>
          <w:highlight w:val="none"/>
          <w:shd w:val="clear" w:color="auto" w:fill="FFFFFF"/>
          <w:lang w:val="zh-CN"/>
        </w:rPr>
        <w:t>二、三级</w:t>
      </w:r>
      <w:r>
        <w:rPr>
          <w:rFonts w:hint="default" w:ascii="Times New Roman" w:hAnsi="Times New Roman" w:cs="Times New Roman"/>
          <w:color w:val="000000"/>
          <w:kern w:val="0"/>
          <w:szCs w:val="32"/>
          <w:highlight w:val="none"/>
          <w:shd w:val="clear" w:color="auto" w:fill="FFFFFF"/>
          <w:lang w:val="zh-CN"/>
        </w:rPr>
        <w:t>指标进行</w:t>
      </w:r>
      <w:r>
        <w:rPr>
          <w:rFonts w:hint="eastAsia" w:ascii="Times New Roman" w:hAnsi="Times New Roman" w:cs="Times New Roman"/>
          <w:color w:val="000000"/>
          <w:kern w:val="0"/>
          <w:szCs w:val="32"/>
          <w:highlight w:val="none"/>
          <w:shd w:val="clear" w:color="auto" w:fill="FFFFFF"/>
          <w:lang w:val="zh-CN"/>
        </w:rPr>
        <w:t>逐项</w:t>
      </w:r>
      <w:r>
        <w:rPr>
          <w:rFonts w:hint="default" w:ascii="Times New Roman" w:hAnsi="Times New Roman" w:cs="Times New Roman"/>
          <w:color w:val="000000"/>
          <w:kern w:val="0"/>
          <w:szCs w:val="32"/>
          <w:highlight w:val="none"/>
          <w:shd w:val="clear" w:color="auto" w:fill="FFFFFF"/>
          <w:lang w:val="zh-CN"/>
        </w:rPr>
        <w:t>绩效分析</w:t>
      </w:r>
      <w:r>
        <w:rPr>
          <w:rFonts w:hint="eastAsia" w:cs="Times New Roman"/>
          <w:color w:val="000000"/>
          <w:kern w:val="0"/>
          <w:szCs w:val="32"/>
          <w:highlight w:val="none"/>
          <w:shd w:val="clear" w:color="auto" w:fill="FFFFFF"/>
          <w:lang w:val="zh-CN"/>
        </w:rPr>
        <w:t>并评分</w:t>
      </w:r>
      <w:r>
        <w:rPr>
          <w:rFonts w:hint="default" w:ascii="Times New Roman" w:hAnsi="Times New Roman" w:cs="Times New Roman"/>
          <w:color w:val="000000"/>
          <w:kern w:val="0"/>
          <w:szCs w:val="32"/>
          <w:highlight w:val="none"/>
          <w:shd w:val="clear" w:color="auto" w:fill="FFFFFF"/>
          <w:lang w:val="zh-CN"/>
        </w:rPr>
        <w:t>，依次包括履职效能、预算管理、财务管理、资产管理、采购管理等情况。</w:t>
      </w:r>
    </w:p>
    <w:p w14:paraId="0BDB3CA1">
      <w:pPr>
        <w:keepNext w:val="0"/>
        <w:keepLines w:val="0"/>
        <w:pageBreakBefore w:val="0"/>
        <w:widowControl w:val="0"/>
        <w:kinsoku/>
        <w:wordWrap/>
        <w:overflowPunct/>
        <w:topLinePunct w:val="0"/>
        <w:autoSpaceDE/>
        <w:autoSpaceDN/>
        <w:adjustRightInd w:val="0"/>
        <w:snapToGrid w:val="0"/>
        <w:spacing w:line="576" w:lineRule="exact"/>
        <w:ind w:left="0" w:firstLine="640" w:firstLineChars="200"/>
        <w:rPr>
          <w:rFonts w:hint="eastAsia" w:ascii="楷体_GB2312" w:eastAsia="楷体_GB2312" w:cs="楷体_GB2312"/>
          <w:color w:val="000000"/>
          <w:kern w:val="0"/>
          <w:szCs w:val="32"/>
          <w:highlight w:val="none"/>
          <w:shd w:val="clear" w:color="auto" w:fill="FFFFFF"/>
          <w:lang w:val="zh-CN"/>
        </w:rPr>
      </w:pPr>
      <w:r>
        <w:rPr>
          <w:rFonts w:hint="eastAsia" w:ascii="楷体_GB2312" w:eastAsia="楷体_GB2312" w:cs="楷体_GB2312"/>
          <w:color w:val="000000"/>
          <w:kern w:val="0"/>
          <w:szCs w:val="32"/>
          <w:highlight w:val="none"/>
          <w:shd w:val="clear" w:color="auto" w:fill="FFFFFF"/>
          <w:lang w:val="en-US" w:eastAsia="zh-CN"/>
        </w:rPr>
        <w:t>1.</w:t>
      </w:r>
      <w:r>
        <w:rPr>
          <w:rFonts w:hint="eastAsia" w:ascii="楷体_GB2312" w:eastAsia="楷体_GB2312" w:cs="楷体_GB2312"/>
          <w:color w:val="000000"/>
          <w:kern w:val="0"/>
          <w:szCs w:val="32"/>
          <w:highlight w:val="none"/>
          <w:shd w:val="clear" w:color="auto" w:fill="FFFFFF"/>
          <w:lang w:val="zh-CN"/>
        </w:rPr>
        <w:t>履职效能。</w:t>
      </w:r>
    </w:p>
    <w:p w14:paraId="72B90C2B">
      <w:pPr>
        <w:keepNext w:val="0"/>
        <w:keepLines w:val="0"/>
        <w:pageBreakBefore w:val="0"/>
        <w:widowControl w:val="0"/>
        <w:kinsoku/>
        <w:wordWrap/>
        <w:overflowPunct/>
        <w:topLinePunct w:val="0"/>
        <w:autoSpaceDE/>
        <w:autoSpaceDN/>
        <w:adjustRightInd w:val="0"/>
        <w:snapToGrid w:val="0"/>
        <w:spacing w:line="576" w:lineRule="exact"/>
        <w:ind w:left="0" w:firstLine="640" w:firstLineChars="200"/>
        <w:rPr>
          <w:rFonts w:hint="eastAsia" w:ascii="仿宋_GB2312" w:cs="仿宋_GB2312"/>
          <w:szCs w:val="32"/>
        </w:rPr>
      </w:pPr>
      <w:r>
        <w:rPr>
          <w:rFonts w:hint="eastAsia" w:ascii="仿宋_GB2312" w:eastAsia="仿宋_GB2312" w:cs="仿宋_GB2312"/>
          <w:sz w:val="32"/>
          <w:szCs w:val="32"/>
          <w:lang w:bidi="ar-SA"/>
        </w:rPr>
        <w:t>202</w:t>
      </w:r>
      <w:r>
        <w:rPr>
          <w:rFonts w:hint="eastAsia" w:ascii="仿宋_GB2312" w:cs="仿宋_GB2312"/>
          <w:sz w:val="32"/>
          <w:szCs w:val="32"/>
          <w:lang w:val="en-US" w:eastAsia="zh-CN" w:bidi="ar-SA"/>
        </w:rPr>
        <w:t>4</w:t>
      </w:r>
      <w:r>
        <w:rPr>
          <w:rFonts w:hint="eastAsia" w:ascii="仿宋_GB2312" w:eastAsia="仿宋_GB2312" w:cs="仿宋_GB2312"/>
          <w:sz w:val="32"/>
          <w:szCs w:val="32"/>
          <w:lang w:bidi="ar-SA"/>
        </w:rPr>
        <w:t>年主要</w:t>
      </w:r>
      <w:r>
        <w:rPr>
          <w:rFonts w:hint="eastAsia" w:ascii="仿宋_GB2312" w:cs="仿宋_GB2312"/>
          <w:sz w:val="32"/>
          <w:szCs w:val="32"/>
          <w:lang w:val="en-US" w:eastAsia="zh-CN" w:bidi="ar-SA"/>
        </w:rPr>
        <w:t>完成</w:t>
      </w:r>
      <w:r>
        <w:rPr>
          <w:rFonts w:hint="eastAsia" w:ascii="仿宋_GB2312" w:eastAsia="仿宋_GB2312" w:cs="仿宋_GB2312"/>
          <w:sz w:val="32"/>
          <w:szCs w:val="32"/>
          <w:lang w:bidi="ar-SA"/>
        </w:rPr>
        <w:t>工作:</w:t>
      </w:r>
      <w:r>
        <w:rPr>
          <w:rFonts w:hint="eastAsia" w:ascii="仿宋_GB2312" w:eastAsia="仿宋_GB2312" w:cs="仿宋_GB2312"/>
          <w:b/>
          <w:bCs w:val="0"/>
          <w:sz w:val="32"/>
          <w:szCs w:val="32"/>
          <w:lang w:bidi="ar-SA"/>
        </w:rPr>
        <w:t>一是</w:t>
      </w:r>
      <w:r>
        <w:rPr>
          <w:rFonts w:hint="eastAsia" w:ascii="仿宋_GB2312" w:eastAsia="仿宋_GB2312" w:cs="仿宋_GB2312"/>
          <w:bCs/>
          <w:sz w:val="32"/>
          <w:szCs w:val="32"/>
          <w:lang w:bidi="ar-SA"/>
        </w:rPr>
        <w:t>抓好脱贫攻坚与乡村振兴有效衔接工作</w:t>
      </w:r>
      <w:r>
        <w:rPr>
          <w:rFonts w:hint="eastAsia" w:ascii="仿宋_GB2312" w:eastAsia="仿宋_GB2312" w:cs="仿宋_GB2312"/>
          <w:sz w:val="32"/>
          <w:szCs w:val="32"/>
          <w:lang w:bidi="ar-SA"/>
        </w:rPr>
        <w:t>。</w:t>
      </w:r>
      <w:r>
        <w:rPr>
          <w:rFonts w:hint="eastAsia" w:ascii="仿宋_GB2312" w:eastAsia="仿宋_GB2312" w:cs="仿宋_GB2312"/>
          <w:b/>
          <w:bCs/>
          <w:sz w:val="32"/>
          <w:szCs w:val="32"/>
          <w:lang w:bidi="ar-SA"/>
        </w:rPr>
        <w:t>二是</w:t>
      </w:r>
      <w:r>
        <w:rPr>
          <w:rFonts w:hint="eastAsia" w:ascii="仿宋_GB2312" w:eastAsia="仿宋_GB2312" w:cs="仿宋_GB2312"/>
          <w:sz w:val="32"/>
          <w:szCs w:val="32"/>
          <w:lang w:bidi="ar-SA"/>
        </w:rPr>
        <w:t>抓好基层组织建设，夯实执政根基。</w:t>
      </w:r>
      <w:r>
        <w:rPr>
          <w:rFonts w:hint="eastAsia" w:ascii="仿宋_GB2312" w:eastAsia="仿宋_GB2312" w:cs="仿宋_GB2312"/>
          <w:b/>
          <w:bCs/>
          <w:sz w:val="32"/>
          <w:szCs w:val="32"/>
          <w:lang w:bidi="ar-SA"/>
        </w:rPr>
        <w:t>三是</w:t>
      </w:r>
      <w:r>
        <w:rPr>
          <w:rFonts w:hint="eastAsia" w:ascii="仿宋_GB2312" w:eastAsia="仿宋_GB2312" w:cs="仿宋_GB2312"/>
          <w:sz w:val="32"/>
          <w:szCs w:val="32"/>
          <w:lang w:bidi="ar-SA"/>
        </w:rPr>
        <w:t>推进社会事业发展，切实保障民生。</w:t>
      </w:r>
      <w:r>
        <w:rPr>
          <w:rFonts w:hint="eastAsia" w:ascii="仿宋_GB2312" w:eastAsia="仿宋_GB2312" w:cs="仿宋_GB2312"/>
          <w:b/>
          <w:bCs/>
          <w:sz w:val="32"/>
          <w:szCs w:val="32"/>
          <w:lang w:bidi="ar-SA"/>
        </w:rPr>
        <w:t>四是</w:t>
      </w:r>
      <w:r>
        <w:rPr>
          <w:rFonts w:hint="eastAsia" w:ascii="仿宋_GB2312" w:eastAsia="仿宋_GB2312" w:cs="仿宋_GB2312"/>
          <w:sz w:val="32"/>
          <w:szCs w:val="32"/>
          <w:lang w:bidi="ar-SA"/>
        </w:rPr>
        <w:t>推进产业结构调整，助力群众增收。</w:t>
      </w:r>
      <w:r>
        <w:rPr>
          <w:rFonts w:hint="eastAsia" w:ascii="仿宋_GB2312" w:eastAsia="仿宋_GB2312" w:cs="仿宋_GB2312"/>
          <w:b/>
          <w:bCs/>
          <w:sz w:val="32"/>
          <w:szCs w:val="32"/>
          <w:lang w:bidi="ar-SA"/>
        </w:rPr>
        <w:t>五是</w:t>
      </w:r>
      <w:r>
        <w:rPr>
          <w:rFonts w:hint="eastAsia" w:ascii="仿宋_GB2312" w:eastAsia="仿宋_GB2312" w:cs="仿宋_GB2312"/>
          <w:sz w:val="32"/>
          <w:szCs w:val="32"/>
          <w:lang w:bidi="ar-SA"/>
        </w:rPr>
        <w:t>增强社会保障功能，落实民生政策。</w:t>
      </w:r>
      <w:r>
        <w:rPr>
          <w:rFonts w:hint="eastAsia" w:ascii="仿宋_GB2312" w:eastAsia="仿宋_GB2312" w:cs="仿宋_GB2312"/>
          <w:b/>
          <w:bCs/>
          <w:sz w:val="32"/>
          <w:szCs w:val="32"/>
          <w:lang w:bidi="ar-SA"/>
        </w:rPr>
        <w:t>六是</w:t>
      </w:r>
      <w:r>
        <w:rPr>
          <w:rFonts w:hint="eastAsia" w:ascii="仿宋_GB2312" w:eastAsia="仿宋_GB2312" w:cs="仿宋_GB2312"/>
          <w:sz w:val="32"/>
          <w:szCs w:val="32"/>
          <w:lang w:bidi="ar-SA"/>
        </w:rPr>
        <w:t>继续加强城镇环境综合整治工作，动员广大干部群众积极参与环境整治活动，不断提高村民文明卫生素质，提升对外形象。</w:t>
      </w:r>
      <w:r>
        <w:rPr>
          <w:rFonts w:hint="eastAsia" w:ascii="仿宋_GB2312" w:eastAsia="仿宋_GB2312" w:cs="仿宋_GB2312"/>
          <w:b/>
          <w:bCs/>
          <w:sz w:val="32"/>
          <w:szCs w:val="32"/>
          <w:lang w:bidi="ar-SA"/>
        </w:rPr>
        <w:t>七是</w:t>
      </w:r>
      <w:r>
        <w:rPr>
          <w:rFonts w:hint="eastAsia" w:ascii="仿宋_GB2312" w:eastAsia="仿宋_GB2312" w:cs="仿宋_GB2312"/>
          <w:sz w:val="32"/>
          <w:szCs w:val="32"/>
          <w:lang w:bidi="ar-SA"/>
        </w:rPr>
        <w:t>做好社会维稳工作，努力把群众信访诉求解决在初始阶段和基层，妥善处理社会矛盾纠纷和群</w:t>
      </w:r>
      <w:r>
        <w:rPr>
          <w:rFonts w:hint="eastAsia" w:ascii="仿宋_GB2312" w:eastAsia="仿宋_GB2312" w:cs="仿宋_GB2312"/>
          <w:sz w:val="32"/>
          <w:szCs w:val="32"/>
          <w:lang w:val="en-US" w:eastAsia="zh-CN" w:bidi="ar-SA"/>
        </w:rPr>
        <w:t>体</w:t>
      </w:r>
      <w:r>
        <w:rPr>
          <w:rFonts w:hint="eastAsia" w:ascii="仿宋_GB2312" w:eastAsia="仿宋_GB2312" w:cs="仿宋_GB2312"/>
          <w:sz w:val="32"/>
          <w:szCs w:val="32"/>
          <w:lang w:bidi="ar-SA"/>
        </w:rPr>
        <w:t>性事件。</w:t>
      </w:r>
      <w:r>
        <w:rPr>
          <w:rFonts w:hint="eastAsia" w:ascii="仿宋_GB2312" w:eastAsia="仿宋_GB2312" w:cs="仿宋_GB2312"/>
          <w:b/>
          <w:bCs/>
          <w:sz w:val="32"/>
          <w:szCs w:val="32"/>
          <w:lang w:bidi="ar-SA"/>
        </w:rPr>
        <w:t>八是</w:t>
      </w:r>
      <w:r>
        <w:rPr>
          <w:rFonts w:hint="eastAsia" w:ascii="仿宋_GB2312" w:eastAsia="仿宋_GB2312" w:cs="仿宋_GB2312"/>
          <w:sz w:val="32"/>
          <w:szCs w:val="32"/>
          <w:lang w:bidi="ar-SA"/>
        </w:rPr>
        <w:t>狠抓安全生产工作，全面落实安全生产责任制，杜绝重大安全事故的发生</w:t>
      </w:r>
      <w:r>
        <w:rPr>
          <w:rFonts w:ascii="仿宋_GB2312" w:eastAsia="仿宋_GB2312" w:cs="仿宋_GB2312"/>
          <w:sz w:val="32"/>
          <w:szCs w:val="32"/>
          <w:lang w:bidi="ar-SA"/>
        </w:rPr>
        <w:t>,履职效能</w:t>
      </w:r>
      <w:r>
        <w:rPr>
          <w:rFonts w:hint="eastAsia" w:ascii="仿宋_GB2312" w:eastAsia="仿宋_GB2312" w:cs="仿宋_GB2312"/>
          <w:sz w:val="32"/>
          <w:szCs w:val="32"/>
        </w:rPr>
        <w:t>该项指标得分</w:t>
      </w:r>
      <w:r>
        <w:rPr>
          <w:rFonts w:ascii="仿宋_GB2312" w:eastAsia="仿宋_GB2312" w:cs="仿宋_GB2312"/>
          <w:sz w:val="32"/>
          <w:szCs w:val="32"/>
        </w:rPr>
        <w:t>15</w:t>
      </w:r>
      <w:r>
        <w:rPr>
          <w:rFonts w:hint="eastAsia" w:ascii="仿宋_GB2312" w:eastAsia="仿宋_GB2312" w:cs="仿宋_GB2312"/>
          <w:sz w:val="32"/>
          <w:szCs w:val="32"/>
        </w:rPr>
        <w:t>分。</w:t>
      </w:r>
    </w:p>
    <w:p w14:paraId="23D113E9">
      <w:pPr>
        <w:keepNext w:val="0"/>
        <w:keepLines w:val="0"/>
        <w:pageBreakBefore w:val="0"/>
        <w:widowControl w:val="0"/>
        <w:numPr>
          <w:ilvl w:val="0"/>
          <w:numId w:val="2"/>
        </w:numPr>
        <w:kinsoku/>
        <w:wordWrap/>
        <w:overflowPunct/>
        <w:topLinePunct w:val="0"/>
        <w:autoSpaceDE/>
        <w:autoSpaceDN/>
        <w:bidi w:val="0"/>
        <w:adjustRightInd/>
        <w:snapToGrid w:val="0"/>
        <w:spacing w:line="560" w:lineRule="exact"/>
        <w:ind w:firstLine="640" w:firstLineChars="200"/>
        <w:jc w:val="both"/>
        <w:textAlignment w:val="auto"/>
        <w:outlineLvl w:val="9"/>
        <w:rPr>
          <w:rFonts w:hint="eastAsia" w:ascii="楷体_GB2312" w:eastAsia="楷体_GB2312" w:cs="楷体_GB2312"/>
          <w:color w:val="000000"/>
          <w:kern w:val="0"/>
          <w:szCs w:val="32"/>
          <w:highlight w:val="none"/>
          <w:shd w:val="clear" w:color="auto" w:fill="FFFFFF"/>
          <w:lang w:val="zh-CN"/>
        </w:rPr>
      </w:pPr>
      <w:r>
        <w:rPr>
          <w:rFonts w:ascii="楷体_GB2312" w:eastAsia="楷体_GB2312" w:cs="楷体_GB2312"/>
          <w:color w:val="000000"/>
          <w:kern w:val="0"/>
          <w:szCs w:val="32"/>
          <w:highlight w:val="none"/>
          <w:shd w:val="clear" w:color="auto" w:fill="FFFFFF"/>
          <w:lang w:val="zh-CN"/>
        </w:rPr>
        <w:t>预算管理</w:t>
      </w:r>
      <w:r>
        <w:rPr>
          <w:rFonts w:hint="eastAsia" w:ascii="楷体_GB2312" w:eastAsia="楷体_GB2312" w:cs="楷体_GB2312"/>
          <w:color w:val="000000"/>
          <w:kern w:val="0"/>
          <w:szCs w:val="32"/>
          <w:highlight w:val="none"/>
          <w:shd w:val="clear" w:color="auto" w:fill="FFFFFF"/>
          <w:lang w:val="zh-CN"/>
        </w:rPr>
        <w:t>。</w:t>
      </w:r>
    </w:p>
    <w:p w14:paraId="1202CA58">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jc w:val="both"/>
        <w:textAlignment w:val="auto"/>
        <w:outlineLvl w:val="9"/>
        <w:rPr>
          <w:rFonts w:hint="eastAsia" w:ascii="仿宋" w:hAnsi="仿宋" w:eastAsia="仿宋"/>
          <w:sz w:val="32"/>
          <w:szCs w:val="32"/>
          <w:highlight w:val="none"/>
          <w:lang w:val="en-US" w:eastAsia="zh-CN"/>
        </w:rPr>
      </w:pPr>
      <w:r>
        <w:rPr>
          <w:rFonts w:hint="eastAsia" w:ascii="仿宋" w:hAnsi="仿宋" w:eastAsia="仿宋"/>
          <w:sz w:val="32"/>
          <w:szCs w:val="32"/>
          <w:highlight w:val="none"/>
          <w:lang w:val="en-US" w:eastAsia="zh-CN"/>
        </w:rPr>
        <w:t>预算编制质量</w:t>
      </w:r>
      <w:r>
        <w:rPr>
          <w:rFonts w:hint="default" w:ascii="仿宋" w:hAnsi="仿宋" w:eastAsia="仿宋"/>
          <w:sz w:val="32"/>
          <w:szCs w:val="32"/>
          <w:highlight w:val="none"/>
          <w:lang w:val="zh-CN" w:eastAsia="zh-CN"/>
        </w:rPr>
        <w:t>：</w:t>
      </w:r>
      <w:r>
        <w:rPr>
          <w:rFonts w:hint="eastAsia" w:ascii="仿宋" w:hAnsi="仿宋" w:eastAsia="仿宋"/>
          <w:sz w:val="32"/>
          <w:szCs w:val="32"/>
          <w:highlight w:val="none"/>
          <w:lang w:val="en-US" w:eastAsia="zh-CN"/>
        </w:rPr>
        <w:t>2024年乡以财为本、依法履职，主动靠前加强部门预算编制工作，以文件为基础、以定额为标准、根据工作量合理编制部门预算，较好的完成了预算编制工作。年初未做预算采购计划，有偏离度</w:t>
      </w:r>
      <w:r>
        <w:rPr>
          <w:rFonts w:hint="eastAsia" w:ascii="仿宋" w:hAnsi="仿宋" w:eastAsia="仿宋"/>
          <w:sz w:val="32"/>
          <w:szCs w:val="32"/>
          <w:highlight w:val="none"/>
          <w:lang w:val="zh-CN" w:eastAsia="zh-CN"/>
        </w:rPr>
        <w:t>该，扣除</w:t>
      </w:r>
      <w:r>
        <w:rPr>
          <w:rFonts w:hint="eastAsia" w:ascii="仿宋" w:hAnsi="仿宋" w:eastAsia="仿宋"/>
          <w:sz w:val="32"/>
          <w:szCs w:val="32"/>
          <w:highlight w:val="none"/>
          <w:lang w:val="en-US" w:eastAsia="zh-CN"/>
        </w:rPr>
        <w:t>1分，</w:t>
      </w:r>
      <w:r>
        <w:rPr>
          <w:rFonts w:hint="eastAsia" w:ascii="仿宋" w:hAnsi="仿宋" w:eastAsia="仿宋"/>
          <w:sz w:val="32"/>
          <w:szCs w:val="32"/>
          <w:highlight w:val="none"/>
          <w:lang w:val="zh-CN" w:eastAsia="zh-CN"/>
        </w:rPr>
        <w:t>项自评得分为</w:t>
      </w:r>
      <w:r>
        <w:rPr>
          <w:rFonts w:hint="eastAsia" w:ascii="仿宋" w:hAnsi="仿宋" w:eastAsia="仿宋"/>
          <w:sz w:val="32"/>
          <w:szCs w:val="32"/>
          <w:highlight w:val="none"/>
          <w:lang w:val="en-US" w:eastAsia="zh-CN"/>
        </w:rPr>
        <w:t>7分。</w:t>
      </w:r>
    </w:p>
    <w:p w14:paraId="470F321E">
      <w:pPr>
        <w:keepNext w:val="0"/>
        <w:keepLines w:val="0"/>
        <w:pageBreakBefore w:val="0"/>
        <w:numPr>
          <w:ilvl w:val="0"/>
          <w:numId w:val="0"/>
        </w:numPr>
        <w:kinsoku/>
        <w:wordWrap/>
        <w:overflowPunct/>
        <w:topLinePunct w:val="0"/>
        <w:autoSpaceDE/>
        <w:autoSpaceDN/>
        <w:bidi w:val="0"/>
        <w:adjustRightInd/>
        <w:snapToGrid w:val="0"/>
        <w:spacing w:line="560" w:lineRule="exact"/>
        <w:ind w:firstLine="640" w:firstLineChars="200"/>
        <w:jc w:val="both"/>
        <w:textAlignment w:val="auto"/>
        <w:rPr>
          <w:rFonts w:hint="eastAsia" w:ascii="仿宋" w:hAnsi="仿宋" w:eastAsia="仿宋"/>
          <w:sz w:val="32"/>
          <w:szCs w:val="32"/>
          <w:highlight w:val="none"/>
          <w:lang w:val="zh-CN" w:eastAsia="zh-CN"/>
        </w:rPr>
      </w:pPr>
      <w:r>
        <w:rPr>
          <w:rFonts w:hint="eastAsia" w:ascii="仿宋" w:hAnsi="仿宋" w:eastAsia="仿宋"/>
          <w:sz w:val="32"/>
          <w:szCs w:val="32"/>
          <w:highlight w:val="none"/>
          <w:lang w:val="en-US" w:eastAsia="zh-CN"/>
        </w:rPr>
        <w:t>单位收入统筹</w:t>
      </w:r>
      <w:r>
        <w:rPr>
          <w:rFonts w:hint="default" w:ascii="仿宋" w:hAnsi="仿宋" w:eastAsia="仿宋"/>
          <w:sz w:val="32"/>
          <w:szCs w:val="32"/>
          <w:highlight w:val="none"/>
          <w:lang w:eastAsia="zh-CN"/>
        </w:rPr>
        <w:t>：</w:t>
      </w:r>
      <w:r>
        <w:rPr>
          <w:rFonts w:hint="eastAsia" w:ascii="仿宋" w:hAnsi="仿宋" w:eastAsia="仿宋"/>
          <w:sz w:val="32"/>
          <w:szCs w:val="32"/>
          <w:highlight w:val="none"/>
          <w:lang w:val="en-US" w:eastAsia="zh-CN"/>
        </w:rPr>
        <w:t>该年度我</w:t>
      </w:r>
      <w:r>
        <w:rPr>
          <w:rFonts w:hint="eastAsia" w:ascii="仿宋" w:hAnsi="仿宋" w:eastAsia="仿宋"/>
          <w:sz w:val="32"/>
          <w:szCs w:val="32"/>
          <w:highlight w:val="none"/>
          <w:lang w:val="zh-CN" w:eastAsia="zh-CN"/>
        </w:rPr>
        <w:t>单位无自</w:t>
      </w:r>
      <w:r>
        <w:rPr>
          <w:rFonts w:hint="default" w:ascii="仿宋" w:hAnsi="仿宋" w:eastAsia="仿宋"/>
          <w:sz w:val="32"/>
          <w:szCs w:val="32"/>
          <w:highlight w:val="none"/>
          <w:lang w:eastAsia="zh-CN"/>
        </w:rPr>
        <w:t>有</w:t>
      </w:r>
      <w:r>
        <w:rPr>
          <w:rFonts w:hint="eastAsia" w:ascii="仿宋" w:hAnsi="仿宋" w:eastAsia="仿宋"/>
          <w:sz w:val="32"/>
          <w:szCs w:val="32"/>
          <w:highlight w:val="none"/>
          <w:lang w:val="zh-CN" w:eastAsia="zh-CN"/>
        </w:rPr>
        <w:t>收入。</w:t>
      </w:r>
      <w:r>
        <w:rPr>
          <w:rFonts w:hint="eastAsia" w:ascii="仿宋" w:hAnsi="仿宋" w:eastAsia="仿宋"/>
          <w:sz w:val="32"/>
          <w:szCs w:val="32"/>
          <w:highlight w:val="none"/>
          <w:lang w:eastAsia="zh-CN"/>
        </w:rPr>
        <w:t>该项</w:t>
      </w:r>
      <w:r>
        <w:rPr>
          <w:rFonts w:hint="eastAsia" w:ascii="仿宋" w:hAnsi="仿宋" w:eastAsia="仿宋"/>
          <w:sz w:val="32"/>
          <w:szCs w:val="32"/>
          <w:highlight w:val="none"/>
          <w:lang w:val="zh-CN" w:eastAsia="zh-CN"/>
        </w:rPr>
        <w:t>自评得分为</w:t>
      </w:r>
      <w:r>
        <w:rPr>
          <w:rFonts w:hint="eastAsia" w:ascii="仿宋" w:hAnsi="仿宋" w:eastAsia="仿宋"/>
          <w:sz w:val="32"/>
          <w:szCs w:val="32"/>
          <w:highlight w:val="none"/>
          <w:lang w:val="en-US" w:eastAsia="zh-CN"/>
        </w:rPr>
        <w:t>0分。</w:t>
      </w:r>
    </w:p>
    <w:p w14:paraId="77475100">
      <w:pPr>
        <w:keepNext w:val="0"/>
        <w:keepLines w:val="0"/>
        <w:pageBreakBefore w:val="0"/>
        <w:numPr>
          <w:ilvl w:val="0"/>
          <w:numId w:val="0"/>
        </w:numPr>
        <w:kinsoku/>
        <w:wordWrap/>
        <w:overflowPunct/>
        <w:topLinePunct w:val="0"/>
        <w:autoSpaceDE/>
        <w:autoSpaceDN/>
        <w:bidi w:val="0"/>
        <w:adjustRightInd/>
        <w:snapToGrid w:val="0"/>
        <w:spacing w:line="560" w:lineRule="exact"/>
        <w:ind w:firstLine="640" w:firstLineChars="200"/>
        <w:jc w:val="both"/>
        <w:textAlignment w:val="auto"/>
        <w:rPr>
          <w:rFonts w:hint="eastAsia" w:ascii="仿宋" w:hAnsi="仿宋" w:eastAsia="仿宋"/>
          <w:sz w:val="32"/>
          <w:szCs w:val="32"/>
          <w:highlight w:val="none"/>
          <w:lang w:val="en-US" w:eastAsia="zh-CN"/>
        </w:rPr>
      </w:pPr>
      <w:r>
        <w:rPr>
          <w:rFonts w:hint="eastAsia" w:ascii="仿宋" w:hAnsi="仿宋" w:eastAsia="仿宋"/>
          <w:sz w:val="32"/>
          <w:szCs w:val="32"/>
          <w:highlight w:val="none"/>
          <w:lang w:val="en-US" w:eastAsia="zh-CN"/>
        </w:rPr>
        <w:t>支出执行进度</w:t>
      </w:r>
      <w:r>
        <w:rPr>
          <w:rFonts w:hint="default" w:ascii="仿宋" w:hAnsi="仿宋" w:eastAsia="仿宋"/>
          <w:sz w:val="32"/>
          <w:szCs w:val="32"/>
          <w:highlight w:val="none"/>
          <w:lang w:eastAsia="zh-CN"/>
        </w:rPr>
        <w:t>：</w:t>
      </w:r>
      <w:r>
        <w:rPr>
          <w:rFonts w:hint="eastAsia" w:ascii="仿宋" w:hAnsi="仿宋" w:eastAsia="仿宋"/>
          <w:sz w:val="32"/>
          <w:szCs w:val="32"/>
          <w:highlight w:val="none"/>
          <w:lang w:val="en-US" w:eastAsia="zh-CN"/>
        </w:rPr>
        <w:t>1-6月</w:t>
      </w:r>
      <w:r>
        <w:rPr>
          <w:rFonts w:hint="default" w:ascii="仿宋" w:hAnsi="仿宋" w:eastAsia="仿宋"/>
          <w:sz w:val="32"/>
          <w:szCs w:val="32"/>
          <w:highlight w:val="none"/>
          <w:lang w:eastAsia="zh-CN"/>
        </w:rPr>
        <w:t>一般公共预算支出金额为</w:t>
      </w:r>
      <w:r>
        <w:rPr>
          <w:rFonts w:hint="eastAsia" w:ascii="仿宋" w:hAnsi="仿宋" w:eastAsia="仿宋"/>
          <w:sz w:val="32"/>
          <w:szCs w:val="32"/>
          <w:highlight w:val="none"/>
          <w:lang w:val="en-US" w:eastAsia="zh-CN"/>
        </w:rPr>
        <w:t>1260.6</w:t>
      </w:r>
      <w:r>
        <w:rPr>
          <w:rFonts w:hint="default" w:ascii="仿宋" w:hAnsi="仿宋" w:eastAsia="仿宋"/>
          <w:sz w:val="32"/>
          <w:szCs w:val="32"/>
          <w:highlight w:val="none"/>
          <w:lang w:eastAsia="zh-CN"/>
        </w:rPr>
        <w:t>万元，资金支付进度达</w:t>
      </w:r>
      <w:r>
        <w:rPr>
          <w:rFonts w:hint="eastAsia" w:ascii="仿宋" w:hAnsi="仿宋" w:eastAsia="仿宋"/>
          <w:sz w:val="32"/>
          <w:szCs w:val="32"/>
          <w:highlight w:val="none"/>
          <w:lang w:val="en-US" w:eastAsia="zh-CN"/>
        </w:rPr>
        <w:t>40.54</w:t>
      </w:r>
      <w:r>
        <w:rPr>
          <w:rFonts w:hint="default" w:ascii="仿宋" w:hAnsi="仿宋" w:eastAsia="仿宋"/>
          <w:sz w:val="32"/>
          <w:szCs w:val="32"/>
          <w:highlight w:val="none"/>
          <w:lang w:eastAsia="zh-CN"/>
        </w:rPr>
        <w:t>%；</w:t>
      </w:r>
      <w:r>
        <w:rPr>
          <w:rFonts w:hint="eastAsia" w:ascii="仿宋" w:hAnsi="仿宋" w:eastAsia="仿宋"/>
          <w:sz w:val="32"/>
          <w:szCs w:val="32"/>
          <w:highlight w:val="none"/>
          <w:lang w:val="en-US" w:eastAsia="zh-CN"/>
        </w:rPr>
        <w:t>1-</w:t>
      </w:r>
      <w:r>
        <w:rPr>
          <w:rFonts w:hint="default" w:ascii="仿宋" w:hAnsi="仿宋" w:eastAsia="仿宋"/>
          <w:sz w:val="32"/>
          <w:szCs w:val="32"/>
          <w:highlight w:val="none"/>
          <w:lang w:eastAsia="zh-CN"/>
        </w:rPr>
        <w:t>10</w:t>
      </w:r>
      <w:r>
        <w:rPr>
          <w:rFonts w:hint="eastAsia" w:ascii="仿宋" w:hAnsi="仿宋" w:eastAsia="仿宋"/>
          <w:sz w:val="32"/>
          <w:szCs w:val="32"/>
          <w:highlight w:val="none"/>
          <w:lang w:val="en-US" w:eastAsia="zh-CN"/>
        </w:rPr>
        <w:t>月一般公共预算支出金额为1260.6万元，资金支付</w:t>
      </w:r>
      <w:r>
        <w:rPr>
          <w:rFonts w:hint="default" w:ascii="仿宋" w:hAnsi="仿宋" w:eastAsia="仿宋"/>
          <w:sz w:val="32"/>
          <w:szCs w:val="32"/>
          <w:highlight w:val="none"/>
          <w:lang w:eastAsia="zh-CN"/>
        </w:rPr>
        <w:t>进度</w:t>
      </w:r>
      <w:r>
        <w:rPr>
          <w:rFonts w:hint="eastAsia" w:ascii="仿宋" w:hAnsi="仿宋" w:eastAsia="仿宋"/>
          <w:sz w:val="32"/>
          <w:szCs w:val="32"/>
          <w:highlight w:val="none"/>
          <w:lang w:val="en-US" w:eastAsia="zh-CN"/>
        </w:rPr>
        <w:t>达92.16%</w:t>
      </w:r>
      <w:r>
        <w:rPr>
          <w:rFonts w:hint="default" w:ascii="仿宋" w:hAnsi="仿宋" w:eastAsia="仿宋"/>
          <w:sz w:val="32"/>
          <w:szCs w:val="32"/>
          <w:highlight w:val="none"/>
          <w:lang w:eastAsia="zh-CN"/>
        </w:rPr>
        <w:t>。未出现支出预警情况，较好地完成了预算支出执行力度。</w:t>
      </w:r>
      <w:r>
        <w:rPr>
          <w:rFonts w:hint="eastAsia" w:ascii="仿宋" w:hAnsi="仿宋" w:eastAsia="仿宋"/>
          <w:sz w:val="32"/>
          <w:szCs w:val="32"/>
          <w:highlight w:val="none"/>
          <w:lang w:eastAsia="zh-CN"/>
        </w:rPr>
        <w:t>该项</w:t>
      </w:r>
      <w:r>
        <w:rPr>
          <w:rFonts w:hint="eastAsia" w:ascii="仿宋" w:hAnsi="仿宋" w:eastAsia="仿宋"/>
          <w:sz w:val="32"/>
          <w:szCs w:val="32"/>
          <w:highlight w:val="none"/>
          <w:lang w:val="zh-CN" w:eastAsia="zh-CN"/>
        </w:rPr>
        <w:t>自评得分为</w:t>
      </w:r>
      <w:r>
        <w:rPr>
          <w:rFonts w:hint="eastAsia" w:ascii="仿宋" w:hAnsi="仿宋" w:eastAsia="仿宋"/>
          <w:sz w:val="32"/>
          <w:szCs w:val="32"/>
          <w:highlight w:val="none"/>
          <w:lang w:val="en-US" w:eastAsia="zh-CN"/>
        </w:rPr>
        <w:t>6</w:t>
      </w:r>
    </w:p>
    <w:p w14:paraId="37C9905E">
      <w:pPr>
        <w:keepNext w:val="0"/>
        <w:keepLines w:val="0"/>
        <w:pageBreakBefore w:val="0"/>
        <w:numPr>
          <w:ilvl w:val="0"/>
          <w:numId w:val="0"/>
        </w:numPr>
        <w:kinsoku/>
        <w:wordWrap/>
        <w:overflowPunct/>
        <w:topLinePunct w:val="0"/>
        <w:autoSpaceDE/>
        <w:autoSpaceDN/>
        <w:bidi w:val="0"/>
        <w:adjustRightInd/>
        <w:snapToGrid w:val="0"/>
        <w:spacing w:line="560" w:lineRule="exact"/>
        <w:jc w:val="both"/>
        <w:textAlignment w:val="auto"/>
        <w:rPr>
          <w:rFonts w:hint="default" w:ascii="仿宋" w:hAnsi="仿宋" w:eastAsia="仿宋"/>
          <w:sz w:val="32"/>
          <w:szCs w:val="32"/>
          <w:highlight w:val="none"/>
          <w:lang w:eastAsia="zh-CN"/>
        </w:rPr>
      </w:pPr>
      <w:r>
        <w:rPr>
          <w:rFonts w:hint="eastAsia" w:ascii="仿宋" w:hAnsi="仿宋" w:eastAsia="仿宋"/>
          <w:sz w:val="32"/>
          <w:szCs w:val="32"/>
          <w:highlight w:val="none"/>
          <w:lang w:val="en-US" w:eastAsia="zh-CN"/>
        </w:rPr>
        <w:t>分。</w:t>
      </w:r>
    </w:p>
    <w:p w14:paraId="4EDEA56A">
      <w:pPr>
        <w:keepNext w:val="0"/>
        <w:keepLines w:val="0"/>
        <w:pageBreakBefore w:val="0"/>
        <w:numPr>
          <w:ilvl w:val="0"/>
          <w:numId w:val="0"/>
        </w:numPr>
        <w:kinsoku/>
        <w:wordWrap/>
        <w:overflowPunct/>
        <w:topLinePunct w:val="0"/>
        <w:autoSpaceDE/>
        <w:autoSpaceDN/>
        <w:bidi w:val="0"/>
        <w:adjustRightInd/>
        <w:snapToGrid w:val="0"/>
        <w:spacing w:line="560" w:lineRule="exact"/>
        <w:ind w:firstLine="640" w:firstLineChars="200"/>
        <w:jc w:val="both"/>
        <w:textAlignment w:val="auto"/>
        <w:rPr>
          <w:rFonts w:hint="default" w:ascii="仿宋" w:hAnsi="仿宋" w:eastAsia="仿宋"/>
          <w:sz w:val="32"/>
          <w:szCs w:val="32"/>
          <w:highlight w:val="none"/>
          <w:lang w:eastAsia="zh-CN"/>
        </w:rPr>
      </w:pPr>
      <w:r>
        <w:rPr>
          <w:rFonts w:hint="eastAsia" w:ascii="仿宋" w:hAnsi="仿宋" w:eastAsia="仿宋"/>
          <w:sz w:val="32"/>
          <w:szCs w:val="32"/>
          <w:highlight w:val="none"/>
          <w:lang w:val="zh-CN" w:eastAsia="zh-CN"/>
        </w:rPr>
        <w:t>预算年终结余</w:t>
      </w:r>
      <w:r>
        <w:rPr>
          <w:rFonts w:hint="default" w:ascii="仿宋" w:hAnsi="仿宋" w:eastAsia="仿宋"/>
          <w:sz w:val="32"/>
          <w:szCs w:val="32"/>
          <w:highlight w:val="none"/>
          <w:lang w:eastAsia="zh-CN"/>
        </w:rPr>
        <w:t>：年终无预算结余资金。</w:t>
      </w:r>
      <w:r>
        <w:rPr>
          <w:rFonts w:hint="eastAsia" w:ascii="仿宋" w:hAnsi="仿宋" w:eastAsia="仿宋"/>
          <w:sz w:val="32"/>
          <w:szCs w:val="32"/>
          <w:highlight w:val="none"/>
          <w:lang w:eastAsia="zh-CN"/>
        </w:rPr>
        <w:t>该项</w:t>
      </w:r>
      <w:r>
        <w:rPr>
          <w:rFonts w:hint="eastAsia" w:ascii="仿宋" w:hAnsi="仿宋" w:eastAsia="仿宋"/>
          <w:sz w:val="32"/>
          <w:szCs w:val="32"/>
          <w:highlight w:val="none"/>
          <w:lang w:val="zh-CN" w:eastAsia="zh-CN"/>
        </w:rPr>
        <w:t>自评得分为</w:t>
      </w:r>
      <w:r>
        <w:rPr>
          <w:rFonts w:hint="eastAsia" w:ascii="仿宋" w:hAnsi="仿宋" w:eastAsia="仿宋"/>
          <w:sz w:val="32"/>
          <w:szCs w:val="32"/>
          <w:highlight w:val="none"/>
          <w:lang w:val="en-US" w:eastAsia="zh-CN"/>
        </w:rPr>
        <w:t>2分。</w:t>
      </w:r>
    </w:p>
    <w:p w14:paraId="1E15DB4F">
      <w:pPr>
        <w:keepNext w:val="0"/>
        <w:keepLines w:val="0"/>
        <w:pageBreakBefore w:val="0"/>
        <w:numPr>
          <w:ilvl w:val="0"/>
          <w:numId w:val="0"/>
        </w:numPr>
        <w:kinsoku/>
        <w:wordWrap/>
        <w:overflowPunct/>
        <w:topLinePunct w:val="0"/>
        <w:autoSpaceDE/>
        <w:autoSpaceDN/>
        <w:bidi w:val="0"/>
        <w:adjustRightInd/>
        <w:snapToGrid w:val="0"/>
        <w:spacing w:line="560" w:lineRule="exact"/>
        <w:ind w:firstLine="640" w:firstLineChars="200"/>
        <w:jc w:val="both"/>
        <w:textAlignment w:val="auto"/>
        <w:rPr>
          <w:rFonts w:hint="eastAsia" w:ascii="仿宋" w:hAnsi="仿宋" w:eastAsia="仿宋"/>
          <w:sz w:val="32"/>
          <w:szCs w:val="32"/>
          <w:highlight w:val="none"/>
          <w:lang w:eastAsia="zh-CN"/>
        </w:rPr>
      </w:pPr>
      <w:r>
        <w:rPr>
          <w:rFonts w:hint="eastAsia" w:ascii="仿宋" w:hAnsi="仿宋" w:eastAsia="仿宋"/>
          <w:sz w:val="32"/>
          <w:szCs w:val="32"/>
          <w:highlight w:val="none"/>
          <w:lang w:val="zh-CN" w:eastAsia="zh-CN"/>
        </w:rPr>
        <w:t>严控一般性支出：</w:t>
      </w:r>
      <w:r>
        <w:rPr>
          <w:rFonts w:hint="eastAsia" w:ascii="仿宋" w:hAnsi="仿宋" w:eastAsia="仿宋"/>
          <w:sz w:val="32"/>
          <w:szCs w:val="32"/>
          <w:highlight w:val="none"/>
        </w:rPr>
        <w:t>在执行管理中，</w:t>
      </w:r>
      <w:r>
        <w:rPr>
          <w:rFonts w:hint="eastAsia" w:ascii="仿宋" w:hAnsi="仿宋" w:eastAsia="仿宋"/>
          <w:sz w:val="32"/>
          <w:szCs w:val="32"/>
          <w:highlight w:val="none"/>
          <w:lang w:eastAsia="zh-CN"/>
        </w:rPr>
        <w:t>乡</w:t>
      </w:r>
      <w:r>
        <w:rPr>
          <w:rFonts w:hint="eastAsia" w:ascii="仿宋" w:hAnsi="仿宋" w:eastAsia="仿宋"/>
          <w:sz w:val="32"/>
          <w:szCs w:val="32"/>
          <w:highlight w:val="none"/>
        </w:rPr>
        <w:t>机关严格控制各项开支，尤其重视对“三公”经费的支出管理，尽量压缩公务接待次数，加强</w:t>
      </w:r>
      <w:r>
        <w:rPr>
          <w:rFonts w:hint="eastAsia" w:ascii="仿宋" w:hAnsi="仿宋" w:eastAsia="仿宋"/>
          <w:sz w:val="32"/>
          <w:szCs w:val="32"/>
          <w:highlight w:val="none"/>
          <w:lang w:eastAsia="zh-CN"/>
        </w:rPr>
        <w:t>公车运行</w:t>
      </w:r>
      <w:r>
        <w:rPr>
          <w:rFonts w:hint="eastAsia" w:ascii="仿宋" w:hAnsi="仿宋" w:eastAsia="仿宋"/>
          <w:sz w:val="32"/>
          <w:szCs w:val="32"/>
          <w:highlight w:val="none"/>
        </w:rPr>
        <w:t>管理。</w:t>
      </w:r>
      <w:r>
        <w:rPr>
          <w:rFonts w:hint="eastAsia" w:ascii="仿宋" w:hAnsi="仿宋" w:eastAsia="仿宋"/>
          <w:sz w:val="32"/>
          <w:szCs w:val="32"/>
          <w:highlight w:val="none"/>
          <w:lang w:eastAsia="zh-CN"/>
        </w:rPr>
        <w:t>该项</w:t>
      </w:r>
      <w:r>
        <w:rPr>
          <w:rFonts w:hint="eastAsia" w:ascii="仿宋" w:hAnsi="仿宋" w:eastAsia="仿宋"/>
          <w:sz w:val="32"/>
          <w:szCs w:val="32"/>
          <w:highlight w:val="none"/>
          <w:lang w:val="zh-CN" w:eastAsia="zh-CN"/>
        </w:rPr>
        <w:t>自评得分为</w:t>
      </w:r>
      <w:r>
        <w:rPr>
          <w:rFonts w:hint="eastAsia" w:ascii="仿宋" w:hAnsi="仿宋" w:eastAsia="仿宋"/>
          <w:sz w:val="32"/>
          <w:szCs w:val="32"/>
          <w:highlight w:val="none"/>
          <w:lang w:val="en-US" w:eastAsia="zh-CN"/>
        </w:rPr>
        <w:t>5分。</w:t>
      </w:r>
    </w:p>
    <w:p w14:paraId="2F99C56E">
      <w:pPr>
        <w:keepNext w:val="0"/>
        <w:keepLines w:val="0"/>
        <w:pageBreakBefore w:val="0"/>
        <w:kinsoku/>
        <w:wordWrap/>
        <w:overflowPunct/>
        <w:topLinePunct w:val="0"/>
        <w:autoSpaceDE/>
        <w:autoSpaceDN/>
        <w:bidi w:val="0"/>
        <w:adjustRightInd/>
        <w:snapToGrid w:val="0"/>
        <w:spacing w:line="560" w:lineRule="exact"/>
        <w:ind w:firstLine="640" w:firstLineChars="200"/>
        <w:jc w:val="both"/>
        <w:textAlignment w:val="auto"/>
        <w:rPr>
          <w:rFonts w:hint="eastAsia" w:ascii="仿宋" w:hAnsi="仿宋" w:eastAsia="仿宋"/>
          <w:sz w:val="32"/>
          <w:szCs w:val="32"/>
          <w:highlight w:val="none"/>
        </w:rPr>
      </w:pPr>
      <w:r>
        <w:rPr>
          <w:rFonts w:hint="eastAsia" w:ascii="仿宋" w:hAnsi="仿宋" w:eastAsia="仿宋"/>
          <w:sz w:val="32"/>
          <w:szCs w:val="32"/>
          <w:highlight w:val="none"/>
        </w:rPr>
        <w:t>“三公”经费支出情况：</w:t>
      </w:r>
    </w:p>
    <w:p w14:paraId="3B3DE0E8">
      <w:pPr>
        <w:keepNext w:val="0"/>
        <w:keepLines w:val="0"/>
        <w:pageBreakBefore w:val="0"/>
        <w:kinsoku/>
        <w:wordWrap/>
        <w:overflowPunct/>
        <w:topLinePunct w:val="0"/>
        <w:autoSpaceDE/>
        <w:autoSpaceDN/>
        <w:bidi w:val="0"/>
        <w:adjustRightInd/>
        <w:snapToGrid w:val="0"/>
        <w:spacing w:line="560" w:lineRule="exact"/>
        <w:ind w:firstLine="640" w:firstLineChars="200"/>
        <w:jc w:val="both"/>
        <w:textAlignment w:val="auto"/>
        <w:rPr>
          <w:rFonts w:hint="eastAsia" w:ascii="仿宋" w:hAnsi="仿宋" w:eastAsia="仿宋"/>
          <w:sz w:val="32"/>
          <w:szCs w:val="32"/>
          <w:highlight w:val="none"/>
        </w:rPr>
      </w:pPr>
      <w:r>
        <w:rPr>
          <w:rFonts w:hint="eastAsia" w:ascii="仿宋" w:hAnsi="仿宋" w:eastAsia="仿宋"/>
          <w:sz w:val="32"/>
          <w:szCs w:val="32"/>
          <w:highlight w:val="none"/>
          <w:lang w:val="en-US" w:eastAsia="zh-CN"/>
        </w:rPr>
        <w:t>2024年</w:t>
      </w:r>
      <w:r>
        <w:rPr>
          <w:rFonts w:hint="eastAsia" w:ascii="仿宋" w:hAnsi="仿宋" w:eastAsia="仿宋"/>
          <w:sz w:val="32"/>
          <w:szCs w:val="32"/>
          <w:highlight w:val="none"/>
        </w:rPr>
        <w:t>“三公”经费支出</w:t>
      </w:r>
      <w:r>
        <w:rPr>
          <w:rFonts w:hint="eastAsia" w:ascii="仿宋" w:hAnsi="仿宋" w:eastAsia="仿宋"/>
          <w:sz w:val="32"/>
          <w:szCs w:val="32"/>
          <w:highlight w:val="none"/>
          <w:lang w:val="en-US" w:eastAsia="zh-CN"/>
        </w:rPr>
        <w:t>11.84万元</w:t>
      </w:r>
      <w:r>
        <w:rPr>
          <w:rFonts w:hint="eastAsia" w:ascii="仿宋" w:hAnsi="仿宋" w:eastAsia="仿宋"/>
          <w:sz w:val="32"/>
          <w:szCs w:val="32"/>
          <w:highlight w:val="none"/>
          <w:lang w:eastAsia="zh-CN"/>
        </w:rPr>
        <w:t>，</w:t>
      </w:r>
      <w:r>
        <w:rPr>
          <w:rFonts w:hint="eastAsia" w:ascii="仿宋" w:hAnsi="仿宋" w:eastAsia="仿宋"/>
          <w:sz w:val="32"/>
          <w:szCs w:val="32"/>
          <w:highlight w:val="none"/>
        </w:rPr>
        <w:t>其中公务用车运行维护费</w:t>
      </w:r>
      <w:r>
        <w:rPr>
          <w:rFonts w:hint="eastAsia" w:ascii="仿宋" w:hAnsi="仿宋" w:eastAsia="仿宋"/>
          <w:sz w:val="32"/>
          <w:szCs w:val="32"/>
          <w:highlight w:val="none"/>
          <w:lang w:val="en-US" w:eastAsia="zh-CN"/>
        </w:rPr>
        <w:t>11.84</w:t>
      </w:r>
      <w:r>
        <w:rPr>
          <w:rFonts w:hint="eastAsia" w:ascii="仿宋" w:hAnsi="仿宋" w:eastAsia="仿宋"/>
          <w:sz w:val="32"/>
          <w:szCs w:val="32"/>
          <w:highlight w:val="none"/>
        </w:rPr>
        <w:t>万元，</w:t>
      </w:r>
      <w:r>
        <w:rPr>
          <w:rFonts w:hint="eastAsia" w:ascii="仿宋" w:hAnsi="仿宋" w:eastAsia="仿宋" w:cs="仿宋"/>
          <w:kern w:val="0"/>
          <w:sz w:val="32"/>
          <w:szCs w:val="32"/>
          <w:shd w:val="clear" w:color="auto" w:fill="FFFFFF"/>
        </w:rPr>
        <w:t>相比上年度</w:t>
      </w:r>
      <w:r>
        <w:rPr>
          <w:rFonts w:hint="eastAsia" w:ascii="仿宋" w:hAnsi="仿宋" w:eastAsia="仿宋" w:cs="仿宋"/>
          <w:kern w:val="0"/>
          <w:sz w:val="32"/>
          <w:szCs w:val="32"/>
          <w:shd w:val="clear" w:color="auto" w:fill="FFFFFF"/>
          <w:lang w:val="en-US" w:eastAsia="zh-CN"/>
        </w:rPr>
        <w:t>10.34</w:t>
      </w:r>
      <w:r>
        <w:rPr>
          <w:rFonts w:hint="eastAsia" w:ascii="仿宋" w:hAnsi="仿宋" w:eastAsia="仿宋" w:cs="仿宋"/>
          <w:kern w:val="0"/>
          <w:sz w:val="32"/>
          <w:szCs w:val="32"/>
          <w:shd w:val="clear" w:color="auto" w:fill="FFFFFF"/>
        </w:rPr>
        <w:t>万元，增加</w:t>
      </w:r>
      <w:r>
        <w:rPr>
          <w:rFonts w:hint="eastAsia" w:ascii="仿宋" w:hAnsi="仿宋" w:eastAsia="仿宋" w:cs="仿宋"/>
          <w:kern w:val="0"/>
          <w:sz w:val="32"/>
          <w:szCs w:val="32"/>
          <w:shd w:val="clear" w:color="auto" w:fill="FFFFFF"/>
          <w:lang w:val="en-US" w:eastAsia="zh-CN"/>
        </w:rPr>
        <w:t>1.5</w:t>
      </w:r>
      <w:r>
        <w:rPr>
          <w:rFonts w:hint="eastAsia" w:ascii="仿宋" w:hAnsi="仿宋" w:eastAsia="仿宋" w:cs="仿宋"/>
          <w:kern w:val="0"/>
          <w:sz w:val="32"/>
          <w:szCs w:val="32"/>
          <w:shd w:val="clear" w:color="auto" w:fill="FFFFFF"/>
        </w:rPr>
        <w:t>万元</w:t>
      </w:r>
      <w:r>
        <w:rPr>
          <w:rFonts w:hint="eastAsia" w:ascii="仿宋" w:hAnsi="仿宋" w:eastAsia="仿宋" w:cs="仿宋"/>
          <w:kern w:val="0"/>
          <w:sz w:val="32"/>
          <w:szCs w:val="32"/>
          <w:shd w:val="clear" w:color="auto" w:fill="FFFFFF"/>
          <w:lang w:eastAsia="zh-CN"/>
        </w:rPr>
        <w:t>，</w:t>
      </w:r>
      <w:r>
        <w:rPr>
          <w:rFonts w:hint="eastAsia" w:ascii="仿宋" w:hAnsi="仿宋" w:eastAsia="仿宋"/>
          <w:sz w:val="32"/>
          <w:szCs w:val="32"/>
          <w:highlight w:val="none"/>
        </w:rPr>
        <w:t>较上年同期</w:t>
      </w:r>
      <w:r>
        <w:rPr>
          <w:rFonts w:hint="eastAsia" w:ascii="仿宋" w:hAnsi="仿宋" w:eastAsia="仿宋"/>
          <w:sz w:val="32"/>
          <w:szCs w:val="32"/>
          <w:highlight w:val="none"/>
          <w:lang w:eastAsia="zh-CN"/>
        </w:rPr>
        <w:t>增加</w:t>
      </w:r>
      <w:r>
        <w:rPr>
          <w:rFonts w:hint="eastAsia" w:ascii="仿宋" w:hAnsi="仿宋" w:eastAsia="仿宋"/>
          <w:sz w:val="32"/>
          <w:szCs w:val="32"/>
          <w:highlight w:val="none"/>
          <w:lang w:val="en-US" w:eastAsia="zh-CN"/>
        </w:rPr>
        <w:t>14.58</w:t>
      </w:r>
      <w:r>
        <w:rPr>
          <w:rFonts w:hint="eastAsia" w:ascii="仿宋" w:hAnsi="仿宋" w:eastAsia="仿宋"/>
          <w:sz w:val="32"/>
          <w:szCs w:val="32"/>
          <w:highlight w:val="none"/>
        </w:rPr>
        <w:t>%；公务接待费</w:t>
      </w:r>
      <w:r>
        <w:rPr>
          <w:rFonts w:hint="eastAsia" w:ascii="仿宋" w:hAnsi="仿宋" w:eastAsia="仿宋"/>
          <w:sz w:val="32"/>
          <w:szCs w:val="32"/>
          <w:highlight w:val="none"/>
          <w:lang w:val="en-US" w:eastAsia="zh-CN"/>
        </w:rPr>
        <w:t>0</w:t>
      </w:r>
      <w:r>
        <w:rPr>
          <w:rFonts w:hint="eastAsia" w:ascii="仿宋" w:hAnsi="仿宋" w:eastAsia="仿宋"/>
          <w:sz w:val="32"/>
          <w:szCs w:val="32"/>
          <w:highlight w:val="none"/>
        </w:rPr>
        <w:t>万元，20</w:t>
      </w:r>
      <w:r>
        <w:rPr>
          <w:rFonts w:hint="eastAsia" w:ascii="仿宋" w:hAnsi="仿宋" w:eastAsia="仿宋"/>
          <w:sz w:val="32"/>
          <w:szCs w:val="32"/>
          <w:highlight w:val="none"/>
          <w:lang w:val="en-US" w:eastAsia="zh-CN"/>
        </w:rPr>
        <w:t>24</w:t>
      </w:r>
      <w:r>
        <w:rPr>
          <w:rFonts w:hint="eastAsia" w:ascii="仿宋" w:hAnsi="仿宋" w:eastAsia="仿宋"/>
          <w:sz w:val="32"/>
          <w:szCs w:val="32"/>
          <w:highlight w:val="none"/>
        </w:rPr>
        <w:t>年无因公出国出境费用。“三公”经费支出较上年同期有所</w:t>
      </w:r>
      <w:r>
        <w:rPr>
          <w:rFonts w:hint="eastAsia" w:ascii="仿宋" w:hAnsi="仿宋" w:eastAsia="仿宋"/>
          <w:sz w:val="32"/>
          <w:szCs w:val="32"/>
          <w:highlight w:val="none"/>
          <w:lang w:val="en-US" w:eastAsia="zh-CN"/>
        </w:rPr>
        <w:t>增长</w:t>
      </w:r>
      <w:r>
        <w:rPr>
          <w:rFonts w:hint="eastAsia" w:ascii="仿宋" w:hAnsi="仿宋" w:eastAsia="仿宋"/>
          <w:sz w:val="32"/>
          <w:szCs w:val="32"/>
          <w:highlight w:val="none"/>
        </w:rPr>
        <w:t>。</w:t>
      </w:r>
    </w:p>
    <w:p w14:paraId="3D58D642">
      <w:pPr>
        <w:keepNext w:val="0"/>
        <w:keepLines w:val="0"/>
        <w:pageBreakBefore w:val="0"/>
        <w:numPr>
          <w:ilvl w:val="0"/>
          <w:numId w:val="0"/>
        </w:numPr>
        <w:kinsoku/>
        <w:wordWrap/>
        <w:overflowPunct/>
        <w:topLinePunct w:val="0"/>
        <w:autoSpaceDE/>
        <w:autoSpaceDN/>
        <w:bidi w:val="0"/>
        <w:adjustRightInd/>
        <w:snapToGrid w:val="0"/>
        <w:spacing w:line="560" w:lineRule="exact"/>
        <w:ind w:firstLine="640" w:firstLineChars="200"/>
        <w:jc w:val="both"/>
        <w:textAlignment w:val="auto"/>
        <w:rPr>
          <w:rFonts w:hint="eastAsia" w:ascii="仿宋" w:hAnsi="仿宋" w:eastAsia="仿宋"/>
          <w:sz w:val="32"/>
          <w:szCs w:val="32"/>
          <w:highlight w:val="none"/>
          <w:lang w:val="en-US" w:eastAsia="zh-CN"/>
        </w:rPr>
      </w:pPr>
      <w:r>
        <w:rPr>
          <w:rFonts w:hint="eastAsia" w:ascii="仿宋" w:hAnsi="仿宋" w:eastAsia="仿宋"/>
          <w:sz w:val="32"/>
          <w:szCs w:val="32"/>
          <w:highlight w:val="none"/>
        </w:rPr>
        <w:t>会议费支出情况：20</w:t>
      </w:r>
      <w:r>
        <w:rPr>
          <w:rFonts w:hint="eastAsia" w:ascii="仿宋" w:hAnsi="仿宋" w:eastAsia="仿宋"/>
          <w:sz w:val="32"/>
          <w:szCs w:val="32"/>
          <w:highlight w:val="none"/>
          <w:lang w:val="en-US" w:eastAsia="zh-CN"/>
        </w:rPr>
        <w:t>24</w:t>
      </w:r>
      <w:r>
        <w:rPr>
          <w:rFonts w:hint="eastAsia" w:ascii="仿宋" w:hAnsi="仿宋" w:eastAsia="仿宋"/>
          <w:sz w:val="32"/>
          <w:szCs w:val="32"/>
          <w:highlight w:val="none"/>
        </w:rPr>
        <w:t>年会议费支出</w:t>
      </w:r>
      <w:r>
        <w:rPr>
          <w:rFonts w:hint="eastAsia" w:ascii="仿宋" w:hAnsi="仿宋" w:eastAsia="仿宋"/>
          <w:sz w:val="32"/>
          <w:szCs w:val="32"/>
          <w:highlight w:val="none"/>
          <w:lang w:val="en-US" w:eastAsia="zh-CN"/>
        </w:rPr>
        <w:t>0</w:t>
      </w:r>
      <w:r>
        <w:rPr>
          <w:rFonts w:hint="eastAsia" w:ascii="仿宋" w:hAnsi="仿宋" w:eastAsia="仿宋"/>
          <w:sz w:val="32"/>
          <w:szCs w:val="32"/>
          <w:highlight w:val="none"/>
        </w:rPr>
        <w:t>万元</w:t>
      </w:r>
      <w:r>
        <w:rPr>
          <w:rFonts w:hint="eastAsia" w:ascii="仿宋" w:hAnsi="仿宋" w:eastAsia="仿宋"/>
          <w:sz w:val="32"/>
          <w:szCs w:val="32"/>
          <w:highlight w:val="none"/>
          <w:lang w:eastAsia="zh-CN"/>
        </w:rPr>
        <w:t>。</w:t>
      </w:r>
    </w:p>
    <w:p w14:paraId="1A5B14C0">
      <w:pPr>
        <w:keepNext w:val="0"/>
        <w:keepLines w:val="0"/>
        <w:pageBreakBefore w:val="0"/>
        <w:kinsoku/>
        <w:wordWrap/>
        <w:overflowPunct/>
        <w:topLinePunct w:val="0"/>
        <w:autoSpaceDE/>
        <w:autoSpaceDN/>
        <w:bidi w:val="0"/>
        <w:adjustRightInd/>
        <w:snapToGrid w:val="0"/>
        <w:spacing w:line="560" w:lineRule="exact"/>
        <w:ind w:firstLine="640" w:firstLineChars="200"/>
        <w:jc w:val="both"/>
        <w:textAlignment w:val="auto"/>
        <w:rPr>
          <w:rFonts w:hint="eastAsia" w:ascii="仿宋" w:hAnsi="仿宋" w:eastAsia="仿宋"/>
          <w:sz w:val="32"/>
          <w:szCs w:val="32"/>
          <w:highlight w:val="none"/>
          <w:u w:val="none"/>
          <w:lang w:val="en-US" w:eastAsia="zh-CN"/>
        </w:rPr>
      </w:pPr>
      <w:r>
        <w:rPr>
          <w:rFonts w:hint="eastAsia" w:ascii="仿宋" w:hAnsi="仿宋" w:eastAsia="仿宋"/>
          <w:sz w:val="32"/>
          <w:szCs w:val="32"/>
          <w:highlight w:val="none"/>
          <w:u w:val="none"/>
          <w:lang w:eastAsia="zh-CN"/>
        </w:rPr>
        <w:t>培训费支出情况：</w:t>
      </w:r>
      <w:r>
        <w:rPr>
          <w:rFonts w:hint="eastAsia" w:ascii="仿宋" w:hAnsi="仿宋" w:eastAsia="仿宋"/>
          <w:sz w:val="32"/>
          <w:szCs w:val="32"/>
          <w:highlight w:val="none"/>
          <w:u w:val="none"/>
          <w:lang w:val="en-US" w:eastAsia="zh-CN"/>
        </w:rPr>
        <w:t>2024年培训费共计支出0万元。</w:t>
      </w:r>
    </w:p>
    <w:p w14:paraId="470CEBD7">
      <w:pPr>
        <w:keepNext w:val="0"/>
        <w:keepLines w:val="0"/>
        <w:pageBreakBefore w:val="0"/>
        <w:kinsoku/>
        <w:wordWrap/>
        <w:overflowPunct/>
        <w:topLinePunct w:val="0"/>
        <w:autoSpaceDE/>
        <w:autoSpaceDN/>
        <w:bidi w:val="0"/>
        <w:adjustRightInd/>
        <w:snapToGrid w:val="0"/>
        <w:spacing w:line="560" w:lineRule="exact"/>
        <w:ind w:firstLine="640" w:firstLineChars="200"/>
        <w:jc w:val="both"/>
        <w:textAlignment w:val="auto"/>
        <w:rPr>
          <w:rFonts w:hint="eastAsia" w:ascii="仿宋" w:hAnsi="仿宋" w:eastAsia="仿宋"/>
          <w:sz w:val="32"/>
          <w:szCs w:val="32"/>
          <w:highlight w:val="none"/>
        </w:rPr>
      </w:pPr>
      <w:r>
        <w:rPr>
          <w:rFonts w:hint="eastAsia" w:ascii="仿宋" w:hAnsi="仿宋" w:eastAsia="仿宋"/>
          <w:sz w:val="32"/>
          <w:szCs w:val="32"/>
          <w:highlight w:val="none"/>
        </w:rPr>
        <w:t>其他较大的支出情况</w:t>
      </w:r>
      <w:r>
        <w:rPr>
          <w:rFonts w:hint="default" w:ascii="仿宋" w:hAnsi="仿宋" w:eastAsia="仿宋"/>
          <w:sz w:val="32"/>
          <w:szCs w:val="32"/>
          <w:highlight w:val="none"/>
        </w:rPr>
        <w:t>：</w:t>
      </w:r>
      <w:r>
        <w:rPr>
          <w:rFonts w:hint="eastAsia" w:ascii="仿宋" w:hAnsi="仿宋" w:eastAsia="仿宋"/>
          <w:sz w:val="32"/>
          <w:szCs w:val="32"/>
          <w:highlight w:val="none"/>
        </w:rPr>
        <w:t>　</w:t>
      </w:r>
    </w:p>
    <w:p w14:paraId="7AD70327">
      <w:pPr>
        <w:keepNext w:val="0"/>
        <w:keepLines w:val="0"/>
        <w:widowControl w:val="0"/>
        <w:suppressLineNumbers w:val="0"/>
        <w:autoSpaceDE w:val="0"/>
        <w:autoSpaceDN/>
        <w:snapToGrid w:val="0"/>
        <w:spacing w:line="560" w:lineRule="exact"/>
        <w:ind w:left="0" w:firstLine="640" w:firstLineChars="200"/>
        <w:rPr>
          <w:rFonts w:hint="eastAsia" w:ascii="仿宋" w:hAnsi="仿宋" w:eastAsia="仿宋"/>
          <w:sz w:val="32"/>
          <w:szCs w:val="32"/>
          <w:highlight w:val="none"/>
          <w:u w:val="none"/>
          <w:lang w:val="en-US" w:eastAsia="zh-CN"/>
        </w:rPr>
      </w:pPr>
      <w:r>
        <w:rPr>
          <w:rFonts w:hint="eastAsia" w:ascii="仿宋" w:hAnsi="仿宋" w:eastAsia="仿宋" w:cs="仿宋"/>
          <w:kern w:val="0"/>
          <w:sz w:val="32"/>
          <w:szCs w:val="32"/>
          <w:lang w:eastAsia="zh-CN"/>
        </w:rPr>
        <w:t>办公经</w:t>
      </w:r>
      <w:r>
        <w:rPr>
          <w:rFonts w:hint="eastAsia" w:ascii="仿宋" w:hAnsi="仿宋" w:eastAsia="仿宋" w:cs="仿宋"/>
          <w:kern w:val="0"/>
          <w:sz w:val="32"/>
          <w:szCs w:val="32"/>
        </w:rPr>
        <w:t>费支出</w:t>
      </w:r>
      <w:r>
        <w:rPr>
          <w:rFonts w:hint="eastAsia" w:ascii="仿宋" w:hAnsi="仿宋" w:eastAsia="仿宋" w:cs="仿宋"/>
          <w:kern w:val="0"/>
          <w:sz w:val="32"/>
          <w:szCs w:val="32"/>
          <w:lang w:val="en-US" w:eastAsia="zh-CN"/>
        </w:rPr>
        <w:t>17.52</w:t>
      </w:r>
      <w:r>
        <w:rPr>
          <w:rFonts w:hint="eastAsia" w:ascii="仿宋" w:hAnsi="仿宋" w:eastAsia="仿宋" w:cs="仿宋"/>
          <w:kern w:val="0"/>
          <w:sz w:val="32"/>
          <w:szCs w:val="32"/>
        </w:rPr>
        <w:t>万元，</w:t>
      </w:r>
      <w:r>
        <w:rPr>
          <w:rFonts w:hint="eastAsia" w:ascii="仿宋" w:hAnsi="仿宋" w:eastAsia="仿宋"/>
          <w:sz w:val="32"/>
          <w:szCs w:val="32"/>
          <w:highlight w:val="none"/>
          <w:u w:val="none"/>
          <w:lang w:eastAsia="zh-CN"/>
        </w:rPr>
        <w:t>相比</w:t>
      </w:r>
      <w:r>
        <w:rPr>
          <w:rFonts w:hint="eastAsia" w:ascii="仿宋" w:hAnsi="仿宋" w:eastAsia="仿宋"/>
          <w:color w:val="auto"/>
          <w:sz w:val="32"/>
          <w:szCs w:val="32"/>
          <w:highlight w:val="none"/>
        </w:rPr>
        <w:t>上年</w:t>
      </w:r>
      <w:r>
        <w:rPr>
          <w:rFonts w:hint="eastAsia" w:ascii="仿宋" w:hAnsi="仿宋" w:eastAsia="仿宋"/>
          <w:color w:val="auto"/>
          <w:sz w:val="32"/>
          <w:szCs w:val="32"/>
          <w:highlight w:val="none"/>
          <w:lang w:eastAsia="zh-CN"/>
        </w:rPr>
        <w:t>度</w:t>
      </w:r>
      <w:r>
        <w:rPr>
          <w:rFonts w:hint="eastAsia" w:ascii="仿宋" w:hAnsi="仿宋" w:eastAsia="仿宋"/>
          <w:color w:val="auto"/>
          <w:sz w:val="32"/>
          <w:szCs w:val="32"/>
          <w:highlight w:val="none"/>
          <w:lang w:val="en-US" w:eastAsia="zh-CN"/>
        </w:rPr>
        <w:t>21.1万元，减少3.58</w:t>
      </w:r>
      <w:r>
        <w:rPr>
          <w:rFonts w:hint="eastAsia" w:ascii="仿宋" w:hAnsi="仿宋" w:eastAsia="仿宋"/>
          <w:color w:val="auto"/>
          <w:sz w:val="32"/>
          <w:szCs w:val="32"/>
          <w:highlight w:val="none"/>
        </w:rPr>
        <w:t>万元，</w:t>
      </w:r>
      <w:r>
        <w:rPr>
          <w:rFonts w:hint="eastAsia" w:ascii="仿宋" w:hAnsi="仿宋" w:eastAsia="仿宋"/>
          <w:sz w:val="32"/>
          <w:szCs w:val="32"/>
          <w:highlight w:val="none"/>
        </w:rPr>
        <w:t>较上年同期</w:t>
      </w:r>
      <w:r>
        <w:rPr>
          <w:rFonts w:hint="eastAsia" w:ascii="仿宋" w:hAnsi="仿宋" w:eastAsia="仿宋"/>
          <w:color w:val="auto"/>
          <w:sz w:val="32"/>
          <w:szCs w:val="32"/>
          <w:highlight w:val="none"/>
          <w:lang w:val="en-US" w:eastAsia="zh-CN"/>
        </w:rPr>
        <w:t>减少16.96</w:t>
      </w:r>
      <w:r>
        <w:rPr>
          <w:rFonts w:hint="eastAsia" w:ascii="仿宋" w:hAnsi="仿宋" w:eastAsia="仿宋"/>
          <w:color w:val="auto"/>
          <w:sz w:val="32"/>
          <w:szCs w:val="32"/>
          <w:highlight w:val="none"/>
        </w:rPr>
        <w:t>%</w:t>
      </w:r>
      <w:r>
        <w:rPr>
          <w:rFonts w:hint="eastAsia" w:ascii="仿宋" w:hAnsi="仿宋" w:eastAsia="仿宋"/>
          <w:color w:val="auto"/>
          <w:sz w:val="32"/>
          <w:szCs w:val="32"/>
          <w:highlight w:val="none"/>
          <w:lang w:eastAsia="zh-CN"/>
        </w:rPr>
        <w:t>，原因为</w:t>
      </w:r>
      <w:r>
        <w:rPr>
          <w:rFonts w:hint="eastAsia" w:ascii="仿宋" w:hAnsi="仿宋" w:eastAsia="仿宋"/>
          <w:sz w:val="32"/>
          <w:szCs w:val="32"/>
          <w:highlight w:val="none"/>
          <w:u w:val="none"/>
          <w:lang w:val="en-US" w:eastAsia="zh-CN"/>
        </w:rPr>
        <w:t>例行节约</w:t>
      </w:r>
      <w:r>
        <w:rPr>
          <w:rFonts w:hint="eastAsia" w:ascii="仿宋" w:hAnsi="仿宋" w:eastAsia="仿宋" w:cs="仿宋"/>
          <w:kern w:val="0"/>
          <w:sz w:val="32"/>
          <w:szCs w:val="32"/>
          <w:highlight w:val="none"/>
          <w:lang w:val="en-US" w:eastAsia="zh-CN"/>
        </w:rPr>
        <w:t>。</w:t>
      </w:r>
    </w:p>
    <w:p w14:paraId="5F6CE9F1">
      <w:pPr>
        <w:keepNext w:val="0"/>
        <w:keepLines w:val="0"/>
        <w:pageBreakBefore w:val="0"/>
        <w:widowControl w:val="0"/>
        <w:suppressLineNumbers w:val="0"/>
        <w:kinsoku/>
        <w:wordWrap/>
        <w:overflowPunct/>
        <w:topLinePunct w:val="0"/>
        <w:autoSpaceDE w:val="0"/>
        <w:autoSpaceDN/>
        <w:bidi w:val="0"/>
        <w:adjustRightInd/>
        <w:snapToGrid w:val="0"/>
        <w:spacing w:line="560" w:lineRule="exact"/>
        <w:ind w:firstLine="640" w:firstLineChars="200"/>
        <w:jc w:val="both"/>
        <w:textAlignment w:val="auto"/>
        <w:rPr>
          <w:rFonts w:hint="eastAsia" w:ascii="楷体_GB2312" w:eastAsia="楷体_GB2312" w:cs="楷体_GB2312"/>
          <w:color w:val="000000"/>
          <w:kern w:val="0"/>
          <w:szCs w:val="32"/>
          <w:highlight w:val="none"/>
          <w:shd w:val="clear" w:color="auto" w:fill="FFFFFF"/>
          <w:lang w:val="zh-CN"/>
        </w:rPr>
      </w:pPr>
      <w:r>
        <w:rPr>
          <w:rFonts w:hint="eastAsia" w:ascii="仿宋" w:hAnsi="仿宋" w:eastAsia="仿宋" w:cs="仿宋"/>
          <w:kern w:val="0"/>
          <w:sz w:val="32"/>
          <w:szCs w:val="32"/>
        </w:rPr>
        <w:t>差旅费支出</w:t>
      </w:r>
      <w:r>
        <w:rPr>
          <w:rFonts w:hint="eastAsia" w:ascii="仿宋" w:hAnsi="仿宋" w:eastAsia="仿宋" w:cs="仿宋"/>
          <w:kern w:val="0"/>
          <w:sz w:val="32"/>
          <w:szCs w:val="32"/>
          <w:lang w:val="en-US" w:eastAsia="zh-CN"/>
        </w:rPr>
        <w:t>19.74</w:t>
      </w:r>
      <w:r>
        <w:rPr>
          <w:rFonts w:hint="eastAsia" w:ascii="仿宋" w:hAnsi="仿宋" w:eastAsia="仿宋" w:cs="仿宋"/>
          <w:kern w:val="0"/>
          <w:sz w:val="32"/>
          <w:szCs w:val="32"/>
        </w:rPr>
        <w:t>万元，</w:t>
      </w:r>
      <w:r>
        <w:rPr>
          <w:rFonts w:hint="eastAsia" w:ascii="仿宋" w:hAnsi="仿宋" w:eastAsia="仿宋"/>
          <w:sz w:val="32"/>
          <w:szCs w:val="32"/>
          <w:highlight w:val="none"/>
          <w:u w:val="none"/>
          <w:lang w:eastAsia="zh-CN"/>
        </w:rPr>
        <w:t>相比</w:t>
      </w:r>
      <w:r>
        <w:rPr>
          <w:rFonts w:hint="eastAsia" w:ascii="仿宋" w:hAnsi="仿宋" w:eastAsia="仿宋"/>
          <w:color w:val="auto"/>
          <w:sz w:val="32"/>
          <w:szCs w:val="32"/>
          <w:highlight w:val="none"/>
        </w:rPr>
        <w:t>上年</w:t>
      </w:r>
      <w:r>
        <w:rPr>
          <w:rFonts w:hint="eastAsia" w:ascii="仿宋" w:hAnsi="仿宋" w:eastAsia="仿宋"/>
          <w:color w:val="auto"/>
          <w:sz w:val="32"/>
          <w:szCs w:val="32"/>
          <w:highlight w:val="none"/>
          <w:lang w:eastAsia="zh-CN"/>
        </w:rPr>
        <w:t>度</w:t>
      </w:r>
      <w:r>
        <w:rPr>
          <w:rFonts w:hint="eastAsia" w:ascii="仿宋" w:hAnsi="仿宋" w:eastAsia="仿宋" w:cs="仿宋"/>
          <w:kern w:val="0"/>
          <w:sz w:val="32"/>
          <w:szCs w:val="32"/>
          <w:lang w:val="en-US" w:eastAsia="zh-CN"/>
        </w:rPr>
        <w:t>23.95</w:t>
      </w:r>
      <w:r>
        <w:rPr>
          <w:rFonts w:hint="eastAsia" w:ascii="仿宋" w:hAnsi="仿宋" w:eastAsia="仿宋"/>
          <w:color w:val="auto"/>
          <w:sz w:val="32"/>
          <w:szCs w:val="32"/>
          <w:highlight w:val="none"/>
          <w:lang w:val="en-US" w:eastAsia="zh-CN"/>
        </w:rPr>
        <w:t>万元，减少4.21</w:t>
      </w:r>
      <w:r>
        <w:rPr>
          <w:rFonts w:hint="eastAsia" w:ascii="仿宋" w:hAnsi="仿宋" w:eastAsia="仿宋"/>
          <w:color w:val="auto"/>
          <w:sz w:val="32"/>
          <w:szCs w:val="32"/>
          <w:highlight w:val="none"/>
        </w:rPr>
        <w:t>万元，</w:t>
      </w:r>
      <w:r>
        <w:rPr>
          <w:rFonts w:hint="eastAsia" w:ascii="仿宋" w:hAnsi="仿宋" w:eastAsia="仿宋"/>
          <w:sz w:val="32"/>
          <w:szCs w:val="32"/>
          <w:highlight w:val="none"/>
        </w:rPr>
        <w:t>较上年同期</w:t>
      </w:r>
      <w:r>
        <w:rPr>
          <w:rFonts w:hint="eastAsia" w:ascii="仿宋" w:hAnsi="仿宋" w:eastAsia="仿宋"/>
          <w:color w:val="auto"/>
          <w:sz w:val="32"/>
          <w:szCs w:val="32"/>
          <w:highlight w:val="none"/>
          <w:lang w:val="en-US" w:eastAsia="zh-CN"/>
        </w:rPr>
        <w:t>减少18.22</w:t>
      </w:r>
      <w:r>
        <w:rPr>
          <w:rFonts w:hint="eastAsia" w:ascii="仿宋" w:hAnsi="仿宋" w:eastAsia="仿宋"/>
          <w:color w:val="auto"/>
          <w:sz w:val="32"/>
          <w:szCs w:val="32"/>
          <w:highlight w:val="none"/>
        </w:rPr>
        <w:t>%</w:t>
      </w:r>
      <w:r>
        <w:rPr>
          <w:rFonts w:hint="eastAsia" w:ascii="仿宋" w:hAnsi="仿宋" w:eastAsia="仿宋"/>
          <w:color w:val="auto"/>
          <w:sz w:val="32"/>
          <w:szCs w:val="32"/>
          <w:highlight w:val="none"/>
          <w:lang w:eastAsia="zh-CN"/>
        </w:rPr>
        <w:t>，厉行节约</w:t>
      </w:r>
      <w:r>
        <w:rPr>
          <w:rFonts w:hint="eastAsia" w:ascii="仿宋" w:hAnsi="仿宋" w:eastAsia="仿宋"/>
          <w:sz w:val="32"/>
          <w:szCs w:val="32"/>
          <w:highlight w:val="none"/>
          <w:u w:val="none"/>
          <w:lang w:val="en-US" w:eastAsia="zh-CN"/>
        </w:rPr>
        <w:t>。</w:t>
      </w:r>
    </w:p>
    <w:p w14:paraId="01BE56ED">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jc w:val="both"/>
        <w:textAlignment w:val="auto"/>
        <w:rPr>
          <w:rFonts w:hint="eastAsia" w:ascii="仿宋" w:hAnsi="仿宋" w:eastAsia="仿宋"/>
          <w:sz w:val="32"/>
          <w:szCs w:val="32"/>
          <w:highlight w:val="none"/>
          <w:lang w:val="en-US" w:eastAsia="zh-CN"/>
        </w:rPr>
      </w:pPr>
      <w:r>
        <w:rPr>
          <w:rFonts w:hint="eastAsia" w:ascii="楷体_GB2312" w:eastAsia="楷体_GB2312" w:cs="楷体_GB2312"/>
          <w:color w:val="000000"/>
          <w:kern w:val="0"/>
          <w:szCs w:val="32"/>
          <w:highlight w:val="none"/>
          <w:shd w:val="clear" w:color="auto" w:fill="FFFFFF"/>
          <w:lang w:val="en-US" w:eastAsia="zh-CN"/>
        </w:rPr>
        <w:t>3.</w:t>
      </w:r>
      <w:r>
        <w:rPr>
          <w:rFonts w:ascii="楷体_GB2312" w:eastAsia="楷体_GB2312" w:cs="楷体_GB2312"/>
          <w:color w:val="000000"/>
          <w:kern w:val="0"/>
          <w:szCs w:val="32"/>
          <w:highlight w:val="none"/>
          <w:shd w:val="clear" w:color="auto" w:fill="FFFFFF"/>
          <w:lang w:val="zh-CN"/>
        </w:rPr>
        <w:t>财务管理</w:t>
      </w:r>
      <w:r>
        <w:rPr>
          <w:rFonts w:hint="eastAsia" w:ascii="楷体_GB2312" w:eastAsia="楷体_GB2312" w:cs="楷体_GB2312"/>
          <w:color w:val="000000"/>
          <w:kern w:val="0"/>
          <w:szCs w:val="32"/>
          <w:highlight w:val="none"/>
          <w:shd w:val="clear" w:color="auto" w:fill="FFFFFF"/>
          <w:lang w:val="zh-CN"/>
        </w:rPr>
        <w:t>。</w:t>
      </w:r>
      <w:r>
        <w:rPr>
          <w:rFonts w:hint="eastAsia" w:ascii="仿宋" w:hAnsi="仿宋" w:eastAsia="仿宋"/>
          <w:sz w:val="32"/>
          <w:szCs w:val="32"/>
          <w:highlight w:val="none"/>
          <w:lang w:val="en-US" w:eastAsia="zh-CN"/>
        </w:rPr>
        <w:t xml:space="preserve"> </w:t>
      </w:r>
    </w:p>
    <w:p w14:paraId="6F307D9F">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jc w:val="both"/>
        <w:textAlignment w:val="auto"/>
        <w:rPr>
          <w:rFonts w:hint="eastAsia" w:ascii="仿宋" w:hAnsi="仿宋" w:eastAsia="仿宋"/>
          <w:sz w:val="32"/>
          <w:szCs w:val="32"/>
          <w:highlight w:val="none"/>
          <w:lang w:val="en-US" w:eastAsia="zh-CN"/>
        </w:rPr>
      </w:pPr>
      <w:r>
        <w:rPr>
          <w:rFonts w:hint="eastAsia" w:ascii="仿宋" w:hAnsi="仿宋" w:eastAsia="仿宋"/>
          <w:sz w:val="32"/>
          <w:szCs w:val="32"/>
          <w:highlight w:val="none"/>
          <w:lang w:val="en-US" w:eastAsia="zh-CN"/>
        </w:rPr>
        <w:t xml:space="preserve">   财务管理制度：</w:t>
      </w:r>
      <w:r>
        <w:rPr>
          <w:rFonts w:hint="eastAsia" w:ascii="仿宋" w:hAnsi="仿宋" w:eastAsia="仿宋"/>
          <w:sz w:val="32"/>
          <w:szCs w:val="32"/>
          <w:highlight w:val="none"/>
        </w:rPr>
        <w:t>严格按照《会计法》，建立</w:t>
      </w:r>
      <w:r>
        <w:rPr>
          <w:rFonts w:hint="default" w:ascii="仿宋" w:hAnsi="仿宋" w:eastAsia="仿宋"/>
          <w:sz w:val="32"/>
          <w:szCs w:val="32"/>
          <w:highlight w:val="none"/>
        </w:rPr>
        <w:t>内部</w:t>
      </w:r>
      <w:r>
        <w:rPr>
          <w:rFonts w:hint="eastAsia" w:ascii="仿宋" w:hAnsi="仿宋" w:eastAsia="仿宋"/>
          <w:sz w:val="32"/>
          <w:szCs w:val="32"/>
          <w:highlight w:val="none"/>
        </w:rPr>
        <w:t>财务管理制度、会计出纳岗位职责、内部控制等制度</w:t>
      </w:r>
      <w:r>
        <w:rPr>
          <w:rFonts w:hint="eastAsia" w:ascii="仿宋" w:hAnsi="仿宋" w:eastAsia="仿宋"/>
          <w:sz w:val="32"/>
          <w:szCs w:val="32"/>
          <w:highlight w:val="none"/>
          <w:lang w:eastAsia="zh-CN"/>
        </w:rPr>
        <w:t>。该项</w:t>
      </w:r>
      <w:r>
        <w:rPr>
          <w:rFonts w:hint="eastAsia" w:ascii="仿宋" w:hAnsi="仿宋" w:eastAsia="仿宋"/>
          <w:sz w:val="32"/>
          <w:szCs w:val="32"/>
          <w:highlight w:val="none"/>
          <w:lang w:val="zh-CN" w:eastAsia="zh-CN"/>
        </w:rPr>
        <w:t>自评得分为</w:t>
      </w:r>
      <w:r>
        <w:rPr>
          <w:rFonts w:hint="eastAsia" w:ascii="仿宋" w:hAnsi="仿宋" w:eastAsia="仿宋"/>
          <w:sz w:val="32"/>
          <w:szCs w:val="32"/>
          <w:highlight w:val="none"/>
          <w:lang w:val="en-US" w:eastAsia="zh-CN"/>
        </w:rPr>
        <w:t>4分。</w:t>
      </w:r>
    </w:p>
    <w:p w14:paraId="3255B41E">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jc w:val="both"/>
        <w:textAlignment w:val="auto"/>
        <w:rPr>
          <w:rFonts w:hint="default" w:ascii="仿宋" w:hAnsi="仿宋" w:eastAsia="仿宋"/>
          <w:sz w:val="32"/>
          <w:szCs w:val="32"/>
          <w:highlight w:val="none"/>
        </w:rPr>
      </w:pPr>
      <w:r>
        <w:rPr>
          <w:rFonts w:hint="eastAsia" w:ascii="仿宋" w:hAnsi="仿宋" w:eastAsia="仿宋"/>
          <w:sz w:val="32"/>
          <w:szCs w:val="32"/>
          <w:highlight w:val="none"/>
          <w:lang w:val="en-US" w:eastAsia="zh-CN"/>
        </w:rPr>
        <w:t xml:space="preserve">    财务岗位设置：</w:t>
      </w:r>
      <w:r>
        <w:rPr>
          <w:rFonts w:hint="eastAsia" w:ascii="仿宋" w:hAnsi="仿宋" w:eastAsia="仿宋"/>
          <w:sz w:val="32"/>
          <w:szCs w:val="32"/>
          <w:highlight w:val="none"/>
        </w:rPr>
        <w:t>合理设置财务工作岗位，明确职责权限，并严格实行</w:t>
      </w:r>
      <w:r>
        <w:rPr>
          <w:rFonts w:hint="default" w:ascii="仿宋" w:hAnsi="仿宋" w:eastAsia="仿宋"/>
          <w:sz w:val="32"/>
          <w:szCs w:val="32"/>
          <w:highlight w:val="none"/>
        </w:rPr>
        <w:t>会计、出纳</w:t>
      </w:r>
      <w:r>
        <w:rPr>
          <w:rFonts w:hint="eastAsia" w:ascii="仿宋" w:hAnsi="仿宋" w:eastAsia="仿宋"/>
          <w:sz w:val="32"/>
          <w:szCs w:val="32"/>
          <w:highlight w:val="none"/>
        </w:rPr>
        <w:t>不相容岗位分离</w:t>
      </w:r>
      <w:r>
        <w:rPr>
          <w:rFonts w:hint="default" w:ascii="仿宋" w:hAnsi="仿宋" w:eastAsia="仿宋"/>
          <w:sz w:val="32"/>
          <w:szCs w:val="32"/>
          <w:highlight w:val="none"/>
        </w:rPr>
        <w:t>。</w:t>
      </w:r>
      <w:r>
        <w:rPr>
          <w:rFonts w:hint="eastAsia" w:ascii="仿宋" w:hAnsi="仿宋" w:eastAsia="仿宋"/>
          <w:sz w:val="32"/>
          <w:szCs w:val="32"/>
          <w:highlight w:val="none"/>
          <w:lang w:eastAsia="zh-CN"/>
        </w:rPr>
        <w:t>该项</w:t>
      </w:r>
      <w:r>
        <w:rPr>
          <w:rFonts w:hint="eastAsia" w:ascii="仿宋" w:hAnsi="仿宋" w:eastAsia="仿宋"/>
          <w:sz w:val="32"/>
          <w:szCs w:val="32"/>
          <w:highlight w:val="none"/>
          <w:lang w:val="zh-CN" w:eastAsia="zh-CN"/>
        </w:rPr>
        <w:t>自评得分为</w:t>
      </w:r>
      <w:r>
        <w:rPr>
          <w:rFonts w:hint="eastAsia" w:ascii="仿宋" w:hAnsi="仿宋" w:eastAsia="仿宋"/>
          <w:sz w:val="32"/>
          <w:szCs w:val="32"/>
          <w:highlight w:val="none"/>
          <w:lang w:val="en-US" w:eastAsia="zh-CN"/>
        </w:rPr>
        <w:t>2分。</w:t>
      </w:r>
    </w:p>
    <w:p w14:paraId="4D539CE8">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jc w:val="both"/>
        <w:textAlignment w:val="auto"/>
        <w:rPr>
          <w:rFonts w:hint="eastAsia" w:ascii="楷体_GB2312" w:eastAsia="楷体_GB2312" w:cs="楷体_GB2312"/>
          <w:color w:val="000000"/>
          <w:kern w:val="0"/>
          <w:szCs w:val="32"/>
          <w:highlight w:val="none"/>
          <w:shd w:val="clear" w:color="auto" w:fill="FFFFFF"/>
          <w:lang w:val="zh-CN"/>
        </w:rPr>
      </w:pPr>
      <w:r>
        <w:rPr>
          <w:rFonts w:hint="eastAsia" w:ascii="仿宋" w:hAnsi="仿宋" w:eastAsia="仿宋"/>
          <w:sz w:val="32"/>
          <w:szCs w:val="32"/>
          <w:highlight w:val="none"/>
          <w:lang w:val="en-US" w:eastAsia="zh-CN"/>
        </w:rPr>
        <w:t xml:space="preserve">    </w:t>
      </w:r>
      <w:r>
        <w:rPr>
          <w:rFonts w:hint="default" w:ascii="仿宋" w:hAnsi="仿宋" w:eastAsia="仿宋"/>
          <w:sz w:val="32"/>
          <w:szCs w:val="32"/>
          <w:highlight w:val="none"/>
        </w:rPr>
        <w:t>资金使用规范</w:t>
      </w:r>
      <w:r>
        <w:rPr>
          <w:rFonts w:hint="eastAsia" w:ascii="仿宋" w:hAnsi="仿宋" w:eastAsia="仿宋"/>
          <w:sz w:val="32"/>
          <w:szCs w:val="32"/>
          <w:highlight w:val="none"/>
          <w:lang w:eastAsia="zh-CN"/>
        </w:rPr>
        <w:t>：</w:t>
      </w:r>
      <w:r>
        <w:rPr>
          <w:rFonts w:hint="default" w:ascii="仿宋" w:hAnsi="仿宋" w:eastAsia="仿宋"/>
          <w:sz w:val="32"/>
          <w:szCs w:val="32"/>
          <w:highlight w:val="none"/>
        </w:rPr>
        <w:t>根据部门资金用途，按照财务管理制度，统一管理，专款专用，追踪问效的原则进行考核，</w:t>
      </w:r>
      <w:r>
        <w:rPr>
          <w:rFonts w:hint="eastAsia" w:ascii="仿宋" w:hAnsi="仿宋" w:eastAsia="仿宋" w:cs="仿宋"/>
          <w:bCs/>
          <w:sz w:val="32"/>
          <w:szCs w:val="32"/>
          <w:highlight w:val="none"/>
          <w:lang w:val="en-US" w:eastAsia="zh-CN"/>
        </w:rPr>
        <w:t>严格执行预算，规范资金审批和支付程序，提高资金的使用效率。该项</w:t>
      </w:r>
      <w:r>
        <w:rPr>
          <w:rFonts w:hint="eastAsia" w:ascii="仿宋" w:hAnsi="仿宋" w:eastAsia="仿宋"/>
          <w:sz w:val="32"/>
          <w:szCs w:val="32"/>
          <w:highlight w:val="none"/>
          <w:lang w:val="zh-CN" w:eastAsia="zh-CN"/>
        </w:rPr>
        <w:t>自评得分为</w:t>
      </w:r>
      <w:r>
        <w:rPr>
          <w:rFonts w:hint="eastAsia" w:ascii="仿宋" w:hAnsi="仿宋" w:eastAsia="仿宋"/>
          <w:sz w:val="32"/>
          <w:szCs w:val="32"/>
          <w:highlight w:val="none"/>
          <w:lang w:val="en-US" w:eastAsia="zh-CN"/>
        </w:rPr>
        <w:t>4分。</w:t>
      </w:r>
    </w:p>
    <w:p w14:paraId="394B6F2D">
      <w:pPr>
        <w:keepNext w:val="0"/>
        <w:keepLines w:val="0"/>
        <w:pageBreakBefore w:val="0"/>
        <w:widowControl w:val="0"/>
        <w:kinsoku/>
        <w:wordWrap/>
        <w:overflowPunct/>
        <w:topLinePunct w:val="0"/>
        <w:autoSpaceDE/>
        <w:autoSpaceDN/>
        <w:bidi w:val="0"/>
        <w:adjustRightInd w:val="0"/>
        <w:snapToGrid w:val="0"/>
        <w:spacing w:line="576" w:lineRule="exact"/>
        <w:ind w:left="0" w:firstLine="640" w:firstLineChars="200"/>
        <w:contextualSpacing/>
        <w:jc w:val="both"/>
        <w:textAlignment w:val="auto"/>
        <w:outlineLvl w:val="9"/>
        <w:rPr>
          <w:rFonts w:hint="eastAsia" w:ascii="楷体_GB2312" w:eastAsia="楷体_GB2312" w:cs="楷体_GB2312"/>
          <w:color w:val="000000"/>
          <w:kern w:val="0"/>
          <w:szCs w:val="32"/>
          <w:highlight w:val="none"/>
          <w:shd w:val="clear" w:color="auto" w:fill="FFFFFF"/>
          <w:lang w:val="zh-CN"/>
        </w:rPr>
      </w:pPr>
      <w:r>
        <w:rPr>
          <w:rFonts w:hint="eastAsia" w:ascii="楷体_GB2312" w:eastAsia="楷体_GB2312" w:cs="楷体_GB2312"/>
          <w:color w:val="000000"/>
          <w:kern w:val="0"/>
          <w:szCs w:val="32"/>
          <w:highlight w:val="none"/>
          <w:shd w:val="clear" w:color="auto" w:fill="FFFFFF"/>
          <w:lang w:val="en-US" w:eastAsia="zh-CN"/>
        </w:rPr>
        <w:t>4.</w:t>
      </w:r>
      <w:r>
        <w:rPr>
          <w:rFonts w:ascii="楷体_GB2312" w:eastAsia="楷体_GB2312" w:cs="楷体_GB2312"/>
          <w:color w:val="000000"/>
          <w:kern w:val="0"/>
          <w:szCs w:val="32"/>
          <w:highlight w:val="none"/>
          <w:shd w:val="clear" w:color="auto" w:fill="FFFFFF"/>
          <w:lang w:val="zh-CN"/>
        </w:rPr>
        <w:t>资产管理</w:t>
      </w:r>
      <w:r>
        <w:rPr>
          <w:rFonts w:hint="eastAsia" w:ascii="楷体_GB2312" w:eastAsia="楷体_GB2312" w:cs="楷体_GB2312"/>
          <w:color w:val="000000"/>
          <w:kern w:val="0"/>
          <w:szCs w:val="32"/>
          <w:highlight w:val="none"/>
          <w:shd w:val="clear" w:color="auto" w:fill="FFFFFF"/>
          <w:lang w:val="zh-CN"/>
        </w:rPr>
        <w:t>。</w:t>
      </w:r>
    </w:p>
    <w:p w14:paraId="329D34DA">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jc w:val="both"/>
        <w:textAlignment w:val="auto"/>
        <w:rPr>
          <w:rFonts w:hint="eastAsia" w:ascii="仿宋" w:hAnsi="仿宋" w:eastAsia="仿宋"/>
          <w:sz w:val="32"/>
          <w:szCs w:val="32"/>
          <w:highlight w:val="none"/>
        </w:rPr>
      </w:pPr>
      <w:r>
        <w:rPr>
          <w:rFonts w:hint="eastAsia" w:ascii="仿宋" w:hAnsi="仿宋" w:eastAsia="仿宋"/>
          <w:sz w:val="32"/>
          <w:szCs w:val="32"/>
          <w:highlight w:val="none"/>
          <w:lang w:val="en-US" w:eastAsia="zh-CN"/>
        </w:rPr>
        <w:t xml:space="preserve"> 人均资产变化率：2024年新增固定资产账面价值0万元，处置废旧低效乡公设施设备，账面价值8400万元，因本年度人员减少，故</w:t>
      </w:r>
      <w:r>
        <w:rPr>
          <w:rFonts w:hint="eastAsia" w:ascii="仿宋" w:hAnsi="仿宋" w:eastAsia="仿宋"/>
          <w:sz w:val="32"/>
          <w:szCs w:val="32"/>
          <w:highlight w:val="none"/>
          <w:lang w:val="zh-CN" w:eastAsia="zh-CN"/>
        </w:rPr>
        <w:t>人均资产变化率无较大变化。</w:t>
      </w:r>
      <w:r>
        <w:rPr>
          <w:rFonts w:hint="eastAsia" w:ascii="仿宋" w:hAnsi="仿宋" w:eastAsia="仿宋" w:cs="仿宋"/>
          <w:bCs/>
          <w:sz w:val="32"/>
          <w:szCs w:val="32"/>
          <w:highlight w:val="none"/>
          <w:lang w:val="en-US" w:eastAsia="zh-CN"/>
        </w:rPr>
        <w:t>该项</w:t>
      </w:r>
      <w:r>
        <w:rPr>
          <w:rFonts w:hint="eastAsia" w:ascii="仿宋" w:hAnsi="仿宋" w:eastAsia="仿宋"/>
          <w:sz w:val="32"/>
          <w:szCs w:val="32"/>
          <w:highlight w:val="none"/>
          <w:lang w:val="zh-CN" w:eastAsia="zh-CN"/>
        </w:rPr>
        <w:t>自评得分为</w:t>
      </w:r>
      <w:r>
        <w:rPr>
          <w:rFonts w:hint="eastAsia" w:ascii="仿宋" w:hAnsi="仿宋" w:eastAsia="仿宋"/>
          <w:sz w:val="32"/>
          <w:szCs w:val="32"/>
          <w:highlight w:val="none"/>
          <w:lang w:val="en-US" w:eastAsia="zh-CN"/>
        </w:rPr>
        <w:t>3分。</w:t>
      </w:r>
    </w:p>
    <w:p w14:paraId="70A0E31E">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jc w:val="both"/>
        <w:textAlignment w:val="auto"/>
        <w:rPr>
          <w:rFonts w:hint="eastAsia" w:ascii="仿宋" w:hAnsi="仿宋" w:eastAsia="仿宋"/>
          <w:sz w:val="32"/>
          <w:szCs w:val="32"/>
          <w:highlight w:val="none"/>
          <w:lang w:val="en-US" w:eastAsia="zh-CN"/>
        </w:rPr>
      </w:pPr>
      <w:r>
        <w:rPr>
          <w:rFonts w:hint="eastAsia" w:ascii="仿宋_GB2312" w:hAnsi="仿宋_GB2312" w:eastAsia="仿宋_GB2312" w:cs="仿宋_GB2312"/>
          <w:sz w:val="32"/>
          <w:szCs w:val="32"/>
          <w:lang w:val="en-US" w:eastAsia="zh-CN"/>
        </w:rPr>
        <w:t xml:space="preserve">   资产利用率：我</w:t>
      </w:r>
      <w:r>
        <w:rPr>
          <w:rFonts w:hint="eastAsia" w:ascii="仿宋_GB2312" w:hAnsi="仿宋_GB2312" w:cs="仿宋_GB2312"/>
          <w:sz w:val="32"/>
          <w:szCs w:val="32"/>
          <w:lang w:val="en-US" w:eastAsia="zh-CN"/>
        </w:rPr>
        <w:t>乡</w:t>
      </w:r>
      <w:r>
        <w:rPr>
          <w:rFonts w:hint="eastAsia" w:ascii="仿宋_GB2312" w:hAnsi="仿宋_GB2312" w:eastAsia="仿宋_GB2312" w:cs="仿宋_GB2312"/>
          <w:sz w:val="32"/>
          <w:szCs w:val="32"/>
          <w:lang w:val="en-US" w:eastAsia="zh-CN"/>
        </w:rPr>
        <w:t>对到期仍具有使用价值的资产进行功能挖潜、修旧利废、合理调剂满足单位不同委室业务工作需求，做到物尽其用，尽可能减少资产配置，减少财政经费支出，有效盘活并高效使用闲置资产，加强单位内部资源统筹</w:t>
      </w:r>
      <w:r>
        <w:rPr>
          <w:rFonts w:hint="eastAsia" w:ascii="仿宋" w:hAnsi="仿宋" w:eastAsia="仿宋"/>
          <w:sz w:val="32"/>
          <w:szCs w:val="32"/>
          <w:highlight w:val="none"/>
          <w:lang w:val="zh-CN" w:eastAsia="zh-CN"/>
        </w:rPr>
        <w:t>。</w:t>
      </w:r>
      <w:r>
        <w:rPr>
          <w:rFonts w:hint="eastAsia" w:ascii="仿宋" w:hAnsi="仿宋" w:eastAsia="仿宋" w:cs="仿宋"/>
          <w:bCs/>
          <w:sz w:val="32"/>
          <w:szCs w:val="32"/>
          <w:highlight w:val="none"/>
          <w:lang w:val="en-US" w:eastAsia="zh-CN"/>
        </w:rPr>
        <w:t>该项</w:t>
      </w:r>
      <w:r>
        <w:rPr>
          <w:rFonts w:hint="eastAsia" w:ascii="仿宋" w:hAnsi="仿宋" w:eastAsia="仿宋"/>
          <w:sz w:val="32"/>
          <w:szCs w:val="32"/>
          <w:highlight w:val="none"/>
          <w:lang w:val="zh-CN" w:eastAsia="zh-CN"/>
        </w:rPr>
        <w:t>自评得分为</w:t>
      </w:r>
      <w:r>
        <w:rPr>
          <w:rFonts w:hint="eastAsia" w:ascii="仿宋" w:hAnsi="仿宋" w:eastAsia="仿宋"/>
          <w:sz w:val="32"/>
          <w:szCs w:val="32"/>
          <w:highlight w:val="none"/>
          <w:lang w:val="en-US" w:eastAsia="zh-CN"/>
        </w:rPr>
        <w:t>3分。</w:t>
      </w:r>
    </w:p>
    <w:p w14:paraId="46AAC7B3">
      <w:pPr>
        <w:pStyle w:val="2"/>
        <w:rPr>
          <w:rFonts w:hint="eastAsia" w:ascii="仿宋_GB2312" w:hAnsi="仿宋_GB2312" w:eastAsia="仿宋_GB2312" w:cs="仿宋_GB2312"/>
          <w:b w:val="0"/>
          <w:kern w:val="2"/>
          <w:sz w:val="32"/>
          <w:szCs w:val="32"/>
          <w:lang w:val="en-US" w:eastAsia="zh-CN" w:bidi="ar-SA"/>
        </w:rPr>
      </w:pPr>
      <w:r>
        <w:rPr>
          <w:rFonts w:hint="eastAsia" w:ascii="仿宋_GB2312" w:hAnsi="仿宋_GB2312" w:eastAsia="仿宋_GB2312" w:cs="仿宋_GB2312"/>
          <w:b w:val="0"/>
          <w:kern w:val="2"/>
          <w:sz w:val="32"/>
          <w:szCs w:val="32"/>
          <w:lang w:val="en-US" w:eastAsia="zh-CN" w:bidi="ar-SA"/>
        </w:rPr>
        <w:t xml:space="preserve">  </w:t>
      </w:r>
      <w:r>
        <w:rPr>
          <w:rFonts w:hint="eastAsia" w:ascii="仿宋_GB2312" w:hAnsi="仿宋_GB2312" w:eastAsia="仿宋_GB2312" w:cs="仿宋_GB2312"/>
          <w:b w:val="0"/>
          <w:kern w:val="2"/>
          <w:sz w:val="32"/>
          <w:szCs w:val="32"/>
          <w:lang w:val="zh-CN" w:eastAsia="zh-CN" w:bidi="ar-SA"/>
        </w:rPr>
        <w:t>资产盘活率：</w:t>
      </w:r>
      <w:r>
        <w:rPr>
          <w:rFonts w:hint="eastAsia" w:ascii="仿宋_GB2312" w:hAnsi="仿宋_GB2312" w:eastAsia="仿宋_GB2312" w:cs="仿宋_GB2312"/>
          <w:b w:val="0"/>
          <w:kern w:val="2"/>
          <w:sz w:val="32"/>
          <w:szCs w:val="32"/>
          <w:lang w:val="en-US" w:eastAsia="zh-CN" w:bidi="ar-SA"/>
        </w:rPr>
        <w:t>我乡无</w:t>
      </w:r>
      <w:r>
        <w:rPr>
          <w:rFonts w:hint="eastAsia" w:ascii="仿宋_GB2312" w:hAnsi="仿宋_GB2312" w:eastAsia="仿宋_GB2312" w:cs="仿宋_GB2312"/>
          <w:b w:val="0"/>
          <w:kern w:val="2"/>
          <w:sz w:val="32"/>
          <w:szCs w:val="32"/>
          <w:lang w:val="zh-CN" w:eastAsia="zh-CN" w:bidi="ar-SA"/>
        </w:rPr>
        <w:t>闲置一年以上的资产盘活</w:t>
      </w:r>
      <w:r>
        <w:rPr>
          <w:rFonts w:hint="eastAsia" w:ascii="仿宋_GB2312" w:hAnsi="仿宋_GB2312" w:eastAsia="仿宋_GB2312" w:cs="仿宋_GB2312"/>
          <w:b w:val="0"/>
          <w:kern w:val="2"/>
          <w:sz w:val="32"/>
          <w:szCs w:val="32"/>
          <w:lang w:val="en-US" w:eastAsia="zh-CN" w:bidi="ar-SA"/>
        </w:rPr>
        <w:t>情况。该项</w:t>
      </w:r>
      <w:r>
        <w:rPr>
          <w:rFonts w:hint="eastAsia" w:ascii="仿宋_GB2312" w:hAnsi="仿宋_GB2312" w:eastAsia="仿宋_GB2312" w:cs="仿宋_GB2312"/>
          <w:b w:val="0"/>
          <w:kern w:val="2"/>
          <w:sz w:val="32"/>
          <w:szCs w:val="32"/>
          <w:lang w:val="zh-CN" w:eastAsia="zh-CN" w:bidi="ar-SA"/>
        </w:rPr>
        <w:t>自评得分为</w:t>
      </w:r>
      <w:r>
        <w:rPr>
          <w:rFonts w:hint="eastAsia" w:ascii="仿宋_GB2312" w:hAnsi="仿宋_GB2312" w:eastAsia="仿宋_GB2312" w:cs="仿宋_GB2312"/>
          <w:b w:val="0"/>
          <w:kern w:val="2"/>
          <w:sz w:val="32"/>
          <w:szCs w:val="32"/>
          <w:lang w:val="en-US" w:eastAsia="zh-CN" w:bidi="ar-SA"/>
        </w:rPr>
        <w:t>0分。</w:t>
      </w:r>
    </w:p>
    <w:p w14:paraId="026F32EF">
      <w:pPr>
        <w:keepNext w:val="0"/>
        <w:keepLines w:val="0"/>
        <w:pageBreakBefore w:val="0"/>
        <w:widowControl/>
        <w:numPr>
          <w:ilvl w:val="0"/>
          <w:numId w:val="3"/>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楷体_GB2312" w:eastAsia="楷体_GB2312" w:cs="楷体_GB2312"/>
          <w:color w:val="000000"/>
          <w:kern w:val="0"/>
          <w:szCs w:val="32"/>
          <w:highlight w:val="none"/>
          <w:shd w:val="clear" w:color="auto" w:fill="FFFFFF"/>
          <w:lang w:val="zh-CN"/>
        </w:rPr>
      </w:pPr>
      <w:bookmarkStart w:id="0" w:name="_GoBack"/>
      <w:bookmarkEnd w:id="0"/>
      <w:r>
        <w:rPr>
          <w:rFonts w:ascii="楷体_GB2312" w:eastAsia="楷体_GB2312" w:cs="楷体_GB2312"/>
          <w:color w:val="000000"/>
          <w:kern w:val="0"/>
          <w:szCs w:val="32"/>
          <w:highlight w:val="none"/>
          <w:shd w:val="clear" w:color="auto" w:fill="FFFFFF"/>
          <w:lang w:val="zh-CN"/>
        </w:rPr>
        <w:t>采购管理</w:t>
      </w:r>
      <w:r>
        <w:rPr>
          <w:rFonts w:hint="eastAsia" w:ascii="楷体_GB2312" w:eastAsia="楷体_GB2312" w:cs="楷体_GB2312"/>
          <w:color w:val="000000"/>
          <w:kern w:val="0"/>
          <w:szCs w:val="32"/>
          <w:highlight w:val="none"/>
          <w:shd w:val="clear" w:color="auto" w:fill="FFFFFF"/>
          <w:lang w:val="zh-CN"/>
        </w:rPr>
        <w:t>。</w:t>
      </w:r>
    </w:p>
    <w:p w14:paraId="2D752469">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jc w:val="both"/>
        <w:textAlignment w:val="auto"/>
        <w:outlineLvl w:val="9"/>
        <w:rPr>
          <w:rFonts w:hint="eastAsia" w:ascii="仿宋_GB2312" w:hAnsi="仿宋_GB2312" w:eastAsia="仿宋_GB2312" w:cs="仿宋_GB2312"/>
          <w:b w:val="0"/>
          <w:kern w:val="2"/>
          <w:sz w:val="32"/>
          <w:szCs w:val="32"/>
          <w:lang w:val="zh-CN" w:eastAsia="zh-CN" w:bidi="ar-SA"/>
        </w:rPr>
      </w:pPr>
      <w:r>
        <w:rPr>
          <w:rFonts w:hint="eastAsia" w:ascii="仿宋_GB2312" w:hAnsi="仿宋_GB2312" w:eastAsia="仿宋_GB2312" w:cs="仿宋_GB2312"/>
          <w:b w:val="0"/>
          <w:kern w:val="2"/>
          <w:sz w:val="32"/>
          <w:szCs w:val="32"/>
          <w:lang w:val="zh-CN" w:eastAsia="zh-CN" w:bidi="ar-SA"/>
        </w:rPr>
        <w:t>支持中小企业发展：</w:t>
      </w:r>
      <w:r>
        <w:rPr>
          <w:rFonts w:hint="eastAsia" w:ascii="仿宋_GB2312" w:hAnsi="仿宋_GB2312" w:eastAsia="仿宋_GB2312" w:cs="仿宋_GB2312"/>
          <w:b w:val="0"/>
          <w:kern w:val="2"/>
          <w:sz w:val="32"/>
          <w:szCs w:val="32"/>
          <w:lang w:val="en-US" w:eastAsia="zh-CN" w:bidi="ar-SA"/>
        </w:rPr>
        <w:t>我</w:t>
      </w:r>
      <w:r>
        <w:rPr>
          <w:rFonts w:hint="eastAsia" w:ascii="仿宋_GB2312" w:hAnsi="仿宋_GB2312" w:cs="仿宋_GB2312"/>
          <w:b w:val="0"/>
          <w:kern w:val="2"/>
          <w:sz w:val="32"/>
          <w:szCs w:val="32"/>
          <w:lang w:val="en-US" w:eastAsia="zh-CN" w:bidi="ar-SA"/>
        </w:rPr>
        <w:t>乡</w:t>
      </w:r>
      <w:r>
        <w:rPr>
          <w:rFonts w:hint="eastAsia" w:ascii="仿宋_GB2312" w:hAnsi="仿宋_GB2312" w:eastAsia="仿宋_GB2312" w:cs="仿宋_GB2312"/>
          <w:b w:val="0"/>
          <w:kern w:val="2"/>
          <w:sz w:val="32"/>
          <w:szCs w:val="32"/>
          <w:lang w:val="zh-CN" w:eastAsia="zh-CN" w:bidi="ar-SA"/>
        </w:rPr>
        <w:t>严格执行政府采购促进中小企业发展相关管理</w:t>
      </w:r>
      <w:r>
        <w:rPr>
          <w:rFonts w:hint="eastAsia" w:ascii="仿宋_GB2312" w:hAnsi="仿宋_GB2312" w:cs="仿宋_GB2312"/>
          <w:b w:val="0"/>
          <w:kern w:val="2"/>
          <w:sz w:val="32"/>
          <w:szCs w:val="32"/>
          <w:lang w:val="zh-CN" w:eastAsia="zh-CN" w:bidi="ar-SA"/>
        </w:rPr>
        <w:t>乡</w:t>
      </w:r>
      <w:r>
        <w:rPr>
          <w:rFonts w:hint="eastAsia" w:ascii="仿宋_GB2312" w:hAnsi="仿宋_GB2312" w:eastAsia="仿宋_GB2312" w:cs="仿宋_GB2312"/>
          <w:b w:val="0"/>
          <w:kern w:val="2"/>
          <w:sz w:val="32"/>
          <w:szCs w:val="32"/>
          <w:lang w:val="zh-CN" w:eastAsia="zh-CN" w:bidi="ar-SA"/>
        </w:rPr>
        <w:t>法</w:t>
      </w:r>
      <w:r>
        <w:rPr>
          <w:rFonts w:hint="eastAsia" w:ascii="仿宋_GB2312" w:hAnsi="仿宋_GB2312" w:eastAsia="仿宋_GB2312" w:cs="仿宋_GB2312"/>
          <w:b w:val="0"/>
          <w:kern w:val="2"/>
          <w:sz w:val="32"/>
          <w:szCs w:val="32"/>
          <w:lang w:val="en-US" w:eastAsia="zh-CN" w:bidi="ar-SA"/>
        </w:rPr>
        <w:t>，对适宜由中小企业提供的采购项目和采购包，预留采购份额专门面向中小企业采购，并在采购预算中单独列示。该项</w:t>
      </w:r>
      <w:r>
        <w:rPr>
          <w:rFonts w:hint="eastAsia" w:ascii="仿宋_GB2312" w:hAnsi="仿宋_GB2312" w:eastAsia="仿宋_GB2312" w:cs="仿宋_GB2312"/>
          <w:b w:val="0"/>
          <w:kern w:val="2"/>
          <w:sz w:val="32"/>
          <w:szCs w:val="32"/>
          <w:lang w:val="zh-CN" w:eastAsia="zh-CN" w:bidi="ar-SA"/>
        </w:rPr>
        <w:t>自评得分为</w:t>
      </w:r>
      <w:r>
        <w:rPr>
          <w:rFonts w:hint="eastAsia" w:ascii="仿宋_GB2312" w:hAnsi="仿宋_GB2312" w:eastAsia="仿宋_GB2312" w:cs="仿宋_GB2312"/>
          <w:b w:val="0"/>
          <w:kern w:val="2"/>
          <w:sz w:val="32"/>
          <w:szCs w:val="32"/>
          <w:lang w:val="en-US" w:eastAsia="zh-CN" w:bidi="ar-SA"/>
        </w:rPr>
        <w:t>3分。</w:t>
      </w:r>
    </w:p>
    <w:p w14:paraId="46E7A809">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jc w:val="both"/>
        <w:textAlignment w:val="auto"/>
        <w:outlineLvl w:val="9"/>
        <w:rPr>
          <w:rFonts w:hint="eastAsia" w:ascii="仿宋_GB2312" w:hAnsi="仿宋_GB2312" w:eastAsia="仿宋_GB2312" w:cs="仿宋_GB2312"/>
          <w:b w:val="0"/>
          <w:kern w:val="2"/>
          <w:sz w:val="32"/>
          <w:szCs w:val="32"/>
          <w:lang w:val="zh-CN" w:eastAsia="zh-CN" w:bidi="ar-SA"/>
        </w:rPr>
      </w:pPr>
      <w:r>
        <w:rPr>
          <w:rFonts w:hint="eastAsia" w:ascii="仿宋_GB2312" w:hAnsi="仿宋_GB2312" w:eastAsia="仿宋_GB2312" w:cs="仿宋_GB2312"/>
          <w:b w:val="0"/>
          <w:kern w:val="2"/>
          <w:sz w:val="32"/>
          <w:szCs w:val="32"/>
          <w:lang w:val="en-US" w:eastAsia="zh-CN" w:bidi="ar-SA"/>
        </w:rPr>
        <w:t>采购执行率：严格按照流程执行采购预算支付。该项</w:t>
      </w:r>
      <w:r>
        <w:rPr>
          <w:rFonts w:hint="eastAsia" w:ascii="仿宋_GB2312" w:hAnsi="仿宋_GB2312" w:eastAsia="仿宋_GB2312" w:cs="仿宋_GB2312"/>
          <w:b w:val="0"/>
          <w:kern w:val="2"/>
          <w:sz w:val="32"/>
          <w:szCs w:val="32"/>
          <w:lang w:val="zh-CN" w:eastAsia="zh-CN" w:bidi="ar-SA"/>
        </w:rPr>
        <w:t>自评得分为</w:t>
      </w:r>
      <w:r>
        <w:rPr>
          <w:rFonts w:hint="eastAsia" w:ascii="仿宋_GB2312" w:hAnsi="仿宋_GB2312" w:eastAsia="仿宋_GB2312" w:cs="仿宋_GB2312"/>
          <w:b w:val="0"/>
          <w:kern w:val="2"/>
          <w:sz w:val="32"/>
          <w:szCs w:val="32"/>
          <w:lang w:val="en-US" w:eastAsia="zh-CN" w:bidi="ar-SA"/>
        </w:rPr>
        <w:t>3分。</w:t>
      </w:r>
    </w:p>
    <w:p w14:paraId="4EF9F23F">
      <w:pPr>
        <w:keepNext w:val="0"/>
        <w:keepLines w:val="0"/>
        <w:pageBreakBefore w:val="0"/>
        <w:widowControl/>
        <w:kinsoku/>
        <w:wordWrap/>
        <w:overflowPunct/>
        <w:topLinePunct w:val="0"/>
        <w:autoSpaceDE/>
        <w:autoSpaceDN/>
        <w:bidi w:val="0"/>
        <w:adjustRightInd w:val="0"/>
        <w:snapToGrid w:val="0"/>
        <w:spacing w:line="576" w:lineRule="exact"/>
        <w:ind w:firstLine="643" w:firstLineChars="200"/>
        <w:contextualSpacing/>
        <w:jc w:val="left"/>
        <w:textAlignment w:val="auto"/>
        <w:outlineLvl w:val="9"/>
        <w:rPr>
          <w:rFonts w:hint="default" w:ascii="Times New Roman" w:hAnsi="Times New Roman" w:cs="Times New Roman"/>
          <w:color w:val="000000"/>
          <w:kern w:val="0"/>
          <w:szCs w:val="32"/>
          <w:highlight w:val="none"/>
          <w:shd w:val="clear" w:color="auto" w:fill="FFFFFF"/>
          <w:lang w:val="en-US" w:eastAsia="zh-CN"/>
        </w:rPr>
      </w:pPr>
      <w:r>
        <w:rPr>
          <w:rFonts w:hint="default" w:ascii="Times New Roman" w:hAnsi="Times New Roman" w:eastAsia="楷体_GB2312" w:cs="Times New Roman"/>
          <w:b/>
          <w:bCs/>
          <w:color w:val="000000"/>
          <w:kern w:val="0"/>
          <w:szCs w:val="32"/>
          <w:highlight w:val="none"/>
          <w:shd w:val="clear" w:color="auto" w:fill="FFFFFF"/>
          <w:lang w:val="zh-CN"/>
        </w:rPr>
        <w:t>（二）部门预算项目绩效分析。</w:t>
      </w:r>
    </w:p>
    <w:p w14:paraId="0904D97A">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0" w:firstLineChars="200"/>
        <w:contextualSpacing/>
        <w:jc w:val="left"/>
        <w:textAlignment w:val="auto"/>
        <w:outlineLvl w:val="9"/>
        <w:rPr>
          <w:rFonts w:hint="default" w:cs="Times New Roman"/>
          <w:color w:val="000000"/>
          <w:kern w:val="0"/>
          <w:szCs w:val="32"/>
          <w:highlight w:val="none"/>
          <w:shd w:val="clear" w:color="auto" w:fill="FFFFFF"/>
          <w:lang w:val="zh-CN" w:eastAsia="zh-CN"/>
        </w:rPr>
      </w:pPr>
      <w:r>
        <w:rPr>
          <w:rFonts w:hint="default" w:cs="Times New Roman"/>
          <w:color w:val="000000"/>
          <w:kern w:val="0"/>
          <w:szCs w:val="32"/>
          <w:highlight w:val="none"/>
          <w:shd w:val="clear" w:color="auto" w:fill="FFFFFF"/>
          <w:lang w:val="en-US" w:eastAsia="zh-CN"/>
        </w:rPr>
        <w:t>常年项目绩效分析。</w:t>
      </w:r>
      <w:r>
        <w:rPr>
          <w:rFonts w:hint="default" w:cs="Times New Roman"/>
          <w:color w:val="000000"/>
          <w:kern w:val="0"/>
          <w:szCs w:val="32"/>
          <w:highlight w:val="none"/>
          <w:shd w:val="clear" w:color="auto" w:fill="FFFFFF"/>
          <w:lang w:val="zh-CN" w:eastAsia="zh-CN"/>
        </w:rPr>
        <w:t>该类项目总数</w:t>
      </w:r>
      <w:r>
        <w:rPr>
          <w:rFonts w:hint="default" w:cs="Times New Roman"/>
          <w:color w:val="000000"/>
          <w:kern w:val="0"/>
          <w:szCs w:val="32"/>
          <w:highlight w:val="none"/>
          <w:shd w:val="clear" w:color="auto" w:fill="FFFFFF"/>
          <w:lang w:val="en-US" w:eastAsia="zh-CN"/>
        </w:rPr>
        <w:t xml:space="preserve"> </w:t>
      </w:r>
      <w:r>
        <w:rPr>
          <w:rFonts w:hint="eastAsia" w:cs="Times New Roman"/>
          <w:color w:val="000000"/>
          <w:kern w:val="0"/>
          <w:szCs w:val="32"/>
          <w:highlight w:val="none"/>
          <w:shd w:val="clear" w:color="auto" w:fill="FFFFFF"/>
          <w:lang w:val="en-US" w:eastAsia="zh-CN"/>
        </w:rPr>
        <w:t>8</w:t>
      </w:r>
      <w:r>
        <w:rPr>
          <w:rFonts w:hint="default" w:cs="Times New Roman"/>
          <w:color w:val="000000"/>
          <w:kern w:val="0"/>
          <w:szCs w:val="32"/>
          <w:highlight w:val="none"/>
          <w:shd w:val="clear" w:color="auto" w:fill="FFFFFF"/>
          <w:lang w:val="zh-CN" w:eastAsia="zh-CN"/>
        </w:rPr>
        <w:t>个，涉及预算总金额</w:t>
      </w:r>
      <w:r>
        <w:rPr>
          <w:rFonts w:hint="default" w:cs="Times New Roman"/>
          <w:color w:val="000000"/>
          <w:kern w:val="0"/>
          <w:szCs w:val="32"/>
          <w:highlight w:val="none"/>
          <w:shd w:val="clear" w:color="auto" w:fill="FFFFFF"/>
          <w:lang w:val="en-US" w:eastAsia="zh-CN"/>
        </w:rPr>
        <w:t xml:space="preserve">   </w:t>
      </w:r>
      <w:r>
        <w:rPr>
          <w:rFonts w:hint="default" w:cs="Times New Roman"/>
          <w:color w:val="000000"/>
          <w:kern w:val="0"/>
          <w:szCs w:val="32"/>
          <w:highlight w:val="none"/>
          <w:shd w:val="clear" w:color="auto" w:fill="FFFFFF"/>
          <w:lang w:val="zh-CN" w:eastAsia="zh-CN"/>
        </w:rPr>
        <w:t>万元，</w:t>
      </w:r>
      <w:r>
        <w:rPr>
          <w:rFonts w:hint="default" w:cs="Times New Roman"/>
          <w:color w:val="000000"/>
          <w:kern w:val="0"/>
          <w:szCs w:val="32"/>
          <w:highlight w:val="none"/>
          <w:shd w:val="clear" w:color="auto" w:fill="FFFFFF"/>
          <w:lang w:val="zh-CN"/>
        </w:rPr>
        <w:t>1</w:t>
      </w:r>
      <w:r>
        <w:rPr>
          <w:rFonts w:hint="eastAsia" w:cs="Times New Roman"/>
          <w:color w:val="000000"/>
          <w:kern w:val="0"/>
          <w:szCs w:val="32"/>
          <w:highlight w:val="none"/>
          <w:shd w:val="clear" w:color="auto" w:fill="FFFFFF"/>
          <w:lang w:val="zh-CN" w:eastAsia="zh-CN"/>
        </w:rPr>
        <w:t>—</w:t>
      </w:r>
      <w:r>
        <w:rPr>
          <w:rFonts w:hint="default" w:cs="Times New Roman"/>
          <w:color w:val="000000"/>
          <w:kern w:val="0"/>
          <w:szCs w:val="32"/>
          <w:highlight w:val="none"/>
          <w:shd w:val="clear" w:color="auto" w:fill="FFFFFF"/>
          <w:lang w:val="zh-CN"/>
        </w:rPr>
        <w:t>1</w:t>
      </w:r>
      <w:r>
        <w:rPr>
          <w:rFonts w:hint="default" w:cs="Times New Roman"/>
          <w:color w:val="000000"/>
          <w:kern w:val="0"/>
          <w:szCs w:val="32"/>
          <w:highlight w:val="none"/>
          <w:shd w:val="clear" w:color="auto" w:fill="FFFFFF"/>
          <w:lang w:val="en-US" w:eastAsia="zh-CN"/>
        </w:rPr>
        <w:t>2</w:t>
      </w:r>
      <w:r>
        <w:rPr>
          <w:rFonts w:hint="default" w:cs="Times New Roman"/>
          <w:color w:val="000000"/>
          <w:kern w:val="0"/>
          <w:szCs w:val="32"/>
          <w:highlight w:val="none"/>
          <w:shd w:val="clear" w:color="auto" w:fill="FFFFFF"/>
          <w:lang w:val="zh-CN"/>
        </w:rPr>
        <w:t>月预算执行总体进度为</w:t>
      </w:r>
      <w:r>
        <w:rPr>
          <w:rFonts w:hint="eastAsia" w:cs="Times New Roman"/>
          <w:color w:val="000000"/>
          <w:kern w:val="0"/>
          <w:szCs w:val="32"/>
          <w:highlight w:val="none"/>
          <w:shd w:val="clear" w:color="auto" w:fill="FFFFFF"/>
          <w:lang w:val="en-US" w:eastAsia="zh-CN"/>
        </w:rPr>
        <w:t>100</w:t>
      </w:r>
      <w:r>
        <w:rPr>
          <w:rFonts w:hint="default" w:cs="Times New Roman"/>
          <w:color w:val="000000"/>
          <w:kern w:val="0"/>
          <w:szCs w:val="32"/>
          <w:highlight w:val="none"/>
          <w:shd w:val="clear" w:color="auto" w:fill="FFFFFF"/>
          <w:lang w:val="en-US" w:eastAsia="zh-CN"/>
        </w:rPr>
        <w:t xml:space="preserve"> </w:t>
      </w:r>
      <w:r>
        <w:rPr>
          <w:rFonts w:hint="default" w:cs="Times New Roman"/>
          <w:color w:val="000000"/>
          <w:kern w:val="0"/>
          <w:szCs w:val="32"/>
          <w:highlight w:val="none"/>
          <w:shd w:val="clear" w:color="auto" w:fill="FFFFFF"/>
          <w:lang w:val="zh-CN"/>
        </w:rPr>
        <w:t>%，其中：</w:t>
      </w:r>
      <w:r>
        <w:rPr>
          <w:rFonts w:hint="default" w:cs="Times New Roman"/>
          <w:color w:val="000000"/>
          <w:kern w:val="0"/>
          <w:szCs w:val="32"/>
          <w:highlight w:val="none"/>
          <w:shd w:val="clear" w:color="auto" w:fill="FFFFFF"/>
          <w:lang w:val="zh-CN" w:eastAsia="zh-CN"/>
        </w:rPr>
        <w:t>预算结余率大于</w:t>
      </w:r>
      <w:r>
        <w:rPr>
          <w:rFonts w:hint="default" w:cs="Times New Roman"/>
          <w:color w:val="000000"/>
          <w:kern w:val="0"/>
          <w:szCs w:val="32"/>
          <w:highlight w:val="none"/>
          <w:shd w:val="clear" w:color="auto" w:fill="FFFFFF"/>
          <w:lang w:val="en-US" w:eastAsia="zh-CN"/>
        </w:rPr>
        <w:t>10%</w:t>
      </w:r>
      <w:r>
        <w:rPr>
          <w:rFonts w:hint="default" w:cs="Times New Roman"/>
          <w:color w:val="000000"/>
          <w:kern w:val="0"/>
          <w:szCs w:val="32"/>
          <w:highlight w:val="none"/>
          <w:shd w:val="clear" w:color="auto" w:fill="FFFFFF"/>
          <w:lang w:val="zh-CN" w:eastAsia="zh-CN"/>
        </w:rPr>
        <w:t>的项目共计</w:t>
      </w:r>
      <w:r>
        <w:rPr>
          <w:rFonts w:hint="eastAsia" w:cs="Times New Roman"/>
          <w:color w:val="000000"/>
          <w:kern w:val="0"/>
          <w:szCs w:val="32"/>
          <w:highlight w:val="none"/>
          <w:shd w:val="clear" w:color="auto" w:fill="FFFFFF"/>
          <w:lang w:val="en-US" w:eastAsia="zh-CN"/>
        </w:rPr>
        <w:t>0</w:t>
      </w:r>
      <w:r>
        <w:rPr>
          <w:rFonts w:hint="default" w:cs="Times New Roman"/>
          <w:color w:val="000000"/>
          <w:kern w:val="0"/>
          <w:szCs w:val="32"/>
          <w:highlight w:val="none"/>
          <w:shd w:val="clear" w:color="auto" w:fill="FFFFFF"/>
          <w:lang w:val="zh-CN" w:eastAsia="zh-CN"/>
        </w:rPr>
        <w:t>个。</w:t>
      </w:r>
    </w:p>
    <w:p w14:paraId="0DE2EB9E">
      <w:pPr>
        <w:pStyle w:val="8"/>
        <w:keepNext w:val="0"/>
        <w:keepLines w:val="0"/>
        <w:pageBreakBefore w:val="0"/>
        <w:kinsoku/>
        <w:wordWrap/>
        <w:overflowPunct/>
        <w:topLinePunct w:val="0"/>
        <w:autoSpaceDE/>
        <w:autoSpaceDN/>
        <w:bidi w:val="0"/>
        <w:spacing w:line="576" w:lineRule="exact"/>
        <w:textAlignment w:val="auto"/>
        <w:rPr>
          <w:rFonts w:hint="default" w:cs="Times New Roman"/>
          <w:color w:val="000000"/>
          <w:kern w:val="0"/>
          <w:szCs w:val="32"/>
          <w:highlight w:val="none"/>
          <w:shd w:val="clear" w:color="auto" w:fill="FFFFFF"/>
          <w:lang w:val="en-US" w:eastAsia="zh-CN"/>
        </w:rPr>
      </w:pPr>
      <w:r>
        <w:rPr>
          <w:rFonts w:hint="eastAsia" w:cs="Times New Roman"/>
          <w:color w:val="000000"/>
          <w:kern w:val="0"/>
          <w:szCs w:val="32"/>
          <w:highlight w:val="none"/>
          <w:shd w:val="clear" w:color="auto" w:fill="FFFFFF"/>
          <w:lang w:val="en-US" w:eastAsia="zh-CN"/>
        </w:rPr>
        <w:t xml:space="preserve">    1.人大经费项目：2024年预算数8万元，2024年支付8万元，拨付率为100%，该项目绩效总体目标为保障人大工作正常运行，人大工作有序开展。</w:t>
      </w:r>
    </w:p>
    <w:p w14:paraId="6BE29119">
      <w:pPr>
        <w:pStyle w:val="8"/>
        <w:keepNext w:val="0"/>
        <w:keepLines w:val="0"/>
        <w:pageBreakBefore w:val="0"/>
        <w:kinsoku/>
        <w:wordWrap/>
        <w:overflowPunct/>
        <w:topLinePunct w:val="0"/>
        <w:autoSpaceDE/>
        <w:autoSpaceDN/>
        <w:bidi w:val="0"/>
        <w:spacing w:line="576" w:lineRule="exact"/>
        <w:ind w:firstLine="640"/>
        <w:textAlignment w:val="auto"/>
        <w:rPr>
          <w:rFonts w:hint="eastAsia" w:cs="Times New Roman"/>
          <w:color w:val="000000"/>
          <w:kern w:val="0"/>
          <w:szCs w:val="32"/>
          <w:highlight w:val="none"/>
          <w:shd w:val="clear" w:color="auto" w:fill="FFFFFF"/>
          <w:lang w:val="en-US" w:eastAsia="zh-CN"/>
        </w:rPr>
      </w:pPr>
      <w:r>
        <w:rPr>
          <w:rFonts w:hint="eastAsia" w:cs="Times New Roman"/>
          <w:color w:val="000000"/>
          <w:kern w:val="0"/>
          <w:szCs w:val="32"/>
          <w:highlight w:val="none"/>
          <w:shd w:val="clear" w:color="auto" w:fill="FFFFFF"/>
          <w:lang w:val="en-US" w:eastAsia="zh-CN"/>
        </w:rPr>
        <w:t>2.年度考核奖项目：2024年预算数55.44万元，2024年拨付155.44万元，拨付率为100%，该项目绩效总体目标为保障年度考核奖正常发放。</w:t>
      </w:r>
    </w:p>
    <w:p w14:paraId="1C2688B0">
      <w:pPr>
        <w:pStyle w:val="8"/>
        <w:keepNext w:val="0"/>
        <w:keepLines w:val="0"/>
        <w:pageBreakBefore w:val="0"/>
        <w:kinsoku/>
        <w:wordWrap/>
        <w:overflowPunct/>
        <w:topLinePunct w:val="0"/>
        <w:autoSpaceDE/>
        <w:autoSpaceDN/>
        <w:bidi w:val="0"/>
        <w:spacing w:line="576" w:lineRule="exact"/>
        <w:ind w:firstLine="640"/>
        <w:textAlignment w:val="auto"/>
        <w:rPr>
          <w:rFonts w:hint="eastAsia" w:cs="Times New Roman"/>
          <w:color w:val="000000"/>
          <w:kern w:val="0"/>
          <w:szCs w:val="32"/>
          <w:highlight w:val="none"/>
          <w:shd w:val="clear" w:color="auto" w:fill="FFFFFF"/>
          <w:lang w:val="en-US" w:eastAsia="zh-CN"/>
        </w:rPr>
      </w:pPr>
      <w:r>
        <w:rPr>
          <w:rFonts w:hint="eastAsia" w:cs="Times New Roman"/>
          <w:color w:val="000000"/>
          <w:kern w:val="0"/>
          <w:szCs w:val="32"/>
          <w:highlight w:val="none"/>
          <w:shd w:val="clear" w:color="auto" w:fill="FFFFFF"/>
          <w:lang w:val="en-US" w:eastAsia="zh-CN"/>
        </w:rPr>
        <w:t>3.</w:t>
      </w:r>
      <w:r>
        <w:rPr>
          <w:rFonts w:hint="default" w:cs="Times New Roman"/>
          <w:color w:val="000000"/>
          <w:kern w:val="0"/>
          <w:szCs w:val="32"/>
          <w:highlight w:val="none"/>
          <w:shd w:val="clear" w:color="auto" w:fill="FFFFFF"/>
          <w:lang w:val="en-US" w:eastAsia="zh-CN"/>
        </w:rPr>
        <w:t>村干部工资</w:t>
      </w:r>
      <w:r>
        <w:rPr>
          <w:rFonts w:hint="eastAsia" w:cs="Times New Roman"/>
          <w:color w:val="000000"/>
          <w:kern w:val="0"/>
          <w:szCs w:val="32"/>
          <w:highlight w:val="none"/>
          <w:shd w:val="clear" w:color="auto" w:fill="FFFFFF"/>
          <w:lang w:val="en-US" w:eastAsia="zh-CN"/>
        </w:rPr>
        <w:t>项目：2024年预算数147.79万元，2024年拨付147.79万元，拨付率为100%，该项目绩效总体目标为确保村干部工资正常发放。</w:t>
      </w:r>
    </w:p>
    <w:p w14:paraId="16E05086">
      <w:pPr>
        <w:pStyle w:val="8"/>
        <w:keepNext w:val="0"/>
        <w:keepLines w:val="0"/>
        <w:pageBreakBefore w:val="0"/>
        <w:kinsoku/>
        <w:wordWrap/>
        <w:overflowPunct/>
        <w:topLinePunct w:val="0"/>
        <w:autoSpaceDE/>
        <w:autoSpaceDN/>
        <w:bidi w:val="0"/>
        <w:spacing w:line="576" w:lineRule="exact"/>
        <w:ind w:firstLine="640"/>
        <w:textAlignment w:val="auto"/>
        <w:rPr>
          <w:rFonts w:hint="eastAsia" w:cs="Times New Roman"/>
          <w:color w:val="000000"/>
          <w:kern w:val="0"/>
          <w:szCs w:val="32"/>
          <w:highlight w:val="none"/>
          <w:shd w:val="clear" w:color="auto" w:fill="FFFFFF"/>
          <w:lang w:val="en-US" w:eastAsia="zh-CN"/>
        </w:rPr>
      </w:pPr>
      <w:r>
        <w:rPr>
          <w:rFonts w:hint="eastAsia" w:cs="Times New Roman"/>
          <w:color w:val="000000"/>
          <w:kern w:val="0"/>
          <w:szCs w:val="32"/>
          <w:highlight w:val="none"/>
          <w:shd w:val="clear" w:color="auto" w:fill="FFFFFF"/>
          <w:lang w:val="en-US" w:eastAsia="zh-CN"/>
        </w:rPr>
        <w:t>4.</w:t>
      </w:r>
      <w:r>
        <w:rPr>
          <w:rFonts w:hint="default" w:cs="Times New Roman"/>
          <w:color w:val="000000"/>
          <w:kern w:val="0"/>
          <w:szCs w:val="32"/>
          <w:highlight w:val="none"/>
          <w:shd w:val="clear" w:color="auto" w:fill="FFFFFF"/>
          <w:lang w:val="en-US" w:eastAsia="zh-CN"/>
        </w:rPr>
        <w:t>村干部体检费</w:t>
      </w:r>
      <w:r>
        <w:rPr>
          <w:rFonts w:hint="eastAsia" w:cs="Times New Roman"/>
          <w:color w:val="000000"/>
          <w:kern w:val="0"/>
          <w:szCs w:val="32"/>
          <w:highlight w:val="none"/>
          <w:shd w:val="clear" w:color="auto" w:fill="FFFFFF"/>
          <w:lang w:val="en-US" w:eastAsia="zh-CN"/>
        </w:rPr>
        <w:t>项目：2024年预算数0.12万元，2024年拨付0.12万元，拨付率为100%，该项目绩效总体目标为保障村干部身体健康。</w:t>
      </w:r>
    </w:p>
    <w:p w14:paraId="4E99293A">
      <w:pPr>
        <w:pStyle w:val="8"/>
        <w:keepNext w:val="0"/>
        <w:keepLines w:val="0"/>
        <w:pageBreakBefore w:val="0"/>
        <w:kinsoku/>
        <w:wordWrap/>
        <w:overflowPunct/>
        <w:topLinePunct w:val="0"/>
        <w:autoSpaceDE/>
        <w:autoSpaceDN/>
        <w:bidi w:val="0"/>
        <w:spacing w:line="576" w:lineRule="exact"/>
        <w:ind w:firstLine="640"/>
        <w:textAlignment w:val="auto"/>
        <w:rPr>
          <w:rFonts w:hint="default" w:cs="Times New Roman"/>
          <w:color w:val="000000"/>
          <w:kern w:val="0"/>
          <w:szCs w:val="32"/>
          <w:highlight w:val="none"/>
          <w:shd w:val="clear" w:color="auto" w:fill="FFFFFF"/>
          <w:lang w:val="en-US" w:eastAsia="zh-CN"/>
        </w:rPr>
      </w:pPr>
      <w:r>
        <w:rPr>
          <w:rFonts w:hint="eastAsia" w:cs="Times New Roman"/>
          <w:color w:val="000000"/>
          <w:kern w:val="0"/>
          <w:szCs w:val="32"/>
          <w:highlight w:val="none"/>
          <w:shd w:val="clear" w:color="auto" w:fill="FFFFFF"/>
          <w:lang w:val="en-US" w:eastAsia="zh-CN"/>
        </w:rPr>
        <w:t>5.</w:t>
      </w:r>
      <w:r>
        <w:rPr>
          <w:rFonts w:hint="default" w:cs="Times New Roman"/>
          <w:color w:val="000000"/>
          <w:kern w:val="0"/>
          <w:szCs w:val="32"/>
          <w:highlight w:val="none"/>
          <w:shd w:val="clear" w:color="auto" w:fill="FFFFFF"/>
          <w:lang w:val="en-US" w:eastAsia="zh-CN"/>
        </w:rPr>
        <w:t>村级公共运行维护费</w:t>
      </w:r>
      <w:r>
        <w:rPr>
          <w:rFonts w:hint="eastAsia" w:cs="Times New Roman"/>
          <w:color w:val="000000"/>
          <w:kern w:val="0"/>
          <w:szCs w:val="32"/>
          <w:highlight w:val="none"/>
          <w:shd w:val="clear" w:color="auto" w:fill="FFFFFF"/>
          <w:lang w:val="en-US" w:eastAsia="zh-CN"/>
        </w:rPr>
        <w:t>项目：2024年预算数49.94万元，2024年拨付49.94万元，拨付率为100%，该项目绩效总体目标为保障村级工作正常运行。</w:t>
      </w:r>
    </w:p>
    <w:p w14:paraId="2CF84222">
      <w:pPr>
        <w:pStyle w:val="8"/>
        <w:keepNext w:val="0"/>
        <w:keepLines w:val="0"/>
        <w:pageBreakBefore w:val="0"/>
        <w:kinsoku/>
        <w:wordWrap/>
        <w:overflowPunct/>
        <w:topLinePunct w:val="0"/>
        <w:autoSpaceDE/>
        <w:autoSpaceDN/>
        <w:bidi w:val="0"/>
        <w:spacing w:line="576" w:lineRule="exact"/>
        <w:ind w:firstLine="640"/>
        <w:textAlignment w:val="auto"/>
        <w:rPr>
          <w:rFonts w:hint="eastAsia" w:cs="Times New Roman"/>
          <w:color w:val="000000"/>
          <w:kern w:val="0"/>
          <w:szCs w:val="32"/>
          <w:highlight w:val="none"/>
          <w:shd w:val="clear" w:color="auto" w:fill="FFFFFF"/>
          <w:lang w:val="en-US" w:eastAsia="zh-CN"/>
        </w:rPr>
      </w:pPr>
      <w:r>
        <w:rPr>
          <w:rFonts w:hint="eastAsia" w:cs="Times New Roman"/>
          <w:color w:val="000000"/>
          <w:kern w:val="0"/>
          <w:szCs w:val="32"/>
          <w:highlight w:val="none"/>
          <w:shd w:val="clear" w:color="auto" w:fill="FFFFFF"/>
          <w:lang w:val="en-US" w:eastAsia="zh-CN"/>
        </w:rPr>
        <w:t>6.驻村工作队专项工作经费项目：2024年预算数6.5万元，2024年拨付6.5万元，拨付率为100%，该项目绩效总体目标为抓好村两委班子建设，增强基层党组织的创造力，提高农村党员带头致富的能力。</w:t>
      </w:r>
    </w:p>
    <w:p w14:paraId="04EB6F54">
      <w:pPr>
        <w:pStyle w:val="8"/>
        <w:keepNext w:val="0"/>
        <w:keepLines w:val="0"/>
        <w:pageBreakBefore w:val="0"/>
        <w:kinsoku/>
        <w:wordWrap/>
        <w:overflowPunct/>
        <w:topLinePunct w:val="0"/>
        <w:autoSpaceDE/>
        <w:autoSpaceDN/>
        <w:bidi w:val="0"/>
        <w:spacing w:line="576" w:lineRule="exact"/>
        <w:ind w:firstLine="640"/>
        <w:textAlignment w:val="auto"/>
        <w:rPr>
          <w:rFonts w:hint="eastAsia" w:cs="Times New Roman"/>
          <w:color w:val="000000"/>
          <w:kern w:val="0"/>
          <w:szCs w:val="32"/>
          <w:highlight w:val="none"/>
          <w:shd w:val="clear" w:color="auto" w:fill="FFFFFF"/>
          <w:lang w:val="en-US" w:eastAsia="zh-CN"/>
        </w:rPr>
      </w:pPr>
      <w:r>
        <w:rPr>
          <w:rFonts w:hint="eastAsia" w:cs="Times New Roman"/>
          <w:color w:val="000000"/>
          <w:kern w:val="0"/>
          <w:szCs w:val="32"/>
          <w:highlight w:val="none"/>
          <w:shd w:val="clear" w:color="auto" w:fill="FFFFFF"/>
          <w:lang w:val="en-US" w:eastAsia="zh-CN"/>
        </w:rPr>
        <w:t>7.华润新能源投资公司捐赠资金项目：2024年预算数11.45万元，2024年拨付11.45万元，拨付率为100%，该项目绩效总体目标为合理使用捐赠资金，加强华润捐赠资金使用率，充分发挥其经济效能，确保各村合规使用捐赠资金，切实提高村基础设施建设，改善村民生活环境，提高村民满意度。</w:t>
      </w:r>
    </w:p>
    <w:p w14:paraId="6C6441D6">
      <w:pPr>
        <w:pStyle w:val="8"/>
        <w:keepNext w:val="0"/>
        <w:keepLines w:val="0"/>
        <w:pageBreakBefore w:val="0"/>
        <w:kinsoku/>
        <w:wordWrap/>
        <w:overflowPunct/>
        <w:topLinePunct w:val="0"/>
        <w:autoSpaceDE/>
        <w:autoSpaceDN/>
        <w:bidi w:val="0"/>
        <w:spacing w:line="576" w:lineRule="exact"/>
        <w:ind w:firstLine="640"/>
        <w:textAlignment w:val="auto"/>
        <w:rPr>
          <w:rFonts w:hint="eastAsia" w:cs="Times New Roman"/>
          <w:color w:val="000000"/>
          <w:kern w:val="0"/>
          <w:szCs w:val="32"/>
          <w:highlight w:val="none"/>
          <w:shd w:val="clear" w:color="auto" w:fill="FFFFFF"/>
          <w:lang w:val="en-US" w:eastAsia="zh-CN"/>
        </w:rPr>
      </w:pPr>
      <w:r>
        <w:rPr>
          <w:rFonts w:hint="eastAsia" w:cs="Times New Roman"/>
          <w:color w:val="000000"/>
          <w:kern w:val="0"/>
          <w:szCs w:val="32"/>
          <w:highlight w:val="none"/>
          <w:shd w:val="clear" w:color="auto" w:fill="FFFFFF"/>
          <w:lang w:val="en-US" w:eastAsia="zh-CN"/>
        </w:rPr>
        <w:t>8.中央省国有企业退休人员社会化管理财政补助资金:该项目为国有资本经营预算支出，2024年预算数0.05万元，2024年拨付0.05万元，拨付率为100%，该项目绩效总体目标为维古乡辖区毛尔盖水电站有限公司退休人员社会化管理的补助，保障退休人员的待遇。</w:t>
      </w:r>
    </w:p>
    <w:p w14:paraId="790865FE">
      <w:pPr>
        <w:pStyle w:val="8"/>
        <w:keepNext w:val="0"/>
        <w:keepLines w:val="0"/>
        <w:pageBreakBefore w:val="0"/>
        <w:kinsoku/>
        <w:wordWrap/>
        <w:overflowPunct/>
        <w:topLinePunct w:val="0"/>
        <w:autoSpaceDE/>
        <w:autoSpaceDN/>
        <w:bidi w:val="0"/>
        <w:spacing w:line="576" w:lineRule="exact"/>
        <w:ind w:firstLine="640"/>
        <w:textAlignment w:val="auto"/>
        <w:rPr>
          <w:rFonts w:hint="eastAsia" w:cs="Times New Roman"/>
          <w:color w:val="000000"/>
          <w:kern w:val="0"/>
          <w:szCs w:val="32"/>
          <w:highlight w:val="none"/>
          <w:shd w:val="clear" w:color="auto" w:fill="FFFFFF"/>
          <w:lang w:val="en-US" w:eastAsia="zh-CN"/>
        </w:rPr>
      </w:pPr>
      <w:r>
        <w:rPr>
          <w:rFonts w:hint="eastAsia" w:cs="Times New Roman"/>
          <w:color w:val="000000"/>
          <w:kern w:val="0"/>
          <w:szCs w:val="32"/>
          <w:highlight w:val="none"/>
          <w:shd w:val="clear" w:color="auto" w:fill="FFFFFF"/>
          <w:lang w:val="en-US" w:eastAsia="zh-CN"/>
        </w:rPr>
        <w:t>9.乡镇避险转移资金：2024年预算数1.18万元，2024年拨付1.18万元，拨付率为100%，该项目绩效总体目标为保障群众避险转移生活补助。</w:t>
      </w:r>
    </w:p>
    <w:p w14:paraId="34AA73D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cs="Times New Roman"/>
          <w:color w:val="000000"/>
          <w:kern w:val="0"/>
          <w:szCs w:val="32"/>
          <w:highlight w:val="none"/>
          <w:shd w:val="clear" w:color="auto" w:fill="FFFFFF"/>
          <w:lang w:val="en-US" w:eastAsia="zh-CN"/>
        </w:rPr>
        <w:t>10.驻外党群服务中心项目：2024年预算数10万元，2024年拨付10万元，拨付率为100%，该项目绩效总体目标为</w:t>
      </w:r>
      <w:r>
        <w:rPr>
          <w:rFonts w:hint="eastAsia" w:ascii="仿宋_GB2312" w:hAnsi="仿宋_GB2312" w:eastAsia="仿宋_GB2312" w:cs="仿宋_GB2312"/>
          <w:b w:val="0"/>
          <w:bCs w:val="0"/>
          <w:color w:val="000000"/>
          <w:sz w:val="32"/>
          <w:szCs w:val="40"/>
          <w:lang w:val="en-US" w:eastAsia="zh-CN"/>
        </w:rPr>
        <w:t>充分发挥各级党组织组织力、凝聚力、号召力，激励引导流动党员争做家乡形象宣传员、建言献策参谋员，为家乡献计献策、发光发热。积极贯彻落实筑巢引凤战略，大力实施优秀流动人员回引培养工程，确保引得回，育得好，用得上。</w:t>
      </w:r>
    </w:p>
    <w:p w14:paraId="7B916AEE">
      <w:pPr>
        <w:pStyle w:val="8"/>
        <w:keepNext w:val="0"/>
        <w:keepLines w:val="0"/>
        <w:pageBreakBefore w:val="0"/>
        <w:kinsoku/>
        <w:wordWrap/>
        <w:overflowPunct/>
        <w:topLinePunct w:val="0"/>
        <w:autoSpaceDE/>
        <w:autoSpaceDN/>
        <w:bidi w:val="0"/>
        <w:spacing w:line="576" w:lineRule="exact"/>
        <w:ind w:firstLine="640"/>
        <w:textAlignment w:val="auto"/>
        <w:rPr>
          <w:rFonts w:hint="eastAsia" w:ascii="仿宋_GB2312" w:eastAsia="仿宋_GB2312" w:cs="Times New Roman"/>
          <w:sz w:val="32"/>
          <w:szCs w:val="32"/>
          <w:lang w:val="en-US" w:eastAsia="zh-CN" w:bidi="ar-SA"/>
        </w:rPr>
      </w:pPr>
      <w:r>
        <w:rPr>
          <w:rFonts w:hint="eastAsia" w:cs="Times New Roman"/>
          <w:color w:val="000000"/>
          <w:kern w:val="0"/>
          <w:szCs w:val="32"/>
          <w:highlight w:val="none"/>
          <w:shd w:val="clear" w:color="auto" w:fill="FFFFFF"/>
          <w:lang w:val="en-US" w:eastAsia="zh-CN"/>
        </w:rPr>
        <w:t>11.农业保险工作经费：2024年预算数0.2万元，2024年拨付0.2万元，拨付率为100%，该项目绩效总体目标为</w:t>
      </w:r>
      <w:r>
        <w:rPr>
          <w:rFonts w:hint="eastAsia" w:ascii="仿宋_GB2312" w:eastAsia="仿宋_GB2312" w:cs="Times New Roman"/>
          <w:sz w:val="32"/>
          <w:szCs w:val="32"/>
          <w:lang w:val="zh-CN" w:eastAsia="zh-CN" w:bidi="ar-SA"/>
        </w:rPr>
        <w:t>实施范围为</w:t>
      </w:r>
      <w:r>
        <w:rPr>
          <w:rFonts w:hint="eastAsia" w:ascii="仿宋_GB2312" w:eastAsia="仿宋_GB2312" w:cs="Times New Roman"/>
          <w:sz w:val="32"/>
          <w:szCs w:val="32"/>
          <w:lang w:val="en-US" w:eastAsia="zh-CN" w:bidi="ar-SA"/>
        </w:rPr>
        <w:t>维古乡辖区7个村三大主粮720亩</w:t>
      </w:r>
      <w:r>
        <w:rPr>
          <w:rFonts w:hint="eastAsia" w:ascii="仿宋_GB2312" w:eastAsia="仿宋_GB2312" w:cs="Times New Roman"/>
          <w:sz w:val="32"/>
          <w:szCs w:val="32"/>
          <w:lang w:val="zh-CN" w:eastAsia="zh-CN" w:bidi="ar-SA"/>
        </w:rPr>
        <w:t>，</w:t>
      </w:r>
      <w:r>
        <w:rPr>
          <w:rFonts w:hint="eastAsia" w:ascii="仿宋_GB2312" w:eastAsia="仿宋_GB2312" w:cs="Times New Roman"/>
          <w:sz w:val="32"/>
          <w:szCs w:val="32"/>
          <w:lang w:bidi="ar-SA"/>
        </w:rPr>
        <w:t>主要用于</w:t>
      </w:r>
      <w:r>
        <w:rPr>
          <w:rFonts w:hint="eastAsia" w:ascii="仿宋_GB2312" w:eastAsia="仿宋_GB2312" w:cs="Times New Roman"/>
          <w:sz w:val="32"/>
          <w:szCs w:val="32"/>
          <w:lang w:val="en-US" w:eastAsia="zh-CN" w:bidi="ar-SA"/>
        </w:rPr>
        <w:t>开展三大主粮保费支出</w:t>
      </w:r>
    </w:p>
    <w:p w14:paraId="7CA94DC4">
      <w:pPr>
        <w:pStyle w:val="8"/>
        <w:keepNext w:val="0"/>
        <w:keepLines w:val="0"/>
        <w:pageBreakBefore w:val="0"/>
        <w:kinsoku/>
        <w:wordWrap/>
        <w:overflowPunct/>
        <w:topLinePunct w:val="0"/>
        <w:autoSpaceDE/>
        <w:autoSpaceDN/>
        <w:bidi w:val="0"/>
        <w:spacing w:line="576" w:lineRule="exact"/>
        <w:ind w:firstLine="640"/>
        <w:textAlignment w:val="auto"/>
        <w:rPr>
          <w:rFonts w:hint="eastAsia" w:cs="Times New Roman"/>
          <w:color w:val="000000"/>
          <w:kern w:val="0"/>
          <w:szCs w:val="32"/>
          <w:highlight w:val="none"/>
          <w:shd w:val="clear" w:color="auto" w:fill="FFFFFF"/>
          <w:lang w:val="en-US" w:eastAsia="zh-CN"/>
        </w:rPr>
      </w:pPr>
      <w:r>
        <w:rPr>
          <w:rFonts w:hint="eastAsia" w:ascii="仿宋_GB2312" w:cs="Times New Roman"/>
          <w:sz w:val="32"/>
          <w:szCs w:val="32"/>
          <w:lang w:val="en-US" w:eastAsia="zh-CN" w:bidi="ar-SA"/>
        </w:rPr>
        <w:t>12.党建结对帮扶资金（财政代管资金）：</w:t>
      </w:r>
      <w:r>
        <w:rPr>
          <w:rFonts w:hint="eastAsia" w:cs="Times New Roman"/>
          <w:color w:val="000000"/>
          <w:kern w:val="0"/>
          <w:szCs w:val="32"/>
          <w:highlight w:val="none"/>
          <w:shd w:val="clear" w:color="auto" w:fill="FFFFFF"/>
          <w:lang w:val="en-US" w:eastAsia="zh-CN"/>
        </w:rPr>
        <w:t>2024年预算数17.04万元，2024年拨付17.04万元，拨付率为100%，该项目绩效总体目标为村级党群服务中心硬化改善党员群众办事条件，及村民生活生产环境。</w:t>
      </w:r>
    </w:p>
    <w:p w14:paraId="6C773A50">
      <w:pPr>
        <w:pStyle w:val="8"/>
        <w:keepNext w:val="0"/>
        <w:keepLines w:val="0"/>
        <w:pageBreakBefore w:val="0"/>
        <w:kinsoku/>
        <w:wordWrap/>
        <w:overflowPunct/>
        <w:topLinePunct w:val="0"/>
        <w:autoSpaceDE/>
        <w:autoSpaceDN/>
        <w:bidi w:val="0"/>
        <w:spacing w:line="576" w:lineRule="exact"/>
        <w:ind w:firstLine="640"/>
        <w:textAlignment w:val="auto"/>
        <w:rPr>
          <w:rFonts w:hint="default" w:cs="Times New Roman"/>
          <w:color w:val="000000"/>
          <w:kern w:val="0"/>
          <w:szCs w:val="32"/>
          <w:highlight w:val="none"/>
          <w:shd w:val="clear" w:color="auto" w:fill="FFFFFF"/>
          <w:lang w:val="en-US" w:eastAsia="zh-CN"/>
        </w:rPr>
      </w:pPr>
      <w:r>
        <w:rPr>
          <w:rFonts w:hint="eastAsia" w:cs="Times New Roman"/>
          <w:color w:val="000000"/>
          <w:kern w:val="0"/>
          <w:szCs w:val="32"/>
          <w:highlight w:val="none"/>
          <w:shd w:val="clear" w:color="auto" w:fill="FFFFFF"/>
          <w:lang w:val="en-US" w:eastAsia="zh-CN"/>
        </w:rPr>
        <w:t>13.三支一扶项目：2024年预算数3.56万元，2024年拨付3.56万元，拨付率为100%，该项目绩效总体目标为保障三支一扶人员的工资、住房公积金及保险等。</w:t>
      </w:r>
    </w:p>
    <w:p w14:paraId="27B311B9">
      <w:pPr>
        <w:pStyle w:val="8"/>
        <w:keepNext w:val="0"/>
        <w:keepLines w:val="0"/>
        <w:pageBreakBefore w:val="0"/>
        <w:kinsoku/>
        <w:wordWrap/>
        <w:overflowPunct/>
        <w:topLinePunct w:val="0"/>
        <w:autoSpaceDE/>
        <w:autoSpaceDN/>
        <w:bidi w:val="0"/>
        <w:spacing w:line="576" w:lineRule="exact"/>
        <w:textAlignment w:val="auto"/>
        <w:rPr>
          <w:rFonts w:hint="default" w:cs="Times New Roman"/>
          <w:color w:val="000000"/>
          <w:kern w:val="0"/>
          <w:szCs w:val="32"/>
          <w:highlight w:val="none"/>
          <w:shd w:val="clear" w:color="auto" w:fill="FFFFFF"/>
          <w:lang w:val="en-US" w:eastAsia="zh-CN"/>
        </w:rPr>
      </w:pPr>
    </w:p>
    <w:p w14:paraId="4255942E">
      <w:pPr>
        <w:keepNext w:val="0"/>
        <w:keepLines w:val="0"/>
        <w:pageBreakBefore w:val="0"/>
        <w:widowControl w:val="0"/>
        <w:numPr>
          <w:ilvl w:val="0"/>
          <w:numId w:val="4"/>
        </w:numPr>
        <w:kinsoku/>
        <w:wordWrap/>
        <w:overflowPunct/>
        <w:topLinePunct w:val="0"/>
        <w:autoSpaceDE/>
        <w:autoSpaceDN/>
        <w:adjustRightInd w:val="0"/>
        <w:snapToGrid w:val="0"/>
        <w:spacing w:line="576" w:lineRule="exact"/>
        <w:ind w:left="0" w:firstLine="640" w:firstLineChars="200"/>
        <w:contextualSpacing/>
        <w:rPr>
          <w:rFonts w:hint="eastAsia" w:ascii="仿宋" w:hAnsi="仿宋" w:eastAsia="仿宋" w:cs="仿宋"/>
          <w:bCs/>
          <w:sz w:val="32"/>
          <w:szCs w:val="32"/>
          <w:highlight w:val="none"/>
          <w:lang w:val="zh-CN" w:eastAsia="zh-CN"/>
        </w:rPr>
      </w:pPr>
      <w:r>
        <w:rPr>
          <w:rFonts w:hint="eastAsia" w:ascii="楷体_GB2312" w:eastAsia="楷体_GB2312" w:cs="楷体_GB2312"/>
          <w:color w:val="000000"/>
          <w:kern w:val="0"/>
          <w:szCs w:val="32"/>
          <w:highlight w:val="none"/>
          <w:shd w:val="clear" w:color="auto" w:fill="FFFFFF"/>
          <w:lang w:val="zh-CN"/>
        </w:rPr>
        <w:t>项目决策。</w:t>
      </w:r>
    </w:p>
    <w:p w14:paraId="3843C1B5">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 w:hAnsi="仿宋" w:eastAsia="仿宋" w:cs="仿宋"/>
          <w:bCs/>
          <w:sz w:val="32"/>
          <w:szCs w:val="32"/>
          <w:highlight w:val="none"/>
          <w:lang w:val="zh-CN" w:eastAsia="zh-CN"/>
        </w:rPr>
      </w:pPr>
      <w:r>
        <w:rPr>
          <w:rFonts w:hint="eastAsia" w:ascii="仿宋" w:hAnsi="仿宋" w:eastAsia="仿宋" w:cs="仿宋"/>
          <w:bCs/>
          <w:sz w:val="32"/>
          <w:szCs w:val="32"/>
          <w:highlight w:val="none"/>
          <w:lang w:val="zh-CN" w:eastAsia="zh-CN"/>
        </w:rPr>
        <w:t>决策程序</w:t>
      </w:r>
      <w:r>
        <w:rPr>
          <w:rFonts w:hint="eastAsia" w:ascii="仿宋" w:hAnsi="仿宋" w:eastAsia="仿宋" w:cs="仿宋"/>
          <w:bCs/>
          <w:sz w:val="32"/>
          <w:szCs w:val="32"/>
          <w:highlight w:val="none"/>
          <w:lang w:val="en-US" w:eastAsia="zh-CN"/>
        </w:rPr>
        <w:t>:</w:t>
      </w:r>
      <w:r>
        <w:rPr>
          <w:rFonts w:hint="eastAsia" w:ascii="仿宋" w:hAnsi="仿宋" w:eastAsia="仿宋" w:cs="仿宋"/>
          <w:bCs/>
          <w:sz w:val="32"/>
          <w:szCs w:val="32"/>
          <w:highlight w:val="none"/>
          <w:lang w:val="zh-CN" w:eastAsia="zh-CN"/>
        </w:rPr>
        <w:t>部门预算项目依据充分，主要根据法律法规和部门职能职责</w:t>
      </w:r>
      <w:r>
        <w:rPr>
          <w:rFonts w:hint="eastAsia" w:ascii="仿宋" w:hAnsi="仿宋" w:eastAsia="仿宋" w:cs="仿宋"/>
          <w:bCs/>
          <w:sz w:val="32"/>
          <w:szCs w:val="32"/>
          <w:highlight w:val="none"/>
          <w:lang w:val="en-US" w:eastAsia="zh-CN"/>
        </w:rPr>
        <w:t>。</w:t>
      </w:r>
      <w:r>
        <w:rPr>
          <w:rFonts w:hint="eastAsia" w:ascii="仿宋" w:hAnsi="仿宋" w:eastAsia="仿宋" w:cs="仿宋"/>
          <w:bCs/>
          <w:sz w:val="32"/>
          <w:szCs w:val="32"/>
          <w:highlight w:val="none"/>
          <w:lang w:val="zh-CN" w:eastAsia="zh-CN"/>
        </w:rPr>
        <w:t>立项程序规范，按照县财政相关要求履行评估论证、项目入库等申报程序。</w:t>
      </w:r>
      <w:r>
        <w:rPr>
          <w:rFonts w:hint="eastAsia" w:ascii="仿宋" w:hAnsi="仿宋" w:eastAsia="仿宋" w:cs="仿宋"/>
          <w:bCs/>
          <w:sz w:val="32"/>
          <w:szCs w:val="32"/>
          <w:highlight w:val="none"/>
          <w:lang w:val="en-US" w:eastAsia="zh-CN"/>
        </w:rPr>
        <w:t>该项</w:t>
      </w:r>
      <w:r>
        <w:rPr>
          <w:rFonts w:hint="eastAsia" w:ascii="仿宋" w:hAnsi="仿宋" w:eastAsia="仿宋" w:cs="仿宋"/>
          <w:bCs/>
          <w:sz w:val="32"/>
          <w:szCs w:val="32"/>
          <w:highlight w:val="none"/>
          <w:lang w:val="zh-CN" w:eastAsia="zh-CN"/>
        </w:rPr>
        <w:t>自评得分为</w:t>
      </w:r>
      <w:r>
        <w:rPr>
          <w:rFonts w:hint="eastAsia" w:ascii="仿宋" w:hAnsi="仿宋" w:eastAsia="仿宋" w:cs="仿宋"/>
          <w:bCs/>
          <w:sz w:val="32"/>
          <w:szCs w:val="32"/>
          <w:highlight w:val="none"/>
          <w:lang w:val="en-US" w:eastAsia="zh-CN"/>
        </w:rPr>
        <w:t>4分。</w:t>
      </w:r>
    </w:p>
    <w:p w14:paraId="69996268">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 w:hAnsi="仿宋" w:eastAsia="仿宋" w:cs="仿宋"/>
          <w:bCs/>
          <w:sz w:val="32"/>
          <w:szCs w:val="32"/>
          <w:highlight w:val="none"/>
          <w:lang w:val="en-US" w:eastAsia="zh-CN"/>
        </w:rPr>
      </w:pPr>
      <w:r>
        <w:rPr>
          <w:rFonts w:hint="eastAsia" w:ascii="仿宋" w:hAnsi="仿宋" w:eastAsia="仿宋" w:cs="仿宋"/>
          <w:bCs/>
          <w:sz w:val="32"/>
          <w:szCs w:val="32"/>
          <w:highlight w:val="none"/>
          <w:lang w:val="zh-CN" w:eastAsia="zh-CN"/>
        </w:rPr>
        <w:t>目标设置：设立绩效目标具有合理性，设立绩效指标具有明确性，资金投入体现了预算科学性。</w:t>
      </w:r>
      <w:r>
        <w:rPr>
          <w:rFonts w:hint="eastAsia" w:ascii="仿宋" w:hAnsi="仿宋" w:eastAsia="仿宋" w:cs="仿宋"/>
          <w:bCs/>
          <w:sz w:val="32"/>
          <w:szCs w:val="32"/>
          <w:highlight w:val="none"/>
          <w:lang w:val="en-US" w:eastAsia="zh-CN"/>
        </w:rPr>
        <w:t>该项</w:t>
      </w:r>
      <w:r>
        <w:rPr>
          <w:rFonts w:hint="eastAsia" w:ascii="仿宋" w:hAnsi="仿宋" w:eastAsia="仿宋" w:cs="仿宋"/>
          <w:bCs/>
          <w:sz w:val="32"/>
          <w:szCs w:val="32"/>
          <w:highlight w:val="none"/>
          <w:lang w:val="zh-CN" w:eastAsia="zh-CN"/>
        </w:rPr>
        <w:t>自评得分为</w:t>
      </w:r>
      <w:r>
        <w:rPr>
          <w:rFonts w:hint="eastAsia" w:ascii="仿宋" w:hAnsi="仿宋" w:eastAsia="仿宋" w:cs="仿宋"/>
          <w:bCs/>
          <w:sz w:val="32"/>
          <w:szCs w:val="32"/>
          <w:highlight w:val="none"/>
          <w:lang w:val="en-US" w:eastAsia="zh-CN"/>
        </w:rPr>
        <w:t>4分。</w:t>
      </w:r>
    </w:p>
    <w:p w14:paraId="1EC51002">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 w:hAnsi="仿宋" w:eastAsia="仿宋" w:cs="仿宋"/>
          <w:bCs/>
          <w:sz w:val="32"/>
          <w:szCs w:val="32"/>
          <w:highlight w:val="none"/>
          <w:lang w:val="en-US" w:eastAsia="zh-CN"/>
        </w:rPr>
      </w:pPr>
      <w:r>
        <w:rPr>
          <w:rFonts w:hint="eastAsia" w:ascii="仿宋" w:hAnsi="仿宋" w:eastAsia="仿宋" w:cs="仿宋"/>
          <w:bCs/>
          <w:sz w:val="32"/>
          <w:szCs w:val="32"/>
          <w:highlight w:val="none"/>
          <w:lang w:val="en-US" w:eastAsia="zh-CN"/>
        </w:rPr>
        <w:t>项目入库：严格按照财政要求，在规定时间内完成预算一体化项目入库工作。该项</w:t>
      </w:r>
      <w:r>
        <w:rPr>
          <w:rFonts w:hint="eastAsia" w:ascii="仿宋" w:hAnsi="仿宋" w:eastAsia="仿宋" w:cs="仿宋"/>
          <w:bCs/>
          <w:sz w:val="32"/>
          <w:szCs w:val="32"/>
          <w:highlight w:val="none"/>
          <w:lang w:val="zh-CN" w:eastAsia="zh-CN"/>
        </w:rPr>
        <w:t>自评得分为</w:t>
      </w:r>
      <w:r>
        <w:rPr>
          <w:rFonts w:hint="eastAsia" w:ascii="仿宋" w:hAnsi="仿宋" w:eastAsia="仿宋" w:cs="仿宋"/>
          <w:bCs/>
          <w:sz w:val="32"/>
          <w:szCs w:val="32"/>
          <w:highlight w:val="none"/>
          <w:lang w:val="en-US" w:eastAsia="zh-CN"/>
        </w:rPr>
        <w:t>4分。</w:t>
      </w:r>
    </w:p>
    <w:p w14:paraId="2CD5E0DB">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 w:hAnsi="仿宋" w:eastAsia="仿宋" w:cs="仿宋"/>
          <w:bCs/>
          <w:sz w:val="32"/>
          <w:szCs w:val="32"/>
          <w:highlight w:val="none"/>
          <w:lang w:val="zh-CN" w:eastAsia="zh-CN"/>
        </w:rPr>
      </w:pPr>
      <w:r>
        <w:rPr>
          <w:rFonts w:hint="eastAsia" w:ascii="仿宋" w:hAnsi="仿宋" w:eastAsia="仿宋" w:cs="仿宋"/>
          <w:bCs/>
          <w:sz w:val="32"/>
          <w:szCs w:val="32"/>
          <w:highlight w:val="none"/>
          <w:lang w:val="en-US" w:eastAsia="zh-CN"/>
        </w:rPr>
        <w:t>2.项目执行</w:t>
      </w:r>
      <w:r>
        <w:rPr>
          <w:rFonts w:hint="eastAsia" w:ascii="仿宋" w:hAnsi="仿宋" w:eastAsia="仿宋" w:cs="仿宋"/>
          <w:bCs/>
          <w:sz w:val="32"/>
          <w:szCs w:val="32"/>
          <w:highlight w:val="none"/>
          <w:lang w:val="zh-CN" w:eastAsia="zh-CN"/>
        </w:rPr>
        <w:t>。</w:t>
      </w:r>
    </w:p>
    <w:p w14:paraId="4D655D6C">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 w:hAnsi="仿宋" w:eastAsia="仿宋" w:cs="仿宋"/>
          <w:bCs/>
          <w:sz w:val="32"/>
          <w:szCs w:val="32"/>
          <w:highlight w:val="none"/>
          <w:lang w:val="zh-CN" w:eastAsia="zh-CN"/>
        </w:rPr>
      </w:pPr>
      <w:r>
        <w:rPr>
          <w:rFonts w:hint="eastAsia" w:ascii="仿宋" w:hAnsi="仿宋" w:eastAsia="仿宋" w:cs="仿宋"/>
          <w:bCs/>
          <w:sz w:val="32"/>
          <w:szCs w:val="32"/>
          <w:highlight w:val="none"/>
          <w:lang w:val="zh-CN" w:eastAsia="zh-CN"/>
        </w:rPr>
        <w:t>执行同向</w:t>
      </w:r>
      <w:r>
        <w:rPr>
          <w:rFonts w:hint="eastAsia" w:ascii="仿宋" w:hAnsi="仿宋" w:eastAsia="仿宋" w:cs="仿宋"/>
          <w:bCs/>
          <w:sz w:val="32"/>
          <w:szCs w:val="32"/>
          <w:highlight w:val="none"/>
          <w:lang w:val="en-US" w:eastAsia="zh-CN"/>
        </w:rPr>
        <w:t>:</w:t>
      </w:r>
      <w:r>
        <w:rPr>
          <w:rFonts w:hint="eastAsia" w:ascii="仿宋" w:hAnsi="仿宋" w:eastAsia="仿宋" w:cs="仿宋"/>
          <w:bCs/>
          <w:sz w:val="32"/>
          <w:szCs w:val="32"/>
          <w:highlight w:val="none"/>
          <w:lang w:val="zh-CN" w:eastAsia="zh-CN"/>
        </w:rPr>
        <w:t>部门预算项目实际列支内容与绩效目标设置方向相符。</w:t>
      </w:r>
      <w:r>
        <w:rPr>
          <w:rFonts w:hint="eastAsia" w:ascii="仿宋" w:hAnsi="仿宋" w:eastAsia="仿宋" w:cs="仿宋"/>
          <w:bCs/>
          <w:sz w:val="32"/>
          <w:szCs w:val="32"/>
          <w:highlight w:val="none"/>
          <w:lang w:val="en-US" w:eastAsia="zh-CN"/>
        </w:rPr>
        <w:t>该项</w:t>
      </w:r>
      <w:r>
        <w:rPr>
          <w:rFonts w:hint="eastAsia" w:ascii="仿宋" w:hAnsi="仿宋" w:eastAsia="仿宋" w:cs="仿宋"/>
          <w:bCs/>
          <w:sz w:val="32"/>
          <w:szCs w:val="32"/>
          <w:highlight w:val="none"/>
          <w:lang w:val="zh-CN" w:eastAsia="zh-CN"/>
        </w:rPr>
        <w:t>自评得分为</w:t>
      </w:r>
      <w:r>
        <w:rPr>
          <w:rFonts w:hint="eastAsia" w:ascii="仿宋" w:hAnsi="仿宋" w:eastAsia="仿宋" w:cs="仿宋"/>
          <w:bCs/>
          <w:sz w:val="32"/>
          <w:szCs w:val="32"/>
          <w:highlight w:val="none"/>
          <w:lang w:val="en-US" w:eastAsia="zh-CN"/>
        </w:rPr>
        <w:t>4分。</w:t>
      </w:r>
    </w:p>
    <w:p w14:paraId="4DE66C9D">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eastAsia="仿宋_GB2312"/>
          <w:lang w:val="en-US" w:eastAsia="zh-CN"/>
        </w:rPr>
      </w:pPr>
      <w:r>
        <w:rPr>
          <w:rFonts w:hint="eastAsia" w:ascii="仿宋" w:hAnsi="仿宋" w:eastAsia="仿宋" w:cs="仿宋"/>
          <w:bCs/>
          <w:sz w:val="32"/>
          <w:szCs w:val="32"/>
          <w:highlight w:val="none"/>
          <w:lang w:val="zh-CN" w:eastAsia="zh-CN"/>
        </w:rPr>
        <w:t>项目调整</w:t>
      </w:r>
      <w:r>
        <w:rPr>
          <w:rFonts w:hint="eastAsia" w:ascii="仿宋" w:hAnsi="仿宋" w:eastAsia="仿宋" w:cs="仿宋"/>
          <w:bCs/>
          <w:sz w:val="32"/>
          <w:szCs w:val="32"/>
          <w:highlight w:val="none"/>
          <w:lang w:val="en-US" w:eastAsia="zh-CN"/>
        </w:rPr>
        <w:t>:</w:t>
      </w:r>
      <w:r>
        <w:rPr>
          <w:rFonts w:hint="eastAsia" w:ascii="仿宋" w:hAnsi="仿宋" w:eastAsia="仿宋" w:cs="仿宋"/>
          <w:bCs/>
          <w:sz w:val="32"/>
          <w:szCs w:val="32"/>
          <w:highlight w:val="none"/>
          <w:lang w:val="zh-CN" w:eastAsia="zh-CN"/>
        </w:rPr>
        <w:t>部分预算项目资金根据财政最终批复金额，</w:t>
      </w:r>
      <w:r>
        <w:rPr>
          <w:rFonts w:hint="eastAsia" w:ascii="仿宋" w:hAnsi="仿宋" w:eastAsia="仿宋" w:cs="仿宋"/>
          <w:bCs/>
          <w:sz w:val="32"/>
          <w:szCs w:val="32"/>
          <w:highlight w:val="none"/>
          <w:lang w:val="en-US" w:eastAsia="zh-CN"/>
        </w:rPr>
        <w:t>在规定时间内</w:t>
      </w:r>
      <w:r>
        <w:rPr>
          <w:rFonts w:hint="eastAsia" w:ascii="仿宋" w:hAnsi="仿宋" w:eastAsia="仿宋" w:cs="仿宋"/>
          <w:bCs/>
          <w:sz w:val="32"/>
          <w:szCs w:val="32"/>
          <w:highlight w:val="none"/>
          <w:lang w:val="zh-CN" w:eastAsia="zh-CN"/>
        </w:rPr>
        <w:t>对项目库进行相应调整。</w:t>
      </w:r>
      <w:r>
        <w:rPr>
          <w:rFonts w:hint="eastAsia" w:ascii="仿宋" w:hAnsi="仿宋" w:eastAsia="仿宋" w:cs="仿宋"/>
          <w:bCs/>
          <w:sz w:val="32"/>
          <w:szCs w:val="32"/>
          <w:highlight w:val="none"/>
          <w:lang w:val="en-US" w:eastAsia="zh-CN"/>
        </w:rPr>
        <w:t>该项</w:t>
      </w:r>
      <w:r>
        <w:rPr>
          <w:rFonts w:hint="eastAsia" w:ascii="仿宋" w:hAnsi="仿宋" w:eastAsia="仿宋" w:cs="仿宋"/>
          <w:bCs/>
          <w:sz w:val="32"/>
          <w:szCs w:val="32"/>
          <w:highlight w:val="none"/>
          <w:lang w:val="zh-CN" w:eastAsia="zh-CN"/>
        </w:rPr>
        <w:t>自评得分为</w:t>
      </w:r>
      <w:r>
        <w:rPr>
          <w:rFonts w:hint="eastAsia" w:ascii="仿宋" w:hAnsi="仿宋" w:eastAsia="仿宋" w:cs="仿宋"/>
          <w:bCs/>
          <w:sz w:val="32"/>
          <w:szCs w:val="32"/>
          <w:highlight w:val="none"/>
          <w:lang w:val="en-US" w:eastAsia="zh-CN"/>
        </w:rPr>
        <w:t>4分。</w:t>
      </w:r>
    </w:p>
    <w:p w14:paraId="05C8B89A">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contextualSpacing/>
        <w:jc w:val="both"/>
        <w:textAlignment w:val="auto"/>
        <w:outlineLvl w:val="9"/>
        <w:rPr>
          <w:rFonts w:hint="eastAsia" w:cs="Times New Roman"/>
          <w:color w:val="000000"/>
          <w:kern w:val="0"/>
          <w:szCs w:val="32"/>
          <w:highlight w:val="none"/>
          <w:shd w:val="clear" w:color="auto" w:fill="FFFFFF"/>
          <w:lang w:val="zh-CN"/>
        </w:rPr>
      </w:pPr>
      <w:r>
        <w:rPr>
          <w:rFonts w:ascii="楷体_GB2312" w:eastAsia="楷体_GB2312" w:cs="楷体_GB2312"/>
          <w:color w:val="000000"/>
          <w:kern w:val="0"/>
          <w:szCs w:val="32"/>
          <w:highlight w:val="none"/>
          <w:shd w:val="clear" w:color="auto" w:fill="FFFFFF"/>
          <w:lang w:val="zh-CN"/>
        </w:rPr>
        <w:t>3.</w:t>
      </w:r>
      <w:r>
        <w:rPr>
          <w:rFonts w:hint="eastAsia" w:ascii="楷体_GB2312" w:eastAsia="楷体_GB2312" w:cs="楷体_GB2312"/>
          <w:color w:val="000000"/>
          <w:kern w:val="0"/>
          <w:szCs w:val="32"/>
          <w:highlight w:val="none"/>
          <w:shd w:val="clear" w:color="auto" w:fill="FFFFFF"/>
          <w:lang w:val="zh-CN"/>
        </w:rPr>
        <w:t>目标实现。</w:t>
      </w:r>
    </w:p>
    <w:p w14:paraId="69247698">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仿宋" w:hAnsi="仿宋" w:eastAsia="仿宋" w:cs="仿宋"/>
          <w:bCs/>
          <w:sz w:val="32"/>
          <w:szCs w:val="32"/>
          <w:highlight w:val="none"/>
          <w:lang w:val="en-US" w:eastAsia="zh-CN"/>
        </w:rPr>
      </w:pPr>
      <w:r>
        <w:rPr>
          <w:rFonts w:hint="eastAsia" w:ascii="仿宋_GB2312" w:eastAsia="仿宋_GB2312" w:cs="仿宋_GB2312"/>
          <w:b w:val="0"/>
          <w:bCs/>
          <w:sz w:val="32"/>
          <w:szCs w:val="32"/>
          <w:lang w:val="zh-CN" w:eastAsia="zh-CN"/>
        </w:rPr>
        <w:t>目标完成</w:t>
      </w:r>
      <w:r>
        <w:rPr>
          <w:rFonts w:hint="eastAsia" w:ascii="仿宋_GB2312" w:eastAsia="仿宋_GB2312" w:cs="仿宋_GB2312"/>
          <w:b w:val="0"/>
          <w:bCs/>
          <w:sz w:val="32"/>
          <w:szCs w:val="32"/>
          <w:lang w:val="en-US" w:eastAsia="zh-CN"/>
        </w:rPr>
        <w:t>:通过对我</w:t>
      </w:r>
      <w:r>
        <w:rPr>
          <w:rFonts w:hint="eastAsia" w:ascii="仿宋_GB2312" w:cs="仿宋_GB2312"/>
          <w:b w:val="0"/>
          <w:bCs/>
          <w:sz w:val="32"/>
          <w:szCs w:val="32"/>
          <w:lang w:val="en-US" w:eastAsia="zh-CN"/>
        </w:rPr>
        <w:t>乡</w:t>
      </w:r>
      <w:r>
        <w:rPr>
          <w:rFonts w:hint="eastAsia" w:ascii="仿宋_GB2312" w:eastAsia="仿宋_GB2312" w:cs="仿宋_GB2312"/>
          <w:b w:val="0"/>
          <w:bCs/>
          <w:sz w:val="32"/>
          <w:szCs w:val="32"/>
          <w:lang w:val="en-US" w:eastAsia="zh-CN"/>
        </w:rPr>
        <w:t>预算支出绩效目标的设置情况、资金使用情况、资金实施管理情况、整体支出绩效表现情况进行自我评价，了解资金使用是否达到了预期目标、资金管理是否规范、资金使用是否有效，检验资金支出效率和效果，分析存在的问题和原因，及时总结经验，改进管理措施，不断增强和落实绩效管理责任，完善工作机制，有效提高资金管理水平和使用效益，进一步提升绩效管理水平，强化支出责任，提高财政资金使用效益。</w:t>
      </w:r>
      <w:r>
        <w:rPr>
          <w:rFonts w:hint="eastAsia" w:ascii="仿宋" w:hAnsi="仿宋" w:eastAsia="仿宋" w:cs="仿宋"/>
          <w:bCs/>
          <w:sz w:val="32"/>
          <w:szCs w:val="32"/>
          <w:highlight w:val="none"/>
          <w:lang w:val="en-US" w:eastAsia="zh-CN"/>
        </w:rPr>
        <w:t>部门预算阶段项目总数为13个，完成绩效目标数量指标的部门预算阶段项目）数量为13个。该项</w:t>
      </w:r>
      <w:r>
        <w:rPr>
          <w:rFonts w:hint="eastAsia" w:ascii="仿宋" w:hAnsi="仿宋" w:eastAsia="仿宋" w:cs="仿宋"/>
          <w:bCs/>
          <w:sz w:val="32"/>
          <w:szCs w:val="32"/>
          <w:highlight w:val="none"/>
          <w:lang w:val="zh-CN" w:eastAsia="zh-CN"/>
        </w:rPr>
        <w:t>自评得分为</w:t>
      </w:r>
      <w:r>
        <w:rPr>
          <w:rFonts w:hint="eastAsia" w:ascii="仿宋" w:hAnsi="仿宋" w:eastAsia="仿宋" w:cs="仿宋"/>
          <w:bCs/>
          <w:sz w:val="32"/>
          <w:szCs w:val="32"/>
          <w:highlight w:val="none"/>
          <w:lang w:val="en-US" w:eastAsia="zh-CN"/>
        </w:rPr>
        <w:t>4分。</w:t>
      </w:r>
    </w:p>
    <w:p w14:paraId="4C212AB2">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仿宋" w:hAnsi="仿宋" w:eastAsia="仿宋" w:cs="仿宋"/>
          <w:bCs/>
          <w:sz w:val="32"/>
          <w:szCs w:val="32"/>
          <w:highlight w:val="none"/>
          <w:lang w:val="en-US" w:eastAsia="zh-CN"/>
        </w:rPr>
      </w:pPr>
      <w:r>
        <w:rPr>
          <w:rFonts w:hint="eastAsia" w:ascii="仿宋" w:hAnsi="仿宋" w:eastAsia="仿宋" w:cs="仿宋"/>
          <w:bCs/>
          <w:sz w:val="32"/>
          <w:szCs w:val="32"/>
          <w:highlight w:val="none"/>
          <w:lang w:val="en-US" w:eastAsia="zh-CN"/>
        </w:rPr>
        <w:t xml:space="preserve"> 目标偏离:本年度部门预算项目绩效目标数量指标完成情况较好，已完成预期指标值的数量指标中偏离度均在30%内，该项</w:t>
      </w:r>
      <w:r>
        <w:rPr>
          <w:rFonts w:hint="eastAsia" w:ascii="仿宋" w:hAnsi="仿宋" w:eastAsia="仿宋" w:cs="仿宋"/>
          <w:bCs/>
          <w:sz w:val="32"/>
          <w:szCs w:val="32"/>
          <w:highlight w:val="none"/>
          <w:lang w:val="zh-CN" w:eastAsia="zh-CN"/>
        </w:rPr>
        <w:t>自评得分为</w:t>
      </w:r>
      <w:r>
        <w:rPr>
          <w:rFonts w:hint="eastAsia" w:ascii="仿宋" w:hAnsi="仿宋" w:eastAsia="仿宋" w:cs="仿宋"/>
          <w:bCs/>
          <w:sz w:val="32"/>
          <w:szCs w:val="32"/>
          <w:highlight w:val="none"/>
          <w:lang w:val="en-US" w:eastAsia="zh-CN"/>
        </w:rPr>
        <w:t>4分。</w:t>
      </w:r>
    </w:p>
    <w:p w14:paraId="0FC4C4F4">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lang w:val="en-US" w:eastAsia="zh-CN"/>
        </w:rPr>
      </w:pPr>
      <w:r>
        <w:rPr>
          <w:rFonts w:hint="eastAsia" w:ascii="仿宋" w:hAnsi="仿宋" w:eastAsia="仿宋" w:cs="仿宋"/>
          <w:bCs/>
          <w:sz w:val="32"/>
          <w:szCs w:val="32"/>
          <w:highlight w:val="none"/>
          <w:lang w:val="en-US" w:eastAsia="zh-CN"/>
        </w:rPr>
        <w:t>实现效果:我乡认真做好乡工作安排、按时完成县委县政府工作计划，做好预决算审查监督工作，保障财政资金高效利用，本年度所有项目均完成预期设定绩效目标效益指标，该项</w:t>
      </w:r>
      <w:r>
        <w:rPr>
          <w:rFonts w:hint="eastAsia" w:ascii="仿宋" w:hAnsi="仿宋" w:eastAsia="仿宋" w:cs="仿宋"/>
          <w:bCs/>
          <w:sz w:val="32"/>
          <w:szCs w:val="32"/>
          <w:highlight w:val="none"/>
          <w:lang w:val="zh-CN" w:eastAsia="zh-CN"/>
        </w:rPr>
        <w:t>自评得分为</w:t>
      </w:r>
      <w:r>
        <w:rPr>
          <w:rFonts w:hint="eastAsia" w:ascii="仿宋" w:hAnsi="仿宋" w:eastAsia="仿宋" w:cs="仿宋"/>
          <w:bCs/>
          <w:sz w:val="32"/>
          <w:szCs w:val="32"/>
          <w:highlight w:val="none"/>
          <w:lang w:val="en-US" w:eastAsia="zh-CN"/>
        </w:rPr>
        <w:t>3分。</w:t>
      </w:r>
    </w:p>
    <w:p w14:paraId="4C07E3DA">
      <w:pPr>
        <w:keepNext w:val="0"/>
        <w:keepLines w:val="0"/>
        <w:pageBreakBefore w:val="0"/>
        <w:widowControl/>
        <w:numPr>
          <w:ilvl w:val="0"/>
          <w:numId w:val="1"/>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outlineLvl w:val="9"/>
        <w:rPr>
          <w:rFonts w:hint="eastAsia" w:ascii="Times New Roman" w:hAnsi="Times New Roman" w:cs="Times New Roman"/>
          <w:sz w:val="32"/>
          <w:szCs w:val="32"/>
          <w:highlight w:val="none"/>
          <w:u w:val="none"/>
          <w:lang w:eastAsia="zh-CN" w:bidi="ar"/>
        </w:rPr>
      </w:pPr>
      <w:r>
        <w:rPr>
          <w:rFonts w:hint="default" w:ascii="Times New Roman" w:hAnsi="Times New Roman" w:eastAsia="楷体_GB2312" w:cs="Times New Roman"/>
          <w:b/>
          <w:bCs/>
          <w:color w:val="000000"/>
          <w:kern w:val="0"/>
          <w:szCs w:val="32"/>
          <w:highlight w:val="none"/>
          <w:shd w:val="clear" w:color="auto" w:fill="FFFFFF"/>
          <w:lang w:val="zh-CN" w:eastAsia="zh-CN"/>
        </w:rPr>
        <w:t>重点领域</w:t>
      </w:r>
      <w:r>
        <w:rPr>
          <w:rFonts w:hint="default" w:ascii="Times New Roman" w:hAnsi="Times New Roman" w:eastAsia="楷体_GB2312" w:cs="Times New Roman"/>
          <w:b/>
          <w:bCs/>
          <w:color w:val="000000"/>
          <w:kern w:val="0"/>
          <w:szCs w:val="32"/>
          <w:highlight w:val="none"/>
          <w:shd w:val="clear" w:color="auto" w:fill="FFFFFF"/>
          <w:lang w:val="zh-CN"/>
        </w:rPr>
        <w:t>绩效分析</w:t>
      </w:r>
      <w:r>
        <w:rPr>
          <w:rFonts w:hint="default" w:ascii="Times New Roman" w:hAnsi="Times New Roman" w:eastAsia="楷体_GB2312" w:cs="Times New Roman"/>
          <w:b/>
          <w:bCs/>
          <w:color w:val="000000"/>
          <w:kern w:val="0"/>
          <w:szCs w:val="32"/>
          <w:highlight w:val="none"/>
          <w:shd w:val="clear" w:color="auto" w:fill="FFFFFF"/>
          <w:lang w:val="zh-CN" w:eastAsia="zh-CN"/>
        </w:rPr>
        <w:t>。</w:t>
      </w:r>
      <w:r>
        <w:rPr>
          <w:rFonts w:hint="eastAsia" w:cs="Times New Roman"/>
          <w:sz w:val="32"/>
          <w:szCs w:val="32"/>
          <w:highlight w:val="none"/>
          <w:u w:val="none"/>
          <w:lang w:eastAsia="zh-CN"/>
        </w:rPr>
        <w:t>州</w:t>
      </w:r>
      <w:r>
        <w:rPr>
          <w:rFonts w:hint="default" w:ascii="Times New Roman" w:hAnsi="Times New Roman" w:eastAsia="仿宋_GB2312" w:cs="Times New Roman"/>
          <w:sz w:val="32"/>
          <w:szCs w:val="32"/>
          <w:highlight w:val="none"/>
          <w:u w:val="none"/>
        </w:rPr>
        <w:t>级部门</w:t>
      </w:r>
      <w:r>
        <w:rPr>
          <w:rFonts w:hint="eastAsia" w:cs="Times New Roman"/>
          <w:sz w:val="32"/>
          <w:szCs w:val="32"/>
          <w:u w:val="none"/>
          <w:lang w:val="en-US" w:eastAsia="zh-CN"/>
        </w:rPr>
        <w:t>2024</w:t>
      </w:r>
      <w:r>
        <w:rPr>
          <w:rFonts w:hint="eastAsia" w:ascii="Times New Roman" w:hAnsi="Times New Roman" w:eastAsia="仿宋_GB2312" w:cs="Times New Roman"/>
          <w:sz w:val="32"/>
          <w:szCs w:val="32"/>
          <w:u w:val="none"/>
          <w:lang w:val="en-US" w:eastAsia="zh-CN"/>
        </w:rPr>
        <w:t>年度</w:t>
      </w:r>
      <w:r>
        <w:rPr>
          <w:rFonts w:hint="default" w:ascii="Times New Roman" w:hAnsi="Times New Roman" w:eastAsia="仿宋_GB2312" w:cs="Times New Roman"/>
          <w:sz w:val="32"/>
          <w:szCs w:val="32"/>
          <w:highlight w:val="none"/>
          <w:u w:val="none"/>
        </w:rPr>
        <w:t>若涉及国有资本、行政事业性国有资产、</w:t>
      </w:r>
      <w:r>
        <w:rPr>
          <w:rFonts w:hint="default" w:ascii="Times New Roman" w:hAnsi="Times New Roman" w:eastAsia="仿宋_GB2312" w:cs="Times New Roman"/>
          <w:b w:val="0"/>
          <w:bCs w:val="0"/>
          <w:sz w:val="32"/>
          <w:szCs w:val="32"/>
          <w:highlight w:val="none"/>
          <w:u w:val="none"/>
        </w:rPr>
        <w:t>债券</w:t>
      </w:r>
      <w:r>
        <w:rPr>
          <w:rFonts w:hint="default" w:ascii="Times New Roman" w:hAnsi="Times New Roman" w:eastAsia="仿宋_GB2312" w:cs="Times New Roman"/>
          <w:b w:val="0"/>
          <w:bCs w:val="0"/>
          <w:sz w:val="32"/>
          <w:szCs w:val="32"/>
          <w:highlight w:val="none"/>
          <w:u w:val="none"/>
          <w:lang w:eastAsia="zh-CN"/>
        </w:rPr>
        <w:t>资金、政府采购和政府购买服务等重点领域</w:t>
      </w:r>
      <w:r>
        <w:rPr>
          <w:rFonts w:hint="default" w:ascii="Times New Roman" w:hAnsi="Times New Roman" w:eastAsia="仿宋_GB2312" w:cs="Times New Roman"/>
          <w:sz w:val="32"/>
          <w:szCs w:val="32"/>
          <w:highlight w:val="none"/>
          <w:u w:val="none"/>
        </w:rPr>
        <w:t>的</w:t>
      </w:r>
      <w:r>
        <w:rPr>
          <w:rFonts w:hint="default" w:ascii="Times New Roman" w:hAnsi="Times New Roman" w:eastAsia="仿宋_GB2312" w:cs="Times New Roman"/>
          <w:sz w:val="32"/>
          <w:szCs w:val="32"/>
          <w:highlight w:val="none"/>
          <w:u w:val="none"/>
          <w:lang w:eastAsia="zh-CN"/>
        </w:rPr>
        <w:t>，</w:t>
      </w:r>
      <w:r>
        <w:rPr>
          <w:rFonts w:hint="default" w:ascii="Times New Roman" w:hAnsi="Times New Roman" w:eastAsia="仿宋_GB2312" w:cs="Times New Roman"/>
          <w:sz w:val="32"/>
          <w:szCs w:val="32"/>
          <w:highlight w:val="none"/>
          <w:u w:val="none"/>
          <w:lang w:bidi="ar"/>
        </w:rPr>
        <w:t>应在部门</w:t>
      </w:r>
      <w:r>
        <w:rPr>
          <w:rFonts w:hint="default" w:ascii="Times New Roman" w:hAnsi="Times New Roman" w:eastAsia="仿宋_GB2312" w:cs="Times New Roman"/>
          <w:sz w:val="32"/>
          <w:szCs w:val="32"/>
          <w:u w:val="none"/>
          <w:lang w:eastAsia="zh-CN" w:bidi="ar"/>
        </w:rPr>
        <w:t>预算</w:t>
      </w:r>
      <w:r>
        <w:rPr>
          <w:rFonts w:hint="default" w:ascii="Times New Roman" w:hAnsi="Times New Roman" w:eastAsia="仿宋_GB2312" w:cs="Times New Roman"/>
          <w:sz w:val="32"/>
          <w:szCs w:val="32"/>
          <w:highlight w:val="none"/>
          <w:u w:val="none"/>
          <w:lang w:bidi="ar"/>
        </w:rPr>
        <w:t>绩效自评报告中</w:t>
      </w:r>
      <w:r>
        <w:rPr>
          <w:rFonts w:hint="default" w:ascii="Times New Roman" w:hAnsi="Times New Roman" w:eastAsia="仿宋_GB2312" w:cs="Times New Roman"/>
          <w:sz w:val="32"/>
          <w:szCs w:val="32"/>
          <w:highlight w:val="none"/>
          <w:u w:val="none"/>
          <w:lang w:eastAsia="zh-CN" w:bidi="ar"/>
        </w:rPr>
        <w:t>对完成情况进行梳理阐述</w:t>
      </w:r>
      <w:r>
        <w:rPr>
          <w:rFonts w:hint="eastAsia" w:ascii="Times New Roman" w:hAnsi="Times New Roman" w:cs="Times New Roman"/>
          <w:sz w:val="32"/>
          <w:szCs w:val="32"/>
          <w:highlight w:val="none"/>
          <w:u w:val="none"/>
          <w:lang w:eastAsia="zh-CN" w:bidi="ar"/>
        </w:rPr>
        <w:t>。</w:t>
      </w:r>
    </w:p>
    <w:p w14:paraId="3B99BA0E">
      <w:pPr>
        <w:pStyle w:val="8"/>
        <w:keepNext w:val="0"/>
        <w:keepLines w:val="0"/>
        <w:pageBreakBefore w:val="0"/>
        <w:kinsoku/>
        <w:wordWrap/>
        <w:overflowPunct/>
        <w:topLinePunct w:val="0"/>
        <w:autoSpaceDE/>
        <w:autoSpaceDN/>
        <w:bidi w:val="0"/>
        <w:spacing w:line="576" w:lineRule="exact"/>
        <w:ind w:firstLine="640"/>
        <w:textAlignment w:val="auto"/>
        <w:rPr>
          <w:rFonts w:hint="eastAsia" w:cs="Times New Roman"/>
          <w:color w:val="000000"/>
          <w:kern w:val="0"/>
          <w:szCs w:val="32"/>
          <w:highlight w:val="none"/>
          <w:shd w:val="clear" w:color="auto" w:fill="FFFFFF"/>
          <w:lang w:val="en-US" w:eastAsia="zh-CN"/>
        </w:rPr>
      </w:pPr>
      <w:r>
        <w:rPr>
          <w:rFonts w:hint="eastAsia"/>
          <w:lang w:val="en-US" w:eastAsia="zh-CN"/>
        </w:rPr>
        <w:t xml:space="preserve"> </w:t>
      </w:r>
      <w:r>
        <w:rPr>
          <w:rFonts w:hint="eastAsia" w:cs="Times New Roman"/>
          <w:color w:val="000000"/>
          <w:kern w:val="0"/>
          <w:szCs w:val="32"/>
          <w:highlight w:val="none"/>
          <w:shd w:val="clear" w:color="auto" w:fill="FFFFFF"/>
          <w:lang w:val="en-US" w:eastAsia="zh-CN"/>
        </w:rPr>
        <w:t>国有资本经营预算支出，中央省国有企业退休人员社会化管理财政补助资金:2024年预算数0.05万元，2024年拨付0.05万元，拨付率为100%，该项目绩效总体目标为维古乡辖区毛尔盖水电站有限公司退休人员社会化管理的补助，保障退休人员的待遇。</w:t>
      </w:r>
    </w:p>
    <w:p w14:paraId="40793A01">
      <w:pPr>
        <w:keepNext w:val="0"/>
        <w:keepLines w:val="0"/>
        <w:pageBreakBefore w:val="0"/>
        <w:widowControl w:val="0"/>
        <w:kinsoku/>
        <w:wordWrap/>
        <w:overflowPunct/>
        <w:topLinePunct w:val="0"/>
        <w:autoSpaceDE/>
        <w:autoSpaceDN/>
        <w:bidi w:val="0"/>
        <w:spacing w:line="576" w:lineRule="exact"/>
        <w:ind w:left="0" w:firstLine="643" w:firstLineChars="200"/>
        <w:jc w:val="both"/>
        <w:textAlignment w:val="auto"/>
        <w:rPr>
          <w:rFonts w:ascii="仿宋_GB2312" w:eastAsia="仿宋_GB2312" w:cs="仿宋_GB2312"/>
          <w:sz w:val="32"/>
          <w:szCs w:val="32"/>
        </w:rPr>
      </w:pPr>
      <w:r>
        <w:rPr>
          <w:rFonts w:hint="default" w:ascii="Times New Roman" w:hAnsi="Times New Roman" w:eastAsia="楷体_GB2312" w:cs="Times New Roman"/>
          <w:b/>
          <w:bCs/>
          <w:szCs w:val="32"/>
          <w:lang w:val="zh-CN"/>
        </w:rPr>
        <w:t>（四）绩效结果应用情况</w:t>
      </w:r>
      <w:r>
        <w:rPr>
          <w:rFonts w:hint="eastAsia" w:ascii="Times New Roman" w:hAnsi="Times New Roman" w:eastAsia="楷体_GB2312" w:cs="Times New Roman"/>
          <w:b/>
          <w:bCs/>
          <w:szCs w:val="32"/>
          <w:lang w:val="zh-CN"/>
        </w:rPr>
        <w:t>。</w:t>
      </w:r>
      <w:r>
        <w:rPr>
          <w:rFonts w:hint="eastAsia" w:ascii="仿宋_GB2312" w:eastAsia="仿宋_GB2312" w:cs="仿宋_GB2312"/>
          <w:sz w:val="32"/>
          <w:szCs w:val="32"/>
        </w:rPr>
        <w:t>我乡依据财政编审要求,在年度终了后,结合本单位当年全部预算收入、财政拨款收入及支出等,对全口径的资金收入、支出和预算管理、资产管理等工作进行的全面总结。</w:t>
      </w:r>
    </w:p>
    <w:p w14:paraId="6C81E82A">
      <w:pPr>
        <w:keepNext w:val="0"/>
        <w:keepLines w:val="0"/>
        <w:pageBreakBefore w:val="0"/>
        <w:widowControl w:val="0"/>
        <w:kinsoku/>
        <w:wordWrap/>
        <w:overflowPunct/>
        <w:topLinePunct w:val="0"/>
        <w:autoSpaceDE/>
        <w:autoSpaceDN/>
        <w:bidi w:val="0"/>
        <w:spacing w:line="576" w:lineRule="exact"/>
        <w:ind w:left="0" w:firstLine="640" w:firstLineChars="200"/>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通过对部门决算报表的编制，来检查本单位全年资金的使用管理、职能履行情况等，并为单位内部控制工作的有序开展提供数据支撑。</w:t>
      </w:r>
    </w:p>
    <w:p w14:paraId="62496F42">
      <w:pPr>
        <w:keepNext w:val="0"/>
        <w:keepLines w:val="0"/>
        <w:pageBreakBefore w:val="0"/>
        <w:widowControl w:val="0"/>
        <w:kinsoku/>
        <w:wordWrap/>
        <w:overflowPunct/>
        <w:topLinePunct w:val="0"/>
        <w:autoSpaceDE/>
        <w:autoSpaceDN/>
        <w:bidi w:val="0"/>
        <w:spacing w:line="576" w:lineRule="exact"/>
        <w:ind w:left="0" w:firstLine="640" w:firstLineChars="200"/>
        <w:jc w:val="both"/>
        <w:textAlignment w:val="auto"/>
        <w:rPr>
          <w:rFonts w:hint="default" w:ascii="仿宋_GB2312" w:hAnsi="仿宋_GB2312" w:eastAsia="仿宋_GB2312" w:cs="仿宋_GB2312"/>
          <w:b/>
          <w:bCs w:val="0"/>
          <w:szCs w:val="32"/>
        </w:rPr>
      </w:pPr>
      <w:r>
        <w:rPr>
          <w:rFonts w:hint="eastAsia" w:ascii="仿宋_GB2312" w:cs="仿宋_GB2312"/>
          <w:sz w:val="32"/>
          <w:szCs w:val="32"/>
          <w:lang w:val="en-US" w:eastAsia="zh-CN"/>
        </w:rPr>
        <w:t>2024</w:t>
      </w:r>
      <w:r>
        <w:rPr>
          <w:rFonts w:hint="eastAsia" w:ascii="仿宋_GB2312" w:eastAsia="仿宋_GB2312" w:cs="仿宋_GB2312"/>
          <w:sz w:val="32"/>
          <w:szCs w:val="32"/>
          <w:lang w:val="en-US" w:eastAsia="zh-CN"/>
        </w:rPr>
        <w:t>年度</w:t>
      </w:r>
      <w:r>
        <w:rPr>
          <w:rFonts w:hint="eastAsia" w:ascii="仿宋_GB2312" w:cs="仿宋_GB2312"/>
          <w:sz w:val="32"/>
          <w:szCs w:val="32"/>
          <w:lang w:val="en-US" w:eastAsia="zh-CN"/>
        </w:rPr>
        <w:t>维古乡</w:t>
      </w:r>
      <w:r>
        <w:rPr>
          <w:rFonts w:hint="eastAsia" w:ascii="仿宋_GB2312" w:eastAsia="仿宋_GB2312" w:cs="仿宋_GB2312"/>
          <w:sz w:val="32"/>
          <w:szCs w:val="32"/>
        </w:rPr>
        <w:t>自评质量</w:t>
      </w:r>
      <w:r>
        <w:rPr>
          <w:rFonts w:hint="eastAsia" w:ascii="仿宋_GB2312" w:eastAsia="仿宋_GB2312" w:cs="仿宋_GB2312"/>
          <w:sz w:val="32"/>
          <w:szCs w:val="32"/>
          <w:lang w:eastAsia="zh-CN"/>
        </w:rPr>
        <w:t>较好</w:t>
      </w:r>
      <w:r>
        <w:rPr>
          <w:rFonts w:hint="eastAsia" w:ascii="仿宋_GB2312" w:eastAsia="仿宋_GB2312" w:cs="仿宋_GB2312"/>
          <w:sz w:val="32"/>
          <w:szCs w:val="32"/>
        </w:rPr>
        <w:t>、绩效目标和自评</w:t>
      </w:r>
      <w:r>
        <w:rPr>
          <w:rFonts w:hint="eastAsia" w:ascii="仿宋_GB2312" w:eastAsia="仿宋_GB2312" w:cs="仿宋_GB2312"/>
          <w:sz w:val="32"/>
          <w:szCs w:val="32"/>
          <w:lang w:eastAsia="zh-CN"/>
        </w:rPr>
        <w:t>在乡公示栏</w:t>
      </w:r>
      <w:r>
        <w:rPr>
          <w:rFonts w:hint="eastAsia" w:ascii="仿宋_GB2312" w:eastAsia="仿宋_GB2312" w:cs="仿宋_GB2312"/>
          <w:sz w:val="32"/>
          <w:szCs w:val="32"/>
        </w:rPr>
        <w:t>公开、评价结果</w:t>
      </w:r>
      <w:r>
        <w:rPr>
          <w:rFonts w:hint="eastAsia" w:ascii="仿宋_GB2312" w:eastAsia="仿宋_GB2312" w:cs="仿宋_GB2312"/>
          <w:sz w:val="32"/>
          <w:szCs w:val="32"/>
          <w:lang w:eastAsia="zh-CN"/>
        </w:rPr>
        <w:t>良好，</w:t>
      </w:r>
      <w:r>
        <w:rPr>
          <w:rFonts w:hint="eastAsia" w:ascii="仿宋_GB2312" w:eastAsia="仿宋_GB2312" w:cs="仿宋_GB2312"/>
          <w:sz w:val="32"/>
          <w:szCs w:val="32"/>
        </w:rPr>
        <w:t>应用结果反馈</w:t>
      </w:r>
      <w:r>
        <w:rPr>
          <w:rFonts w:hint="eastAsia" w:ascii="仿宋_GB2312" w:eastAsia="仿宋_GB2312" w:cs="仿宋_GB2312"/>
          <w:sz w:val="32"/>
          <w:szCs w:val="32"/>
          <w:lang w:eastAsia="zh-CN"/>
        </w:rPr>
        <w:t>良好。</w:t>
      </w:r>
    </w:p>
    <w:p w14:paraId="38EC4AC8">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Cs w:val="32"/>
          <w:highlight w:val="none"/>
          <w:shd w:val="clear" w:color="auto" w:fill="FFFFFF"/>
        </w:rPr>
      </w:pPr>
      <w:r>
        <w:rPr>
          <w:rFonts w:hint="default" w:ascii="Times New Roman" w:hAnsi="Times New Roman" w:eastAsia="黑体" w:cs="Times New Roman"/>
          <w:color w:val="000000"/>
          <w:kern w:val="0"/>
          <w:szCs w:val="32"/>
          <w:highlight w:val="none"/>
          <w:shd w:val="clear" w:color="auto" w:fill="FFFFFF"/>
          <w:lang w:eastAsia="zh-CN"/>
        </w:rPr>
        <w:t>四、</w:t>
      </w:r>
      <w:r>
        <w:rPr>
          <w:rFonts w:hint="default" w:ascii="Times New Roman" w:hAnsi="Times New Roman" w:eastAsia="黑体" w:cs="Times New Roman"/>
          <w:color w:val="000000"/>
          <w:kern w:val="0"/>
          <w:szCs w:val="32"/>
          <w:highlight w:val="none"/>
          <w:shd w:val="clear" w:color="auto" w:fill="FFFFFF"/>
        </w:rPr>
        <w:t>评价结论及建议</w:t>
      </w:r>
    </w:p>
    <w:p w14:paraId="2F4E9FC4">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仿宋_GB2312" w:hAnsi="仿宋_GB2312" w:eastAsia="仿宋_GB2312" w:cs="仿宋_GB2312"/>
          <w:sz w:val="32"/>
          <w:szCs w:val="32"/>
          <w:highlight w:val="none"/>
        </w:rPr>
      </w:pPr>
      <w:r>
        <w:rPr>
          <w:rFonts w:ascii="Times New Roman" w:hAnsi="Times New Roman" w:eastAsia="楷体_GB2312" w:cs="Times New Roman"/>
          <w:b/>
          <w:bCs/>
          <w:color w:val="000000"/>
          <w:kern w:val="0"/>
          <w:szCs w:val="32"/>
          <w:highlight w:val="none"/>
          <w:shd w:val="clear" w:color="auto" w:fill="FFFFFF"/>
          <w:lang w:val="zh-CN"/>
        </w:rPr>
        <w:t>（一）评价结论。</w:t>
      </w:r>
      <w:r>
        <w:rPr>
          <w:rFonts w:hint="eastAsia" w:ascii="仿宋" w:hAnsi="仿宋" w:eastAsia="仿宋" w:cs="仿宋"/>
          <w:bCs/>
          <w:sz w:val="32"/>
          <w:szCs w:val="32"/>
          <w:highlight w:val="none"/>
          <w:lang w:val="en-US" w:eastAsia="zh-CN"/>
        </w:rPr>
        <w:t>我乡组织开展了2024年度部门整体支出绩效评价工作，对2024年度财政预算资金进行整体绩效评价，根据设定的绩效目标，运用合理的评价方法，对预算资金支出经济性、效率性、有效性和可持性进行客观、公正的评价。我单位对财政专项资金的分配、使用和管理按照先有办法、后分资金；专款专用、独立核算；统一支付、严格把关的原则进行管理。严格执行预算，规范了资金审批和支付程序，提高了资金的使用效率。认真开展专项资金绩效管理，在资金分配中的项目申报、评审和安排，均按规定严格执行，各项重点项目资金安排都保证及时到位，每一笔收支都做到有依据、有凭证、有程序。确保专项资金依法管理与使用。没有发生专项资金的挤占、挪用、截流等违规现象。按照“部门预算绩效评价指标体系”进行综合评价，整体绩效评价综合得分91分，各项评分结果见评价表。</w:t>
      </w:r>
    </w:p>
    <w:p w14:paraId="7335477A">
      <w:pPr>
        <w:keepNext w:val="0"/>
        <w:keepLines w:val="0"/>
        <w:pageBreakBefore w:val="0"/>
        <w:widowControl w:val="0"/>
        <w:kinsoku/>
        <w:wordWrap/>
        <w:overflowPunct/>
        <w:topLinePunct w:val="0"/>
        <w:autoSpaceDE/>
        <w:autoSpaceDN/>
        <w:bidi w:val="0"/>
        <w:spacing w:line="576" w:lineRule="exact"/>
        <w:ind w:left="0" w:firstLine="643" w:firstLineChars="200"/>
        <w:jc w:val="both"/>
        <w:textAlignment w:val="auto"/>
        <w:rPr>
          <w:rFonts w:ascii="Times New Roman" w:hAnsi="Times New Roman" w:eastAsia="楷体_GB2312" w:cs="Times New Roman"/>
          <w:b/>
          <w:bCs/>
          <w:color w:val="000000"/>
          <w:kern w:val="0"/>
          <w:szCs w:val="32"/>
          <w:highlight w:val="none"/>
          <w:shd w:val="clear" w:color="auto" w:fill="FFFFFF"/>
          <w:lang w:val="zh-CN"/>
        </w:rPr>
      </w:pPr>
      <w:r>
        <w:rPr>
          <w:rFonts w:ascii="Times New Roman" w:hAnsi="Times New Roman" w:eastAsia="楷体_GB2312" w:cs="Times New Roman"/>
          <w:b/>
          <w:bCs/>
          <w:color w:val="000000"/>
          <w:kern w:val="0"/>
          <w:szCs w:val="32"/>
          <w:highlight w:val="none"/>
          <w:shd w:val="clear" w:color="auto" w:fill="FFFFFF"/>
          <w:lang w:val="zh-CN"/>
        </w:rPr>
        <w:t>（二）存在问题。</w:t>
      </w:r>
    </w:p>
    <w:p w14:paraId="3B9A5FCD">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 w:hAnsi="仿宋" w:eastAsia="仿宋" w:cs="仿宋"/>
          <w:bCs/>
          <w:sz w:val="32"/>
          <w:szCs w:val="32"/>
          <w:highlight w:val="none"/>
          <w:lang w:val="en-US" w:eastAsia="zh-CN"/>
        </w:rPr>
      </w:pPr>
      <w:r>
        <w:rPr>
          <w:rFonts w:hint="eastAsia" w:ascii="仿宋" w:hAnsi="仿宋" w:eastAsia="仿宋" w:cs="仿宋"/>
          <w:bCs/>
          <w:sz w:val="32"/>
          <w:szCs w:val="32"/>
          <w:highlight w:val="none"/>
          <w:lang w:val="en-US" w:eastAsia="zh-CN"/>
        </w:rPr>
        <w:t>在项目绩效目标设定、预算执行、资金使用等方面，不同程度地存在一些操作不够规范、跟踪不够及时、衔接不够充分、监督不够到位；部分项目预算资金支付进度有待提高，短期资金支出效率较低。项目绩效目标设定的科学性、时效性有待加强。项目安排统筹力度还需加大。因资金拨付情况及工作开展情况，导致个别项目在一定程度上存在支出进度慢的现象。  </w:t>
      </w:r>
    </w:p>
    <w:p w14:paraId="009C392B">
      <w:pPr>
        <w:keepNext w:val="0"/>
        <w:keepLines w:val="0"/>
        <w:pageBreakBefore w:val="0"/>
        <w:widowControl w:val="0"/>
        <w:kinsoku/>
        <w:wordWrap/>
        <w:overflowPunct/>
        <w:topLinePunct w:val="0"/>
        <w:autoSpaceDE/>
        <w:autoSpaceDN/>
        <w:bidi w:val="0"/>
        <w:spacing w:line="576" w:lineRule="exact"/>
        <w:ind w:left="0" w:firstLine="643" w:firstLineChars="200"/>
        <w:jc w:val="both"/>
        <w:textAlignment w:val="auto"/>
        <w:rPr>
          <w:rFonts w:ascii="Times New Roman" w:hAnsi="Times New Roman" w:eastAsia="楷体_GB2312" w:cs="Times New Roman"/>
          <w:b/>
          <w:bCs/>
          <w:color w:val="000000"/>
          <w:kern w:val="0"/>
          <w:szCs w:val="32"/>
          <w:highlight w:val="none"/>
          <w:shd w:val="clear" w:color="auto" w:fill="FFFFFF"/>
          <w:lang w:val="zh-CN" w:eastAsia="zh-CN"/>
        </w:rPr>
      </w:pPr>
      <w:r>
        <w:rPr>
          <w:rFonts w:ascii="Times New Roman" w:hAnsi="Times New Roman" w:eastAsia="楷体_GB2312" w:cs="Times New Roman"/>
          <w:b/>
          <w:bCs/>
          <w:color w:val="000000"/>
          <w:kern w:val="0"/>
          <w:szCs w:val="32"/>
          <w:highlight w:val="none"/>
          <w:shd w:val="clear" w:color="auto" w:fill="FFFFFF"/>
          <w:lang w:val="zh-CN" w:eastAsia="zh-CN"/>
        </w:rPr>
        <w:t>（三）改进建议。</w:t>
      </w:r>
    </w:p>
    <w:p w14:paraId="7F7FDE2D">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 w:hAnsi="仿宋" w:eastAsia="仿宋" w:cs="仿宋"/>
          <w:bCs/>
          <w:sz w:val="32"/>
          <w:szCs w:val="32"/>
          <w:highlight w:val="none"/>
          <w:lang w:val="en-US" w:eastAsia="zh-CN"/>
        </w:rPr>
      </w:pPr>
      <w:r>
        <w:rPr>
          <w:rFonts w:hint="eastAsia" w:ascii="仿宋" w:hAnsi="仿宋" w:eastAsia="仿宋" w:cs="仿宋"/>
          <w:bCs/>
          <w:sz w:val="32"/>
          <w:szCs w:val="32"/>
          <w:highlight w:val="none"/>
          <w:lang w:val="en-US" w:eastAsia="zh-CN"/>
        </w:rPr>
        <w:t>进一步加强财务规范化管理，增强内部预算管理意识，严格按照预算编制的相关制度和要求进行预算编制和绩效评估,切实提高财政资金使用效益，不断提高单位绩效自评工作人员的知识和能力，确保绩效评价的科学性和准确性；坚持推进精细化管理，强化预算绩效目标管理、细化绩效目标，并将绩效目标细化分解为具体工作计划。烦请财政根据政协工作发展要求和实际情况，将相关项目经费纳入年度预算，保障单位财务正常运转，使评价工作更合理、更完整；进一步完善预算管理体制，加强项目开展进度的跟踪，开展项目绩效评价，确保项目绩效目标的完成。</w:t>
      </w:r>
    </w:p>
    <w:p w14:paraId="23109D19">
      <w:pPr>
        <w:rPr>
          <w:rFonts w:hint="default"/>
          <w:lang w:val="en-US" w:eastAsia="zh-CN"/>
        </w:rPr>
      </w:pPr>
    </w:p>
    <w:p w14:paraId="77AA7120">
      <w:pPr>
        <w:keepNext w:val="0"/>
        <w:keepLines w:val="0"/>
        <w:pageBreakBefore w:val="0"/>
        <w:kinsoku/>
        <w:wordWrap/>
        <w:overflowPunct/>
        <w:topLinePunct w:val="0"/>
        <w:autoSpaceDE/>
        <w:autoSpaceDN/>
        <w:bidi w:val="0"/>
        <w:spacing w:line="578" w:lineRule="exact"/>
        <w:ind w:firstLine="320" w:firstLineChars="100"/>
        <w:textAlignment w:val="auto"/>
        <w:rPr>
          <w:rFonts w:hint="eastAsia" w:ascii="Times New Roman" w:hAnsi="Times New Roman" w:cs="Times New Roman"/>
          <w:color w:val="000000"/>
          <w:kern w:val="0"/>
          <w:szCs w:val="32"/>
          <w:highlight w:val="none"/>
          <w:shd w:val="clear" w:color="auto" w:fill="FFFFFF"/>
          <w:lang w:val="en-US" w:eastAsia="zh-CN"/>
        </w:rPr>
      </w:pPr>
    </w:p>
    <w:p w14:paraId="45E75915">
      <w:pPr>
        <w:keepNext w:val="0"/>
        <w:keepLines w:val="0"/>
        <w:pageBreakBefore w:val="0"/>
        <w:kinsoku/>
        <w:wordWrap/>
        <w:overflowPunct/>
        <w:topLinePunct w:val="0"/>
        <w:autoSpaceDE/>
        <w:autoSpaceDN/>
        <w:bidi w:val="0"/>
        <w:spacing w:line="578" w:lineRule="exact"/>
        <w:ind w:firstLine="320" w:firstLineChars="100"/>
        <w:textAlignment w:val="auto"/>
        <w:rPr>
          <w:rFonts w:hint="eastAsia" w:ascii="Times New Roman" w:hAnsi="Times New Roman" w:cs="Times New Roman"/>
          <w:color w:val="000000"/>
          <w:kern w:val="0"/>
          <w:szCs w:val="32"/>
          <w:highlight w:val="none"/>
          <w:shd w:val="clear" w:color="auto" w:fill="FFFFFF"/>
          <w:lang w:val="en-US" w:eastAsia="zh-CN"/>
        </w:rPr>
      </w:pPr>
    </w:p>
    <w:p w14:paraId="045E6A35">
      <w:pPr>
        <w:keepNext w:val="0"/>
        <w:keepLines w:val="0"/>
        <w:pageBreakBefore w:val="0"/>
        <w:kinsoku/>
        <w:wordWrap/>
        <w:overflowPunct/>
        <w:topLinePunct w:val="0"/>
        <w:autoSpaceDE/>
        <w:autoSpaceDN/>
        <w:bidi w:val="0"/>
        <w:spacing w:line="578" w:lineRule="exact"/>
        <w:ind w:firstLine="320" w:firstLineChars="100"/>
        <w:textAlignment w:val="auto"/>
        <w:rPr>
          <w:rFonts w:hint="eastAsia" w:cs="Times New Roman"/>
          <w:color w:val="000000"/>
          <w:kern w:val="0"/>
          <w:szCs w:val="32"/>
          <w:highlight w:val="none"/>
          <w:shd w:val="clear" w:color="auto" w:fill="FFFFFF"/>
          <w:lang w:val="en-US" w:eastAsia="zh-CN"/>
        </w:rPr>
      </w:pPr>
      <w:r>
        <w:rPr>
          <w:rFonts w:hint="eastAsia" w:ascii="Times New Roman" w:hAnsi="Times New Roman" w:cs="Times New Roman"/>
          <w:color w:val="000000"/>
          <w:kern w:val="0"/>
          <w:szCs w:val="32"/>
          <w:highlight w:val="none"/>
          <w:shd w:val="clear" w:color="auto" w:fill="FFFFFF"/>
          <w:lang w:val="en-US" w:eastAsia="zh-CN"/>
        </w:rPr>
        <w:t>附表</w:t>
      </w:r>
      <w:r>
        <w:rPr>
          <w:rFonts w:hint="eastAsia" w:ascii="仿宋" w:hAnsi="仿宋" w:eastAsia="仿宋" w:cs="仿宋"/>
          <w:bCs/>
          <w:sz w:val="32"/>
          <w:szCs w:val="32"/>
          <w:highlight w:val="none"/>
          <w:lang w:val="en-US" w:eastAsia="zh-CN"/>
        </w:rPr>
        <w:t>1</w:t>
      </w:r>
      <w:r>
        <w:rPr>
          <w:rFonts w:hint="eastAsia" w:ascii="Times New Roman" w:hAnsi="Times New Roman" w:cs="Times New Roman"/>
          <w:color w:val="000000"/>
          <w:kern w:val="0"/>
          <w:szCs w:val="32"/>
          <w:highlight w:val="none"/>
          <w:shd w:val="clear" w:color="auto" w:fill="FFFFFF"/>
          <w:lang w:val="en-US" w:eastAsia="zh-CN"/>
        </w:rPr>
        <w:t>：</w:t>
      </w:r>
      <w:r>
        <w:rPr>
          <w:rFonts w:hint="eastAsia" w:cs="Times New Roman"/>
          <w:color w:val="000000"/>
          <w:kern w:val="0"/>
          <w:szCs w:val="32"/>
          <w:highlight w:val="none"/>
          <w:shd w:val="clear" w:color="auto" w:fill="FFFFFF"/>
          <w:lang w:val="en-US" w:eastAsia="zh-CN"/>
        </w:rPr>
        <w:t>维古乡人民政府</w:t>
      </w:r>
      <w:r>
        <w:rPr>
          <w:rFonts w:hint="default" w:ascii="Times New Roman" w:hAnsi="Times New Roman" w:cs="Times New Roman"/>
          <w:color w:val="000000"/>
          <w:kern w:val="0"/>
          <w:szCs w:val="32"/>
          <w:highlight w:val="none"/>
          <w:shd w:val="clear" w:color="auto" w:fill="FFFFFF"/>
          <w:lang w:val="en-US" w:eastAsia="zh-CN"/>
        </w:rPr>
        <w:t>部门整体支出绩效目标完成情况自评表</w:t>
      </w:r>
      <w:r>
        <w:rPr>
          <w:rFonts w:hint="eastAsia" w:cs="Times New Roman"/>
          <w:color w:val="000000"/>
          <w:kern w:val="0"/>
          <w:szCs w:val="32"/>
          <w:highlight w:val="none"/>
          <w:shd w:val="clear" w:color="auto" w:fill="FFFFFF"/>
          <w:lang w:val="en-US" w:eastAsia="zh-CN"/>
        </w:rPr>
        <w:t>。</w:t>
      </w:r>
    </w:p>
    <w:p w14:paraId="3BA4220E">
      <w:pPr>
        <w:pStyle w:val="2"/>
        <w:rPr>
          <w:rFonts w:hint="eastAsia" w:ascii="仿宋" w:hAnsi="仿宋" w:eastAsia="仿宋" w:cs="仿宋"/>
          <w:b w:val="0"/>
          <w:bCs/>
          <w:kern w:val="2"/>
          <w:sz w:val="32"/>
          <w:szCs w:val="32"/>
          <w:highlight w:val="none"/>
          <w:lang w:val="en-US" w:eastAsia="zh-CN" w:bidi="ar-SA"/>
        </w:rPr>
      </w:pPr>
      <w:r>
        <w:rPr>
          <w:rFonts w:hint="eastAsia" w:cs="Times New Roman"/>
          <w:color w:val="000000"/>
          <w:kern w:val="0"/>
          <w:szCs w:val="32"/>
          <w:highlight w:val="none"/>
          <w:shd w:val="clear" w:color="auto" w:fill="FFFFFF"/>
          <w:lang w:val="en-US" w:eastAsia="zh-CN"/>
        </w:rPr>
        <w:t xml:space="preserve">   </w:t>
      </w:r>
      <w:r>
        <w:rPr>
          <w:rFonts w:hint="eastAsia" w:ascii="仿宋" w:hAnsi="仿宋" w:eastAsia="仿宋" w:cs="仿宋"/>
          <w:b w:val="0"/>
          <w:bCs/>
          <w:kern w:val="2"/>
          <w:sz w:val="32"/>
          <w:szCs w:val="32"/>
          <w:highlight w:val="none"/>
          <w:lang w:val="en-US" w:eastAsia="zh-CN" w:bidi="ar-SA"/>
        </w:rPr>
        <w:t>附表2：维古乡人民政府部门整体绩效目标完成情况自评表</w:t>
      </w:r>
    </w:p>
    <w:p w14:paraId="5A7C89EA">
      <w:pPr>
        <w:rPr>
          <w:rFonts w:hint="default"/>
          <w:lang w:val="en-US" w:eastAsia="zh-CN"/>
        </w:rPr>
      </w:pPr>
      <w:r>
        <w:rPr>
          <w:rFonts w:hint="eastAsia" w:ascii="仿宋" w:hAnsi="仿宋" w:eastAsia="仿宋" w:cs="仿宋"/>
          <w:b w:val="0"/>
          <w:bCs/>
          <w:kern w:val="2"/>
          <w:sz w:val="32"/>
          <w:szCs w:val="32"/>
          <w:highlight w:val="none"/>
          <w:lang w:val="en-US" w:eastAsia="zh-CN" w:bidi="ar-SA"/>
        </w:rPr>
        <w:t xml:space="preserve">  附表3：维古乡人民政府预算项目绩效评价表（2024年度）</w:t>
      </w:r>
    </w:p>
    <w:p w14:paraId="778D8AFE">
      <w:pPr>
        <w:rPr>
          <w:rFonts w:hint="eastAsia"/>
          <w:lang w:val="en-US" w:eastAsia="zh-CN"/>
        </w:rPr>
      </w:pPr>
      <w:r>
        <w:rPr>
          <w:rFonts w:hint="eastAsia"/>
          <w:lang w:val="en-US" w:eastAsia="zh-CN"/>
        </w:rPr>
        <w:t xml:space="preserve">         </w:t>
      </w:r>
    </w:p>
    <w:p w14:paraId="324F6B56">
      <w:pPr>
        <w:rPr>
          <w:rFonts w:hint="eastAsia"/>
          <w:lang w:val="en-US" w:eastAsia="zh-CN"/>
        </w:rPr>
      </w:pPr>
      <w:r>
        <w:rPr>
          <w:rFonts w:hint="eastAsia"/>
          <w:lang w:val="en-US" w:eastAsia="zh-CN"/>
        </w:rPr>
        <w:t xml:space="preserve">                              </w:t>
      </w:r>
    </w:p>
    <w:p w14:paraId="6E7FF98B">
      <w:pPr>
        <w:rPr>
          <w:rFonts w:hint="eastAsia"/>
          <w:lang w:val="en-US" w:eastAsia="zh-CN"/>
        </w:rPr>
      </w:pPr>
    </w:p>
    <w:p w14:paraId="2DCD3557">
      <w:pPr>
        <w:rPr>
          <w:rFonts w:hint="eastAsia"/>
          <w:lang w:val="en-US" w:eastAsia="zh-CN"/>
        </w:rPr>
      </w:pPr>
    </w:p>
    <w:p w14:paraId="751B1A71">
      <w:pPr>
        <w:rPr>
          <w:rFonts w:hint="eastAsia"/>
          <w:lang w:val="en-US" w:eastAsia="zh-CN"/>
        </w:rPr>
      </w:pPr>
    </w:p>
    <w:p w14:paraId="10C5E770">
      <w:pPr>
        <w:rPr>
          <w:rFonts w:hint="eastAsia"/>
          <w:lang w:val="en-US" w:eastAsia="zh-CN"/>
        </w:rPr>
      </w:pPr>
    </w:p>
    <w:p w14:paraId="565F5291">
      <w:pPr>
        <w:ind w:firstLine="4800" w:firstLineChars="1500"/>
        <w:rPr>
          <w:rFonts w:hint="default"/>
          <w:lang w:val="en-US" w:eastAsia="zh-CN"/>
        </w:rPr>
      </w:pPr>
      <w:r>
        <w:rPr>
          <w:rFonts w:hint="eastAsia"/>
          <w:lang w:val="en-US" w:eastAsia="zh-CN"/>
        </w:rPr>
        <w:t xml:space="preserve">  维古乡人民政府</w:t>
      </w:r>
    </w:p>
    <w:p w14:paraId="2908AA4C">
      <w:pPr>
        <w:rPr>
          <w:rFonts w:hint="eastAsia" w:ascii="仿宋" w:hAnsi="仿宋" w:eastAsia="仿宋" w:cs="仿宋"/>
          <w:kern w:val="2"/>
          <w:sz w:val="32"/>
          <w:szCs w:val="32"/>
          <w:lang w:val="en-US" w:eastAsia="zh-CN" w:bidi="ar-SA"/>
        </w:rPr>
      </w:pPr>
      <w:r>
        <w:rPr>
          <w:rFonts w:hint="eastAsia" w:ascii="仿宋_GB2312" w:hAnsi="仿宋_GB2312" w:eastAsia="仿宋_GB2312" w:cs="仿宋_GB2312"/>
          <w:b w:val="0"/>
          <w:kern w:val="2"/>
          <w:sz w:val="32"/>
          <w:szCs w:val="32"/>
          <w:highlight w:val="none"/>
          <w:lang w:val="en-US" w:eastAsia="zh-CN" w:bidi="ar-SA"/>
        </w:rPr>
        <w:t xml:space="preserve">                      </w:t>
      </w:r>
      <w:r>
        <w:rPr>
          <w:rFonts w:hint="eastAsia" w:ascii="仿宋_GB2312" w:hAnsi="仿宋_GB2312" w:cs="仿宋_GB2312"/>
          <w:b w:val="0"/>
          <w:kern w:val="2"/>
          <w:sz w:val="32"/>
          <w:szCs w:val="32"/>
          <w:highlight w:val="none"/>
          <w:lang w:val="en-US" w:eastAsia="zh-CN" w:bidi="ar-SA"/>
        </w:rPr>
        <w:t xml:space="preserve">         </w:t>
      </w:r>
      <w:r>
        <w:rPr>
          <w:rFonts w:hint="eastAsia" w:ascii="仿宋_GB2312" w:hAnsi="仿宋_GB2312" w:eastAsia="仿宋_GB2312" w:cs="仿宋_GB2312"/>
          <w:b w:val="0"/>
          <w:kern w:val="2"/>
          <w:sz w:val="32"/>
          <w:szCs w:val="32"/>
          <w:highlight w:val="none"/>
          <w:lang w:val="en-US" w:eastAsia="zh-CN" w:bidi="ar-SA"/>
        </w:rPr>
        <w:t xml:space="preserve"> 202</w:t>
      </w:r>
      <w:r>
        <w:rPr>
          <w:rFonts w:hint="eastAsia" w:ascii="仿宋_GB2312" w:hAnsi="仿宋_GB2312" w:cs="仿宋_GB2312"/>
          <w:b w:val="0"/>
          <w:kern w:val="2"/>
          <w:sz w:val="32"/>
          <w:szCs w:val="32"/>
          <w:highlight w:val="none"/>
          <w:lang w:val="en-US" w:eastAsia="zh-CN" w:bidi="ar-SA"/>
        </w:rPr>
        <w:t>5</w:t>
      </w:r>
      <w:r>
        <w:rPr>
          <w:rFonts w:hint="eastAsia" w:ascii="仿宋_GB2312" w:hAnsi="仿宋_GB2312" w:eastAsia="仿宋_GB2312" w:cs="仿宋_GB2312"/>
          <w:b w:val="0"/>
          <w:kern w:val="2"/>
          <w:sz w:val="32"/>
          <w:szCs w:val="32"/>
          <w:highlight w:val="none"/>
          <w:lang w:val="en-US" w:eastAsia="zh-CN" w:bidi="ar-SA"/>
        </w:rPr>
        <w:t>年</w:t>
      </w:r>
      <w:r>
        <w:rPr>
          <w:rFonts w:hint="eastAsia" w:ascii="仿宋_GB2312" w:hAnsi="仿宋_GB2312" w:cs="仿宋_GB2312"/>
          <w:b w:val="0"/>
          <w:kern w:val="2"/>
          <w:sz w:val="32"/>
          <w:szCs w:val="32"/>
          <w:highlight w:val="none"/>
          <w:lang w:val="en-US" w:eastAsia="zh-CN" w:bidi="ar-SA"/>
        </w:rPr>
        <w:t>4</w:t>
      </w:r>
      <w:r>
        <w:rPr>
          <w:rFonts w:hint="eastAsia" w:ascii="仿宋_GB2312" w:hAnsi="仿宋_GB2312" w:eastAsia="仿宋_GB2312" w:cs="仿宋_GB2312"/>
          <w:b w:val="0"/>
          <w:kern w:val="2"/>
          <w:sz w:val="32"/>
          <w:szCs w:val="32"/>
          <w:highlight w:val="none"/>
          <w:lang w:val="en-US" w:eastAsia="zh-CN" w:bidi="ar-SA"/>
        </w:rPr>
        <w:t>月</w:t>
      </w:r>
      <w:r>
        <w:rPr>
          <w:rFonts w:hint="eastAsia" w:ascii="仿宋_GB2312" w:hAnsi="仿宋_GB2312" w:cs="仿宋_GB2312"/>
          <w:b w:val="0"/>
          <w:kern w:val="2"/>
          <w:sz w:val="32"/>
          <w:szCs w:val="32"/>
          <w:highlight w:val="none"/>
          <w:lang w:val="en-US" w:eastAsia="zh-CN" w:bidi="ar-SA"/>
        </w:rPr>
        <w:t>16</w:t>
      </w:r>
      <w:r>
        <w:rPr>
          <w:rFonts w:hint="eastAsia" w:ascii="仿宋_GB2312" w:hAnsi="仿宋_GB2312" w:eastAsia="仿宋_GB2312" w:cs="仿宋_GB2312"/>
          <w:b w:val="0"/>
          <w:kern w:val="2"/>
          <w:sz w:val="32"/>
          <w:szCs w:val="32"/>
          <w:highlight w:val="none"/>
          <w:lang w:val="en-US" w:eastAsia="zh-CN" w:bidi="ar-SA"/>
        </w:rPr>
        <w:t>日</w:t>
      </w:r>
    </w:p>
    <w:p w14:paraId="65E6A813">
      <w:pPr>
        <w:pStyle w:val="11"/>
        <w:rPr>
          <w:rFonts w:hint="eastAsia" w:ascii="仿宋" w:hAnsi="仿宋" w:eastAsia="仿宋" w:cs="仿宋"/>
          <w:kern w:val="2"/>
          <w:sz w:val="32"/>
          <w:szCs w:val="32"/>
          <w:lang w:val="en-US" w:eastAsia="zh-CN" w:bidi="ar-SA"/>
        </w:rPr>
      </w:pPr>
    </w:p>
    <w:p w14:paraId="49CAA005">
      <w:pPr>
        <w:pStyle w:val="11"/>
        <w:rPr>
          <w:rFonts w:hint="eastAsia" w:ascii="仿宋" w:hAnsi="仿宋" w:eastAsia="仿宋" w:cs="仿宋"/>
          <w:kern w:val="2"/>
          <w:sz w:val="32"/>
          <w:szCs w:val="32"/>
          <w:lang w:val="en-US" w:eastAsia="zh-CN" w:bidi="ar-SA"/>
        </w:rPr>
      </w:pPr>
    </w:p>
    <w:p w14:paraId="77C82803">
      <w:pPr>
        <w:pStyle w:val="11"/>
        <w:rPr>
          <w:rFonts w:hint="eastAsia" w:ascii="仿宋" w:hAnsi="仿宋" w:eastAsia="仿宋" w:cs="仿宋"/>
          <w:kern w:val="2"/>
          <w:sz w:val="32"/>
          <w:szCs w:val="32"/>
          <w:lang w:val="en-US" w:eastAsia="zh-CN" w:bidi="ar-SA"/>
        </w:rPr>
      </w:pPr>
    </w:p>
    <w:p w14:paraId="7A62A70C">
      <w:pPr>
        <w:rPr>
          <w:rFonts w:hint="default"/>
          <w:lang w:val="en-US" w:eastAsia="zh-CN"/>
        </w:rPr>
      </w:pPr>
    </w:p>
    <w:sectPr>
      <w:headerReference r:id="rId3" w:type="default"/>
      <w:footerReference r:id="rId4" w:type="default"/>
      <w:pgSz w:w="11906" w:h="16838"/>
      <w:pgMar w:top="2098" w:right="1474" w:bottom="1984" w:left="1587" w:header="851" w:footer="992" w:gutter="0"/>
      <w:pgNumType w:fmt="numberInDash"/>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Wingdings 2">
    <w:altName w:val="Wingdings"/>
    <w:panose1 w:val="05020102010507070707"/>
    <w:charset w:val="00"/>
    <w:family w:val="auto"/>
    <w:pitch w:val="default"/>
    <w:sig w:usb0="00000000" w:usb1="00000000" w:usb2="00000000" w:usb3="00000000" w:csb0="80000000" w:csb1="00000000"/>
  </w:font>
  <w:font w:name="楷体">
    <w:panose1 w:val="02010609060101010101"/>
    <w:charset w:val="86"/>
    <w:family w:val="auto"/>
    <w:pitch w:val="default"/>
    <w:sig w:usb0="800002BF" w:usb1="38CF7CFA" w:usb2="00000016" w:usb3="00000000" w:csb0="00040001" w:csb1="00000000"/>
  </w:font>
  <w:font w:name="方正小标宋简体">
    <w:altName w:val="黑体"/>
    <w:panose1 w:val="02000000000000000000"/>
    <w:charset w:val="86"/>
    <w:family w:val="auto"/>
    <w:pitch w:val="default"/>
    <w:sig w:usb0="00000000" w:usb1="00000000" w:usb2="00000012"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9FDAB4">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5B5918">
                          <w:pPr>
                            <w:pStyle w:val="10"/>
                            <w:ind w:right="451" w:rightChars="141"/>
                            <w:jc w:val="right"/>
                            <w:rPr>
                              <w:rFonts w:hint="eastAsia"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3 -</w:t>
                          </w:r>
                          <w:r>
                            <w:rPr>
                              <w:rFonts w:ascii="宋体" w:hAnsi="宋体"/>
                              <w:sz w:val="28"/>
                              <w:szCs w:val="28"/>
                            </w:rPr>
                            <w:fldChar w:fldCharType="end"/>
                          </w:r>
                        </w:p>
                        <w:p w14:paraId="73922DEC"/>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55B5918">
                    <w:pPr>
                      <w:pStyle w:val="10"/>
                      <w:ind w:right="451" w:rightChars="141"/>
                      <w:jc w:val="right"/>
                      <w:rPr>
                        <w:rFonts w:hint="eastAsia"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3 -</w:t>
                    </w:r>
                    <w:r>
                      <w:rPr>
                        <w:rFonts w:ascii="宋体" w:hAnsi="宋体"/>
                        <w:sz w:val="28"/>
                        <w:szCs w:val="28"/>
                      </w:rPr>
                      <w:fldChar w:fldCharType="end"/>
                    </w:r>
                  </w:p>
                  <w:p w14:paraId="73922DEC"/>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ED8072">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2846D96"/>
    <w:multiLevelType w:val="singleLevel"/>
    <w:tmpl w:val="A2846D96"/>
    <w:lvl w:ilvl="0" w:tentative="0">
      <w:start w:val="1"/>
      <w:numFmt w:val="decimal"/>
      <w:lvlText w:val="%1."/>
      <w:lvlJc w:val="left"/>
      <w:pPr>
        <w:tabs>
          <w:tab w:val="left" w:pos="312"/>
        </w:tabs>
      </w:pPr>
    </w:lvl>
  </w:abstractNum>
  <w:abstractNum w:abstractNumId="1">
    <w:nsid w:val="F927F59E"/>
    <w:multiLevelType w:val="singleLevel"/>
    <w:tmpl w:val="F927F59E"/>
    <w:lvl w:ilvl="0" w:tentative="0">
      <w:start w:val="5"/>
      <w:numFmt w:val="decimal"/>
      <w:lvlText w:val="%1."/>
      <w:lvlJc w:val="left"/>
      <w:pPr>
        <w:tabs>
          <w:tab w:val="left" w:pos="312"/>
        </w:tabs>
      </w:pPr>
    </w:lvl>
  </w:abstractNum>
  <w:abstractNum w:abstractNumId="2">
    <w:nsid w:val="3E37E066"/>
    <w:multiLevelType w:val="singleLevel"/>
    <w:tmpl w:val="3E37E066"/>
    <w:lvl w:ilvl="0" w:tentative="0">
      <w:start w:val="2"/>
      <w:numFmt w:val="chineseCounting"/>
      <w:suff w:val="nothing"/>
      <w:lvlText w:val="（%1）"/>
      <w:lvlJc w:val="left"/>
      <w:rPr>
        <w:rFonts w:hint="eastAsia"/>
      </w:rPr>
    </w:lvl>
  </w:abstractNum>
  <w:abstractNum w:abstractNumId="3">
    <w:nsid w:val="59717D55"/>
    <w:multiLevelType w:val="singleLevel"/>
    <w:tmpl w:val="59717D55"/>
    <w:lvl w:ilvl="0" w:tentative="0">
      <w:start w:val="2"/>
      <w:numFmt w:val="decimal"/>
      <w:lvlText w:val="%1."/>
      <w:lvlJc w:val="left"/>
      <w:pPr>
        <w:tabs>
          <w:tab w:val="left" w:pos="312"/>
        </w:tabs>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HorizontalSpacing w:val="160"/>
  <w:drawingGridVerticalSpacing w:val="43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0174"/>
    <w:rsid w:val="00006E4D"/>
    <w:rsid w:val="00021652"/>
    <w:rsid w:val="00030311"/>
    <w:rsid w:val="00030782"/>
    <w:rsid w:val="00030B66"/>
    <w:rsid w:val="0006102A"/>
    <w:rsid w:val="00065B0F"/>
    <w:rsid w:val="00065E7E"/>
    <w:rsid w:val="000820BB"/>
    <w:rsid w:val="0008241B"/>
    <w:rsid w:val="00092280"/>
    <w:rsid w:val="00097FAE"/>
    <w:rsid w:val="000A3233"/>
    <w:rsid w:val="000A7CE3"/>
    <w:rsid w:val="000B04D6"/>
    <w:rsid w:val="000B15CE"/>
    <w:rsid w:val="000C40C6"/>
    <w:rsid w:val="000C79C1"/>
    <w:rsid w:val="000D208A"/>
    <w:rsid w:val="000E037E"/>
    <w:rsid w:val="000F659A"/>
    <w:rsid w:val="000F77B0"/>
    <w:rsid w:val="0010235D"/>
    <w:rsid w:val="00103A47"/>
    <w:rsid w:val="00106D4D"/>
    <w:rsid w:val="001119A2"/>
    <w:rsid w:val="001221D6"/>
    <w:rsid w:val="0012510A"/>
    <w:rsid w:val="00125F67"/>
    <w:rsid w:val="001261AE"/>
    <w:rsid w:val="001348A4"/>
    <w:rsid w:val="0014117C"/>
    <w:rsid w:val="00146FE8"/>
    <w:rsid w:val="0014767B"/>
    <w:rsid w:val="00147AED"/>
    <w:rsid w:val="00177AAF"/>
    <w:rsid w:val="00183850"/>
    <w:rsid w:val="00184D9F"/>
    <w:rsid w:val="001A4749"/>
    <w:rsid w:val="001A4842"/>
    <w:rsid w:val="001A5833"/>
    <w:rsid w:val="001C2158"/>
    <w:rsid w:val="001C51F2"/>
    <w:rsid w:val="001C73AB"/>
    <w:rsid w:val="001D2EA4"/>
    <w:rsid w:val="001F47CE"/>
    <w:rsid w:val="001F5776"/>
    <w:rsid w:val="0020620D"/>
    <w:rsid w:val="002069BC"/>
    <w:rsid w:val="002069EB"/>
    <w:rsid w:val="002201B0"/>
    <w:rsid w:val="00220900"/>
    <w:rsid w:val="0022307E"/>
    <w:rsid w:val="00224D05"/>
    <w:rsid w:val="002323A3"/>
    <w:rsid w:val="00236EF7"/>
    <w:rsid w:val="0024058A"/>
    <w:rsid w:val="002410C0"/>
    <w:rsid w:val="00252894"/>
    <w:rsid w:val="00253FA6"/>
    <w:rsid w:val="00254728"/>
    <w:rsid w:val="002550E7"/>
    <w:rsid w:val="002558D4"/>
    <w:rsid w:val="002560E2"/>
    <w:rsid w:val="00264CFA"/>
    <w:rsid w:val="00270DD7"/>
    <w:rsid w:val="00276F4A"/>
    <w:rsid w:val="00280BFB"/>
    <w:rsid w:val="00280C88"/>
    <w:rsid w:val="002973A4"/>
    <w:rsid w:val="002A0195"/>
    <w:rsid w:val="002B5B34"/>
    <w:rsid w:val="002B6906"/>
    <w:rsid w:val="002B7215"/>
    <w:rsid w:val="002C0AFD"/>
    <w:rsid w:val="002C59D0"/>
    <w:rsid w:val="002D1A18"/>
    <w:rsid w:val="002D6C79"/>
    <w:rsid w:val="002E1104"/>
    <w:rsid w:val="002E3FDD"/>
    <w:rsid w:val="00300EF4"/>
    <w:rsid w:val="00301353"/>
    <w:rsid w:val="00305FF6"/>
    <w:rsid w:val="00307568"/>
    <w:rsid w:val="00311506"/>
    <w:rsid w:val="00316ADB"/>
    <w:rsid w:val="00317623"/>
    <w:rsid w:val="00335F67"/>
    <w:rsid w:val="003361E9"/>
    <w:rsid w:val="00350A65"/>
    <w:rsid w:val="00361C85"/>
    <w:rsid w:val="00371352"/>
    <w:rsid w:val="00376753"/>
    <w:rsid w:val="0038541D"/>
    <w:rsid w:val="00387818"/>
    <w:rsid w:val="00391A13"/>
    <w:rsid w:val="00391FD0"/>
    <w:rsid w:val="003A44FC"/>
    <w:rsid w:val="003B3299"/>
    <w:rsid w:val="003D10A2"/>
    <w:rsid w:val="003D33B8"/>
    <w:rsid w:val="003D624D"/>
    <w:rsid w:val="003D719A"/>
    <w:rsid w:val="003F5EB7"/>
    <w:rsid w:val="003F7FE2"/>
    <w:rsid w:val="004004E7"/>
    <w:rsid w:val="00416E1A"/>
    <w:rsid w:val="00426A3F"/>
    <w:rsid w:val="004277D4"/>
    <w:rsid w:val="00461638"/>
    <w:rsid w:val="004706FA"/>
    <w:rsid w:val="00474D8D"/>
    <w:rsid w:val="00475CCD"/>
    <w:rsid w:val="00477266"/>
    <w:rsid w:val="004811BC"/>
    <w:rsid w:val="004838F2"/>
    <w:rsid w:val="00486492"/>
    <w:rsid w:val="00492CF6"/>
    <w:rsid w:val="004A4C9D"/>
    <w:rsid w:val="004C2078"/>
    <w:rsid w:val="004C228F"/>
    <w:rsid w:val="004E752F"/>
    <w:rsid w:val="004F1E37"/>
    <w:rsid w:val="00515198"/>
    <w:rsid w:val="00521C44"/>
    <w:rsid w:val="005274E1"/>
    <w:rsid w:val="00531DDF"/>
    <w:rsid w:val="00535FA6"/>
    <w:rsid w:val="00542AB7"/>
    <w:rsid w:val="0055358D"/>
    <w:rsid w:val="005540C8"/>
    <w:rsid w:val="00555809"/>
    <w:rsid w:val="00562165"/>
    <w:rsid w:val="005756AF"/>
    <w:rsid w:val="00575A4A"/>
    <w:rsid w:val="00591B6F"/>
    <w:rsid w:val="005A1DAF"/>
    <w:rsid w:val="005C17C8"/>
    <w:rsid w:val="005C2098"/>
    <w:rsid w:val="005C2E6C"/>
    <w:rsid w:val="005D0CCF"/>
    <w:rsid w:val="005D1C01"/>
    <w:rsid w:val="005E297D"/>
    <w:rsid w:val="005E3F12"/>
    <w:rsid w:val="005F627E"/>
    <w:rsid w:val="0061652E"/>
    <w:rsid w:val="006205E9"/>
    <w:rsid w:val="00622D0B"/>
    <w:rsid w:val="006270DA"/>
    <w:rsid w:val="00630B75"/>
    <w:rsid w:val="00634DFF"/>
    <w:rsid w:val="00635337"/>
    <w:rsid w:val="0064265B"/>
    <w:rsid w:val="0064519C"/>
    <w:rsid w:val="0065082E"/>
    <w:rsid w:val="006512D0"/>
    <w:rsid w:val="006560A3"/>
    <w:rsid w:val="00656301"/>
    <w:rsid w:val="006600C9"/>
    <w:rsid w:val="006701CC"/>
    <w:rsid w:val="00671F58"/>
    <w:rsid w:val="006762A4"/>
    <w:rsid w:val="006900E7"/>
    <w:rsid w:val="006A00A8"/>
    <w:rsid w:val="006A482D"/>
    <w:rsid w:val="006B11E0"/>
    <w:rsid w:val="006B386A"/>
    <w:rsid w:val="006B7CB4"/>
    <w:rsid w:val="006C24D3"/>
    <w:rsid w:val="006C7917"/>
    <w:rsid w:val="006E51AE"/>
    <w:rsid w:val="0070081F"/>
    <w:rsid w:val="007018F5"/>
    <w:rsid w:val="00702588"/>
    <w:rsid w:val="00710897"/>
    <w:rsid w:val="00712F45"/>
    <w:rsid w:val="00734305"/>
    <w:rsid w:val="007370E1"/>
    <w:rsid w:val="007732A1"/>
    <w:rsid w:val="00774C4A"/>
    <w:rsid w:val="00782BBB"/>
    <w:rsid w:val="007A0690"/>
    <w:rsid w:val="007A078F"/>
    <w:rsid w:val="007B34D4"/>
    <w:rsid w:val="007C0633"/>
    <w:rsid w:val="007D086C"/>
    <w:rsid w:val="007E4CA5"/>
    <w:rsid w:val="007F1BE1"/>
    <w:rsid w:val="007F707F"/>
    <w:rsid w:val="007F794C"/>
    <w:rsid w:val="007F7AC9"/>
    <w:rsid w:val="00803B42"/>
    <w:rsid w:val="008073EF"/>
    <w:rsid w:val="0081095C"/>
    <w:rsid w:val="00810C41"/>
    <w:rsid w:val="008212FF"/>
    <w:rsid w:val="0082593B"/>
    <w:rsid w:val="00827537"/>
    <w:rsid w:val="008468EA"/>
    <w:rsid w:val="00867140"/>
    <w:rsid w:val="00881134"/>
    <w:rsid w:val="008904F0"/>
    <w:rsid w:val="008B2F27"/>
    <w:rsid w:val="008B4A72"/>
    <w:rsid w:val="008B585E"/>
    <w:rsid w:val="008E6C0C"/>
    <w:rsid w:val="008F1E63"/>
    <w:rsid w:val="008F3052"/>
    <w:rsid w:val="00901E19"/>
    <w:rsid w:val="009214F7"/>
    <w:rsid w:val="00921CD7"/>
    <w:rsid w:val="00940EB6"/>
    <w:rsid w:val="00944771"/>
    <w:rsid w:val="009601FC"/>
    <w:rsid w:val="00965426"/>
    <w:rsid w:val="0096654A"/>
    <w:rsid w:val="009711E4"/>
    <w:rsid w:val="00971572"/>
    <w:rsid w:val="00981E55"/>
    <w:rsid w:val="00986CEF"/>
    <w:rsid w:val="00987212"/>
    <w:rsid w:val="009A0E5F"/>
    <w:rsid w:val="009F1AF3"/>
    <w:rsid w:val="009F233E"/>
    <w:rsid w:val="00A024AB"/>
    <w:rsid w:val="00A050A5"/>
    <w:rsid w:val="00A05B8B"/>
    <w:rsid w:val="00A1372F"/>
    <w:rsid w:val="00A170EC"/>
    <w:rsid w:val="00A217B3"/>
    <w:rsid w:val="00A23D04"/>
    <w:rsid w:val="00A277D9"/>
    <w:rsid w:val="00A30CEB"/>
    <w:rsid w:val="00A31318"/>
    <w:rsid w:val="00A5432A"/>
    <w:rsid w:val="00A55F8A"/>
    <w:rsid w:val="00A9670E"/>
    <w:rsid w:val="00AA1423"/>
    <w:rsid w:val="00AB7996"/>
    <w:rsid w:val="00AC43C3"/>
    <w:rsid w:val="00AE2EAD"/>
    <w:rsid w:val="00AF77BE"/>
    <w:rsid w:val="00B11CEE"/>
    <w:rsid w:val="00B23428"/>
    <w:rsid w:val="00B264BF"/>
    <w:rsid w:val="00B42E74"/>
    <w:rsid w:val="00B46874"/>
    <w:rsid w:val="00B50E8F"/>
    <w:rsid w:val="00B51151"/>
    <w:rsid w:val="00B523E4"/>
    <w:rsid w:val="00B52B4F"/>
    <w:rsid w:val="00B6108C"/>
    <w:rsid w:val="00B649AD"/>
    <w:rsid w:val="00B64B9C"/>
    <w:rsid w:val="00B67A3E"/>
    <w:rsid w:val="00B735CC"/>
    <w:rsid w:val="00B82C95"/>
    <w:rsid w:val="00B83F87"/>
    <w:rsid w:val="00B84DFD"/>
    <w:rsid w:val="00BB4E38"/>
    <w:rsid w:val="00BC3879"/>
    <w:rsid w:val="00BD0E0D"/>
    <w:rsid w:val="00BD41BC"/>
    <w:rsid w:val="00BD55AD"/>
    <w:rsid w:val="00BE0305"/>
    <w:rsid w:val="00BF15F0"/>
    <w:rsid w:val="00BF7DF9"/>
    <w:rsid w:val="00C03559"/>
    <w:rsid w:val="00C05395"/>
    <w:rsid w:val="00C22AD7"/>
    <w:rsid w:val="00C272C1"/>
    <w:rsid w:val="00C32A68"/>
    <w:rsid w:val="00C34282"/>
    <w:rsid w:val="00C35350"/>
    <w:rsid w:val="00C3564B"/>
    <w:rsid w:val="00C53721"/>
    <w:rsid w:val="00C64D2E"/>
    <w:rsid w:val="00C70F97"/>
    <w:rsid w:val="00C7497C"/>
    <w:rsid w:val="00C757A2"/>
    <w:rsid w:val="00C75966"/>
    <w:rsid w:val="00C76577"/>
    <w:rsid w:val="00C80225"/>
    <w:rsid w:val="00C81349"/>
    <w:rsid w:val="00C93139"/>
    <w:rsid w:val="00CA08A0"/>
    <w:rsid w:val="00CA32D2"/>
    <w:rsid w:val="00CA4E07"/>
    <w:rsid w:val="00CA737D"/>
    <w:rsid w:val="00CB1EF5"/>
    <w:rsid w:val="00CC05D4"/>
    <w:rsid w:val="00CC7166"/>
    <w:rsid w:val="00CF5275"/>
    <w:rsid w:val="00CF6136"/>
    <w:rsid w:val="00D0023D"/>
    <w:rsid w:val="00D006C6"/>
    <w:rsid w:val="00D14A65"/>
    <w:rsid w:val="00D162B9"/>
    <w:rsid w:val="00D251E2"/>
    <w:rsid w:val="00D254F4"/>
    <w:rsid w:val="00D263A7"/>
    <w:rsid w:val="00D26B5D"/>
    <w:rsid w:val="00D33159"/>
    <w:rsid w:val="00D33A19"/>
    <w:rsid w:val="00D355B5"/>
    <w:rsid w:val="00D43DC3"/>
    <w:rsid w:val="00D51791"/>
    <w:rsid w:val="00D5281E"/>
    <w:rsid w:val="00D6531B"/>
    <w:rsid w:val="00D6612D"/>
    <w:rsid w:val="00D71AD9"/>
    <w:rsid w:val="00D73C02"/>
    <w:rsid w:val="00D872ED"/>
    <w:rsid w:val="00D913C6"/>
    <w:rsid w:val="00DA0236"/>
    <w:rsid w:val="00DA5D51"/>
    <w:rsid w:val="00DA5E29"/>
    <w:rsid w:val="00DA61CA"/>
    <w:rsid w:val="00DB66BB"/>
    <w:rsid w:val="00DB73AF"/>
    <w:rsid w:val="00DC2865"/>
    <w:rsid w:val="00DD0894"/>
    <w:rsid w:val="00DE1888"/>
    <w:rsid w:val="00DF1250"/>
    <w:rsid w:val="00DF6EF7"/>
    <w:rsid w:val="00E05454"/>
    <w:rsid w:val="00E074C3"/>
    <w:rsid w:val="00E23329"/>
    <w:rsid w:val="00E24D6D"/>
    <w:rsid w:val="00E341B2"/>
    <w:rsid w:val="00E42633"/>
    <w:rsid w:val="00E5699E"/>
    <w:rsid w:val="00E570E1"/>
    <w:rsid w:val="00E72773"/>
    <w:rsid w:val="00E76739"/>
    <w:rsid w:val="00E81946"/>
    <w:rsid w:val="00E82BB7"/>
    <w:rsid w:val="00E86D13"/>
    <w:rsid w:val="00E936C2"/>
    <w:rsid w:val="00E95346"/>
    <w:rsid w:val="00EA0CEF"/>
    <w:rsid w:val="00EA2E2A"/>
    <w:rsid w:val="00EB79D2"/>
    <w:rsid w:val="00EC0174"/>
    <w:rsid w:val="00ED3EEB"/>
    <w:rsid w:val="00ED5749"/>
    <w:rsid w:val="00ED5FA3"/>
    <w:rsid w:val="00ED68C4"/>
    <w:rsid w:val="00ED6A4E"/>
    <w:rsid w:val="00ED72EA"/>
    <w:rsid w:val="00EE3A4F"/>
    <w:rsid w:val="00EF10C3"/>
    <w:rsid w:val="00EF3BD2"/>
    <w:rsid w:val="00F16BCE"/>
    <w:rsid w:val="00F45DA1"/>
    <w:rsid w:val="00F5267B"/>
    <w:rsid w:val="00F53E8B"/>
    <w:rsid w:val="00F663FD"/>
    <w:rsid w:val="00F743B0"/>
    <w:rsid w:val="00F82409"/>
    <w:rsid w:val="00F8264F"/>
    <w:rsid w:val="00F833E9"/>
    <w:rsid w:val="00F84580"/>
    <w:rsid w:val="00F873DA"/>
    <w:rsid w:val="00F95982"/>
    <w:rsid w:val="00FA006C"/>
    <w:rsid w:val="00FA190E"/>
    <w:rsid w:val="00FA288B"/>
    <w:rsid w:val="00FA2997"/>
    <w:rsid w:val="00FA2C71"/>
    <w:rsid w:val="00FB3345"/>
    <w:rsid w:val="00FD0228"/>
    <w:rsid w:val="00FD3BB7"/>
    <w:rsid w:val="00FE0D93"/>
    <w:rsid w:val="00FF2572"/>
    <w:rsid w:val="00FF32AD"/>
    <w:rsid w:val="014D1153"/>
    <w:rsid w:val="01A22EEA"/>
    <w:rsid w:val="021A6C4F"/>
    <w:rsid w:val="022B32D8"/>
    <w:rsid w:val="026F7791"/>
    <w:rsid w:val="02874429"/>
    <w:rsid w:val="02881E0B"/>
    <w:rsid w:val="02E67E5C"/>
    <w:rsid w:val="03266188"/>
    <w:rsid w:val="03461237"/>
    <w:rsid w:val="035174CF"/>
    <w:rsid w:val="03632F4D"/>
    <w:rsid w:val="03881E08"/>
    <w:rsid w:val="03AD1C6A"/>
    <w:rsid w:val="03B6158C"/>
    <w:rsid w:val="047A1C27"/>
    <w:rsid w:val="04AD66CD"/>
    <w:rsid w:val="05BB08C8"/>
    <w:rsid w:val="05D97E37"/>
    <w:rsid w:val="067D3505"/>
    <w:rsid w:val="06965E6A"/>
    <w:rsid w:val="06FC2DC7"/>
    <w:rsid w:val="074518D2"/>
    <w:rsid w:val="079C3C62"/>
    <w:rsid w:val="07EF0236"/>
    <w:rsid w:val="080A6CD8"/>
    <w:rsid w:val="08541920"/>
    <w:rsid w:val="08627146"/>
    <w:rsid w:val="088107BE"/>
    <w:rsid w:val="090C0418"/>
    <w:rsid w:val="0A0E728E"/>
    <w:rsid w:val="0B3C12EF"/>
    <w:rsid w:val="0B577188"/>
    <w:rsid w:val="0B5807E8"/>
    <w:rsid w:val="0B7B61F8"/>
    <w:rsid w:val="0B837613"/>
    <w:rsid w:val="0BA61553"/>
    <w:rsid w:val="0BF54891"/>
    <w:rsid w:val="0C1464BD"/>
    <w:rsid w:val="0C682DEF"/>
    <w:rsid w:val="0CDD71F7"/>
    <w:rsid w:val="0CE6368F"/>
    <w:rsid w:val="0CF4009D"/>
    <w:rsid w:val="0CFC6B29"/>
    <w:rsid w:val="0D413859"/>
    <w:rsid w:val="0DB32CBA"/>
    <w:rsid w:val="0DC31556"/>
    <w:rsid w:val="0E1B7FD7"/>
    <w:rsid w:val="0E771A90"/>
    <w:rsid w:val="0ED65CAC"/>
    <w:rsid w:val="0EEE649D"/>
    <w:rsid w:val="0F3D4388"/>
    <w:rsid w:val="0F4672D5"/>
    <w:rsid w:val="0F5A69EC"/>
    <w:rsid w:val="102D2243"/>
    <w:rsid w:val="10347D7F"/>
    <w:rsid w:val="10501A8E"/>
    <w:rsid w:val="105F31D7"/>
    <w:rsid w:val="106519DD"/>
    <w:rsid w:val="1088781A"/>
    <w:rsid w:val="10927140"/>
    <w:rsid w:val="10BE6EEB"/>
    <w:rsid w:val="10C6252B"/>
    <w:rsid w:val="11423D5D"/>
    <w:rsid w:val="115F58E1"/>
    <w:rsid w:val="11A00FA5"/>
    <w:rsid w:val="11D81D3B"/>
    <w:rsid w:val="11E640B3"/>
    <w:rsid w:val="12042B30"/>
    <w:rsid w:val="1255782F"/>
    <w:rsid w:val="125C7FC2"/>
    <w:rsid w:val="128164F9"/>
    <w:rsid w:val="12E017EF"/>
    <w:rsid w:val="13062832"/>
    <w:rsid w:val="13286569"/>
    <w:rsid w:val="13685D6D"/>
    <w:rsid w:val="13877EBC"/>
    <w:rsid w:val="13D05D64"/>
    <w:rsid w:val="14625C79"/>
    <w:rsid w:val="14726477"/>
    <w:rsid w:val="14B32FDA"/>
    <w:rsid w:val="14C42E9A"/>
    <w:rsid w:val="151374D8"/>
    <w:rsid w:val="153320AA"/>
    <w:rsid w:val="154B24D3"/>
    <w:rsid w:val="15504628"/>
    <w:rsid w:val="156D4021"/>
    <w:rsid w:val="15F557B3"/>
    <w:rsid w:val="16053E50"/>
    <w:rsid w:val="16CD4A7A"/>
    <w:rsid w:val="16FD7F75"/>
    <w:rsid w:val="17093340"/>
    <w:rsid w:val="170A6E3A"/>
    <w:rsid w:val="17393C71"/>
    <w:rsid w:val="17902EA3"/>
    <w:rsid w:val="17B84AE8"/>
    <w:rsid w:val="17EC6540"/>
    <w:rsid w:val="1811001A"/>
    <w:rsid w:val="18C46036"/>
    <w:rsid w:val="18CC6834"/>
    <w:rsid w:val="194A42B6"/>
    <w:rsid w:val="19AB4582"/>
    <w:rsid w:val="19E8021D"/>
    <w:rsid w:val="1A293A7B"/>
    <w:rsid w:val="1A30701B"/>
    <w:rsid w:val="1A3D6143"/>
    <w:rsid w:val="1B0D755B"/>
    <w:rsid w:val="1B36414D"/>
    <w:rsid w:val="1B7900EB"/>
    <w:rsid w:val="1B94571D"/>
    <w:rsid w:val="1B9B2757"/>
    <w:rsid w:val="1BAA7086"/>
    <w:rsid w:val="1BBD2244"/>
    <w:rsid w:val="1BD627EC"/>
    <w:rsid w:val="1C013801"/>
    <w:rsid w:val="1C057BD0"/>
    <w:rsid w:val="1C0B7BBF"/>
    <w:rsid w:val="1C200EAE"/>
    <w:rsid w:val="1D503670"/>
    <w:rsid w:val="1DA8723B"/>
    <w:rsid w:val="1DB02C31"/>
    <w:rsid w:val="1DFD8D3B"/>
    <w:rsid w:val="1E42335E"/>
    <w:rsid w:val="1E917E41"/>
    <w:rsid w:val="1EEB7551"/>
    <w:rsid w:val="1EFC175F"/>
    <w:rsid w:val="1F1755C8"/>
    <w:rsid w:val="1F6D7F66"/>
    <w:rsid w:val="1F972E30"/>
    <w:rsid w:val="1FB79DC9"/>
    <w:rsid w:val="1FBFC3F2"/>
    <w:rsid w:val="1FD64768"/>
    <w:rsid w:val="1FE16BA6"/>
    <w:rsid w:val="1FFFE033"/>
    <w:rsid w:val="205E6558"/>
    <w:rsid w:val="20B35E4D"/>
    <w:rsid w:val="20E24984"/>
    <w:rsid w:val="20EB029A"/>
    <w:rsid w:val="211F1734"/>
    <w:rsid w:val="216929AF"/>
    <w:rsid w:val="217503B6"/>
    <w:rsid w:val="21963C5F"/>
    <w:rsid w:val="21BA320B"/>
    <w:rsid w:val="21E36C06"/>
    <w:rsid w:val="223A2C9A"/>
    <w:rsid w:val="22C22F86"/>
    <w:rsid w:val="22CD68AF"/>
    <w:rsid w:val="22D047BA"/>
    <w:rsid w:val="22F56FF2"/>
    <w:rsid w:val="230F7587"/>
    <w:rsid w:val="23290736"/>
    <w:rsid w:val="23801F4B"/>
    <w:rsid w:val="23971A56"/>
    <w:rsid w:val="23A43A45"/>
    <w:rsid w:val="23BC14BC"/>
    <w:rsid w:val="23C01321"/>
    <w:rsid w:val="23DC577C"/>
    <w:rsid w:val="24B10096"/>
    <w:rsid w:val="252A4E70"/>
    <w:rsid w:val="25374F0D"/>
    <w:rsid w:val="2551032A"/>
    <w:rsid w:val="25513E86"/>
    <w:rsid w:val="25952D9C"/>
    <w:rsid w:val="25B54415"/>
    <w:rsid w:val="26F50545"/>
    <w:rsid w:val="2748390F"/>
    <w:rsid w:val="27DF0044"/>
    <w:rsid w:val="27F352A6"/>
    <w:rsid w:val="27FF02F9"/>
    <w:rsid w:val="28223EF9"/>
    <w:rsid w:val="28250EDF"/>
    <w:rsid w:val="286D7174"/>
    <w:rsid w:val="28940C5A"/>
    <w:rsid w:val="28B9246E"/>
    <w:rsid w:val="2903193C"/>
    <w:rsid w:val="2968267E"/>
    <w:rsid w:val="29A0718A"/>
    <w:rsid w:val="2A273408"/>
    <w:rsid w:val="2B5A3813"/>
    <w:rsid w:val="2BB1567F"/>
    <w:rsid w:val="2BBA5667"/>
    <w:rsid w:val="2C081CF5"/>
    <w:rsid w:val="2C0C6D59"/>
    <w:rsid w:val="2C2E7158"/>
    <w:rsid w:val="2C530BAD"/>
    <w:rsid w:val="2C5D710F"/>
    <w:rsid w:val="2C905E07"/>
    <w:rsid w:val="2CE4655A"/>
    <w:rsid w:val="2CF717B7"/>
    <w:rsid w:val="2D0169E7"/>
    <w:rsid w:val="2D182014"/>
    <w:rsid w:val="2D202ABC"/>
    <w:rsid w:val="2D3F5804"/>
    <w:rsid w:val="2D527252"/>
    <w:rsid w:val="2D8952DF"/>
    <w:rsid w:val="2D8F7C42"/>
    <w:rsid w:val="2D9B663F"/>
    <w:rsid w:val="2DC22295"/>
    <w:rsid w:val="2DDC1740"/>
    <w:rsid w:val="2E161FE6"/>
    <w:rsid w:val="2EAE3D45"/>
    <w:rsid w:val="2EAE55F2"/>
    <w:rsid w:val="2EC86F91"/>
    <w:rsid w:val="2EDF4302"/>
    <w:rsid w:val="2EFA733D"/>
    <w:rsid w:val="2EFE1A04"/>
    <w:rsid w:val="2F162612"/>
    <w:rsid w:val="2F2148A0"/>
    <w:rsid w:val="2F2B399A"/>
    <w:rsid w:val="2F3B36B3"/>
    <w:rsid w:val="2F5E3457"/>
    <w:rsid w:val="305164FC"/>
    <w:rsid w:val="30606B8D"/>
    <w:rsid w:val="3095556F"/>
    <w:rsid w:val="30CC50E8"/>
    <w:rsid w:val="30E4344C"/>
    <w:rsid w:val="30FC739C"/>
    <w:rsid w:val="31074A74"/>
    <w:rsid w:val="313D0249"/>
    <w:rsid w:val="31603DB8"/>
    <w:rsid w:val="319121DA"/>
    <w:rsid w:val="31EB305D"/>
    <w:rsid w:val="32154074"/>
    <w:rsid w:val="32270449"/>
    <w:rsid w:val="32476D3D"/>
    <w:rsid w:val="326C7F29"/>
    <w:rsid w:val="32931944"/>
    <w:rsid w:val="3297451C"/>
    <w:rsid w:val="32B55B6B"/>
    <w:rsid w:val="32D964B4"/>
    <w:rsid w:val="32FA2D18"/>
    <w:rsid w:val="33204698"/>
    <w:rsid w:val="333E6525"/>
    <w:rsid w:val="33446DD8"/>
    <w:rsid w:val="337A382F"/>
    <w:rsid w:val="33945FB2"/>
    <w:rsid w:val="339935C8"/>
    <w:rsid w:val="33D11FCE"/>
    <w:rsid w:val="3442346E"/>
    <w:rsid w:val="345A0203"/>
    <w:rsid w:val="348A1163"/>
    <w:rsid w:val="34F3334A"/>
    <w:rsid w:val="3500668B"/>
    <w:rsid w:val="35756275"/>
    <w:rsid w:val="35BBF80F"/>
    <w:rsid w:val="35DB3331"/>
    <w:rsid w:val="36691A00"/>
    <w:rsid w:val="3670156E"/>
    <w:rsid w:val="36767BF1"/>
    <w:rsid w:val="36FA25D0"/>
    <w:rsid w:val="37547700"/>
    <w:rsid w:val="375C5FD3"/>
    <w:rsid w:val="37FC5ED4"/>
    <w:rsid w:val="386C12AB"/>
    <w:rsid w:val="393022D9"/>
    <w:rsid w:val="395771EC"/>
    <w:rsid w:val="399860D0"/>
    <w:rsid w:val="39A2609F"/>
    <w:rsid w:val="3A173499"/>
    <w:rsid w:val="3A192D6D"/>
    <w:rsid w:val="3A5169AB"/>
    <w:rsid w:val="3A804B9A"/>
    <w:rsid w:val="3B0C6285"/>
    <w:rsid w:val="3B315F82"/>
    <w:rsid w:val="3B736F08"/>
    <w:rsid w:val="3B7B245E"/>
    <w:rsid w:val="3BCA68E9"/>
    <w:rsid w:val="3BE3D531"/>
    <w:rsid w:val="3BF87DEC"/>
    <w:rsid w:val="3BFF41E4"/>
    <w:rsid w:val="3C4C09BF"/>
    <w:rsid w:val="3C51091B"/>
    <w:rsid w:val="3C6B09B5"/>
    <w:rsid w:val="3C97728A"/>
    <w:rsid w:val="3CAA3FF2"/>
    <w:rsid w:val="3CAF79B9"/>
    <w:rsid w:val="3D242FD2"/>
    <w:rsid w:val="3D412AD6"/>
    <w:rsid w:val="3D431A40"/>
    <w:rsid w:val="3D475E43"/>
    <w:rsid w:val="3D5A3DC8"/>
    <w:rsid w:val="3D6A1B31"/>
    <w:rsid w:val="3DA056A3"/>
    <w:rsid w:val="3DC33EF5"/>
    <w:rsid w:val="3E344619"/>
    <w:rsid w:val="3E345678"/>
    <w:rsid w:val="3E412892"/>
    <w:rsid w:val="3EFF42CA"/>
    <w:rsid w:val="3F1003D0"/>
    <w:rsid w:val="3F6FCA38"/>
    <w:rsid w:val="3F9D61EE"/>
    <w:rsid w:val="3FCE7C4A"/>
    <w:rsid w:val="3FD5AF3D"/>
    <w:rsid w:val="3FDF5062"/>
    <w:rsid w:val="3FFED8BE"/>
    <w:rsid w:val="3FFF43BB"/>
    <w:rsid w:val="40113301"/>
    <w:rsid w:val="40AD4499"/>
    <w:rsid w:val="40D914A8"/>
    <w:rsid w:val="40EB5992"/>
    <w:rsid w:val="41140732"/>
    <w:rsid w:val="41546BF7"/>
    <w:rsid w:val="41DD3F02"/>
    <w:rsid w:val="42132798"/>
    <w:rsid w:val="42204EB5"/>
    <w:rsid w:val="425A2297"/>
    <w:rsid w:val="42DC0DDB"/>
    <w:rsid w:val="432624D8"/>
    <w:rsid w:val="433DCF8E"/>
    <w:rsid w:val="4390272D"/>
    <w:rsid w:val="4393433E"/>
    <w:rsid w:val="43C81360"/>
    <w:rsid w:val="43DA6543"/>
    <w:rsid w:val="44042F65"/>
    <w:rsid w:val="44102632"/>
    <w:rsid w:val="44573521"/>
    <w:rsid w:val="447C0AC8"/>
    <w:rsid w:val="447C656B"/>
    <w:rsid w:val="44985785"/>
    <w:rsid w:val="44F35376"/>
    <w:rsid w:val="45416EE4"/>
    <w:rsid w:val="45E979B5"/>
    <w:rsid w:val="45FF973D"/>
    <w:rsid w:val="461E4042"/>
    <w:rsid w:val="464417F0"/>
    <w:rsid w:val="46617082"/>
    <w:rsid w:val="46A4580A"/>
    <w:rsid w:val="46C40E34"/>
    <w:rsid w:val="46E92F6E"/>
    <w:rsid w:val="46EA177A"/>
    <w:rsid w:val="47550EBA"/>
    <w:rsid w:val="47755264"/>
    <w:rsid w:val="47890DC5"/>
    <w:rsid w:val="47ED4152"/>
    <w:rsid w:val="486755EB"/>
    <w:rsid w:val="48B073E1"/>
    <w:rsid w:val="48C31D0D"/>
    <w:rsid w:val="48FF3A76"/>
    <w:rsid w:val="49407C95"/>
    <w:rsid w:val="494B2817"/>
    <w:rsid w:val="49515317"/>
    <w:rsid w:val="4961028C"/>
    <w:rsid w:val="49622272"/>
    <w:rsid w:val="49A17CD1"/>
    <w:rsid w:val="49A86604"/>
    <w:rsid w:val="49CC7DFC"/>
    <w:rsid w:val="49F243D9"/>
    <w:rsid w:val="49F96717"/>
    <w:rsid w:val="49FB248F"/>
    <w:rsid w:val="4A0C0A12"/>
    <w:rsid w:val="4A4048BB"/>
    <w:rsid w:val="4A6718D3"/>
    <w:rsid w:val="4A7F4E6E"/>
    <w:rsid w:val="4A8F7C01"/>
    <w:rsid w:val="4AF0290A"/>
    <w:rsid w:val="4B1969AB"/>
    <w:rsid w:val="4B865E87"/>
    <w:rsid w:val="4B9B6CF7"/>
    <w:rsid w:val="4BA27A50"/>
    <w:rsid w:val="4BEC338A"/>
    <w:rsid w:val="4BF7E09D"/>
    <w:rsid w:val="4C0513A3"/>
    <w:rsid w:val="4C1E1D1E"/>
    <w:rsid w:val="4C2555A1"/>
    <w:rsid w:val="4C3B3445"/>
    <w:rsid w:val="4CB3520A"/>
    <w:rsid w:val="4CCF550D"/>
    <w:rsid w:val="4CD55219"/>
    <w:rsid w:val="4CDE165E"/>
    <w:rsid w:val="4D061A05"/>
    <w:rsid w:val="4D233ED7"/>
    <w:rsid w:val="4D9D3130"/>
    <w:rsid w:val="4E6C2B94"/>
    <w:rsid w:val="4E924165"/>
    <w:rsid w:val="4EEE25C2"/>
    <w:rsid w:val="4F254FB5"/>
    <w:rsid w:val="4FDB0C71"/>
    <w:rsid w:val="4FFFFC3E"/>
    <w:rsid w:val="502E3910"/>
    <w:rsid w:val="50681830"/>
    <w:rsid w:val="508C1595"/>
    <w:rsid w:val="50A23BBD"/>
    <w:rsid w:val="50B43398"/>
    <w:rsid w:val="50DA6697"/>
    <w:rsid w:val="50E7551B"/>
    <w:rsid w:val="51921335"/>
    <w:rsid w:val="51D47EAB"/>
    <w:rsid w:val="522E5B64"/>
    <w:rsid w:val="52C84ED8"/>
    <w:rsid w:val="52DD4E28"/>
    <w:rsid w:val="52DE4C8A"/>
    <w:rsid w:val="53090A32"/>
    <w:rsid w:val="53283101"/>
    <w:rsid w:val="536E7FB1"/>
    <w:rsid w:val="537D2343"/>
    <w:rsid w:val="53A6376C"/>
    <w:rsid w:val="53BB74FC"/>
    <w:rsid w:val="53DF1B60"/>
    <w:rsid w:val="54161C73"/>
    <w:rsid w:val="545A4256"/>
    <w:rsid w:val="54613836"/>
    <w:rsid w:val="546E7D01"/>
    <w:rsid w:val="54751090"/>
    <w:rsid w:val="549A7DB4"/>
    <w:rsid w:val="54B5148C"/>
    <w:rsid w:val="54D0497E"/>
    <w:rsid w:val="54FD4314"/>
    <w:rsid w:val="54FE2E33"/>
    <w:rsid w:val="550D12C8"/>
    <w:rsid w:val="554941C4"/>
    <w:rsid w:val="558F6181"/>
    <w:rsid w:val="55BF6A67"/>
    <w:rsid w:val="55C70031"/>
    <w:rsid w:val="55DD513F"/>
    <w:rsid w:val="55EA3799"/>
    <w:rsid w:val="55EF68C9"/>
    <w:rsid w:val="55FDDF92"/>
    <w:rsid w:val="55FFBC03"/>
    <w:rsid w:val="563B3075"/>
    <w:rsid w:val="565076BF"/>
    <w:rsid w:val="565C42B5"/>
    <w:rsid w:val="56BE3260"/>
    <w:rsid w:val="56CDA72E"/>
    <w:rsid w:val="56D27DCB"/>
    <w:rsid w:val="56F40E9F"/>
    <w:rsid w:val="570456A2"/>
    <w:rsid w:val="570B58F9"/>
    <w:rsid w:val="572A09D8"/>
    <w:rsid w:val="57633422"/>
    <w:rsid w:val="576F5916"/>
    <w:rsid w:val="5778372D"/>
    <w:rsid w:val="577FDAE2"/>
    <w:rsid w:val="579E57DB"/>
    <w:rsid w:val="57AA72A2"/>
    <w:rsid w:val="57B455FD"/>
    <w:rsid w:val="57F81DBC"/>
    <w:rsid w:val="57FBE2C7"/>
    <w:rsid w:val="581212F6"/>
    <w:rsid w:val="58415AAD"/>
    <w:rsid w:val="5859378C"/>
    <w:rsid w:val="585D2567"/>
    <w:rsid w:val="585D2E5D"/>
    <w:rsid w:val="58601DD9"/>
    <w:rsid w:val="586539BA"/>
    <w:rsid w:val="5877778C"/>
    <w:rsid w:val="589A7317"/>
    <w:rsid w:val="59C26B25"/>
    <w:rsid w:val="5A24333C"/>
    <w:rsid w:val="5A56713E"/>
    <w:rsid w:val="5A932270"/>
    <w:rsid w:val="5AC60960"/>
    <w:rsid w:val="5AD84127"/>
    <w:rsid w:val="5AEE394A"/>
    <w:rsid w:val="5B105CF2"/>
    <w:rsid w:val="5B132A22"/>
    <w:rsid w:val="5B335734"/>
    <w:rsid w:val="5B7F322F"/>
    <w:rsid w:val="5BB87D47"/>
    <w:rsid w:val="5BCAB023"/>
    <w:rsid w:val="5BF71B9A"/>
    <w:rsid w:val="5C25339C"/>
    <w:rsid w:val="5C3E7B54"/>
    <w:rsid w:val="5C563555"/>
    <w:rsid w:val="5C6C242E"/>
    <w:rsid w:val="5C80531D"/>
    <w:rsid w:val="5C8F3682"/>
    <w:rsid w:val="5D2A59D8"/>
    <w:rsid w:val="5D4A4101"/>
    <w:rsid w:val="5D5177E6"/>
    <w:rsid w:val="5D6116DA"/>
    <w:rsid w:val="5DC8476D"/>
    <w:rsid w:val="5DDA9B94"/>
    <w:rsid w:val="5DFB15F8"/>
    <w:rsid w:val="5DFB49A3"/>
    <w:rsid w:val="5E9F7435"/>
    <w:rsid w:val="5EA56DD3"/>
    <w:rsid w:val="5EAB810D"/>
    <w:rsid w:val="5EF71BAD"/>
    <w:rsid w:val="5EFF9DA6"/>
    <w:rsid w:val="5F463D55"/>
    <w:rsid w:val="5F7751B9"/>
    <w:rsid w:val="5F843922"/>
    <w:rsid w:val="5F846277"/>
    <w:rsid w:val="5F9F7232"/>
    <w:rsid w:val="5F9F9588"/>
    <w:rsid w:val="5FBD32D2"/>
    <w:rsid w:val="5FD450B0"/>
    <w:rsid w:val="5FEF60CD"/>
    <w:rsid w:val="5FFB203D"/>
    <w:rsid w:val="5FFB8CF9"/>
    <w:rsid w:val="602F2A3B"/>
    <w:rsid w:val="609B1112"/>
    <w:rsid w:val="61111978"/>
    <w:rsid w:val="614D4577"/>
    <w:rsid w:val="61564A38"/>
    <w:rsid w:val="62165C60"/>
    <w:rsid w:val="621C2B4B"/>
    <w:rsid w:val="624A719B"/>
    <w:rsid w:val="62C76F5B"/>
    <w:rsid w:val="635078AA"/>
    <w:rsid w:val="637864A7"/>
    <w:rsid w:val="63DBAF21"/>
    <w:rsid w:val="645B2605"/>
    <w:rsid w:val="64A22CC8"/>
    <w:rsid w:val="64C2570E"/>
    <w:rsid w:val="64D94C33"/>
    <w:rsid w:val="652F2B95"/>
    <w:rsid w:val="656B62C3"/>
    <w:rsid w:val="656C3820"/>
    <w:rsid w:val="65705687"/>
    <w:rsid w:val="65890234"/>
    <w:rsid w:val="65AA12CD"/>
    <w:rsid w:val="65C6799D"/>
    <w:rsid w:val="65DB5796"/>
    <w:rsid w:val="662C26B8"/>
    <w:rsid w:val="6636451A"/>
    <w:rsid w:val="663E554C"/>
    <w:rsid w:val="664C584C"/>
    <w:rsid w:val="665135D2"/>
    <w:rsid w:val="666441D8"/>
    <w:rsid w:val="666D606B"/>
    <w:rsid w:val="667F398F"/>
    <w:rsid w:val="6743410A"/>
    <w:rsid w:val="674359D3"/>
    <w:rsid w:val="67DE80AA"/>
    <w:rsid w:val="6822068B"/>
    <w:rsid w:val="68790998"/>
    <w:rsid w:val="689B524D"/>
    <w:rsid w:val="689C2025"/>
    <w:rsid w:val="68B72FF4"/>
    <w:rsid w:val="68CB510F"/>
    <w:rsid w:val="68CF0917"/>
    <w:rsid w:val="68CF4DBB"/>
    <w:rsid w:val="68EB2D4C"/>
    <w:rsid w:val="697E3B47"/>
    <w:rsid w:val="69A07CB4"/>
    <w:rsid w:val="69BF132E"/>
    <w:rsid w:val="69FE782B"/>
    <w:rsid w:val="6A204E19"/>
    <w:rsid w:val="6A4F7ABD"/>
    <w:rsid w:val="6A56016D"/>
    <w:rsid w:val="6AAD2EDA"/>
    <w:rsid w:val="6AC16985"/>
    <w:rsid w:val="6ADE397F"/>
    <w:rsid w:val="6AF40962"/>
    <w:rsid w:val="6B2D5DC9"/>
    <w:rsid w:val="6B4A24D7"/>
    <w:rsid w:val="6B725DD5"/>
    <w:rsid w:val="6B853137"/>
    <w:rsid w:val="6BA71C27"/>
    <w:rsid w:val="6BDE63D2"/>
    <w:rsid w:val="6BF63D99"/>
    <w:rsid w:val="6BFEE5F3"/>
    <w:rsid w:val="6C632527"/>
    <w:rsid w:val="6CAFF34E"/>
    <w:rsid w:val="6CBA7B30"/>
    <w:rsid w:val="6CD40BF2"/>
    <w:rsid w:val="6CF06C25"/>
    <w:rsid w:val="6CFFCF4F"/>
    <w:rsid w:val="6D1A3C84"/>
    <w:rsid w:val="6D1E3C1B"/>
    <w:rsid w:val="6D236356"/>
    <w:rsid w:val="6D3B24AA"/>
    <w:rsid w:val="6D414279"/>
    <w:rsid w:val="6DDA2238"/>
    <w:rsid w:val="6DDB7D5E"/>
    <w:rsid w:val="6DE70C4B"/>
    <w:rsid w:val="6DFFF8B6"/>
    <w:rsid w:val="6E166FD5"/>
    <w:rsid w:val="6E432276"/>
    <w:rsid w:val="6E501D95"/>
    <w:rsid w:val="6E8126B3"/>
    <w:rsid w:val="6E9B1726"/>
    <w:rsid w:val="6E9FE641"/>
    <w:rsid w:val="6ECB1E25"/>
    <w:rsid w:val="6EEDE807"/>
    <w:rsid w:val="6EEE4BE4"/>
    <w:rsid w:val="6EF65E9C"/>
    <w:rsid w:val="6EFD533A"/>
    <w:rsid w:val="6F0D2199"/>
    <w:rsid w:val="6F3D9197"/>
    <w:rsid w:val="6F3E2352"/>
    <w:rsid w:val="6FAB3EC4"/>
    <w:rsid w:val="6FB6AF41"/>
    <w:rsid w:val="6FD894C8"/>
    <w:rsid w:val="6FE36A9E"/>
    <w:rsid w:val="6FEFB2D1"/>
    <w:rsid w:val="6FFF97E6"/>
    <w:rsid w:val="70603967"/>
    <w:rsid w:val="706D11DA"/>
    <w:rsid w:val="70A629D0"/>
    <w:rsid w:val="70F85851"/>
    <w:rsid w:val="70FE623D"/>
    <w:rsid w:val="71031AA6"/>
    <w:rsid w:val="711772FF"/>
    <w:rsid w:val="71397E03"/>
    <w:rsid w:val="717464FF"/>
    <w:rsid w:val="71964132"/>
    <w:rsid w:val="71BD7AEA"/>
    <w:rsid w:val="71FB5B08"/>
    <w:rsid w:val="7214383E"/>
    <w:rsid w:val="724E2A96"/>
    <w:rsid w:val="726B4EA8"/>
    <w:rsid w:val="728F6D2F"/>
    <w:rsid w:val="72C412CB"/>
    <w:rsid w:val="72C72112"/>
    <w:rsid w:val="72E17BC5"/>
    <w:rsid w:val="73090D3A"/>
    <w:rsid w:val="73316161"/>
    <w:rsid w:val="734D7048"/>
    <w:rsid w:val="73E54482"/>
    <w:rsid w:val="73FB87D9"/>
    <w:rsid w:val="74380971"/>
    <w:rsid w:val="74EC1E27"/>
    <w:rsid w:val="755A1EB0"/>
    <w:rsid w:val="75EF0FBA"/>
    <w:rsid w:val="7607C293"/>
    <w:rsid w:val="76167719"/>
    <w:rsid w:val="764D6F61"/>
    <w:rsid w:val="769A0481"/>
    <w:rsid w:val="76DFA4E8"/>
    <w:rsid w:val="76F57C54"/>
    <w:rsid w:val="77040325"/>
    <w:rsid w:val="778720BD"/>
    <w:rsid w:val="77A7D615"/>
    <w:rsid w:val="77FF366A"/>
    <w:rsid w:val="77FF8C96"/>
    <w:rsid w:val="77FFA8F9"/>
    <w:rsid w:val="780E7994"/>
    <w:rsid w:val="78891D45"/>
    <w:rsid w:val="791D122B"/>
    <w:rsid w:val="792E00A8"/>
    <w:rsid w:val="7976604B"/>
    <w:rsid w:val="79AF71EA"/>
    <w:rsid w:val="79DA62D7"/>
    <w:rsid w:val="79F3BC78"/>
    <w:rsid w:val="7A3B074C"/>
    <w:rsid w:val="7A5B6CAA"/>
    <w:rsid w:val="7A9314AC"/>
    <w:rsid w:val="7A937851"/>
    <w:rsid w:val="7A997C4B"/>
    <w:rsid w:val="7AB11406"/>
    <w:rsid w:val="7ADB75EF"/>
    <w:rsid w:val="7AE136E5"/>
    <w:rsid w:val="7B2A1379"/>
    <w:rsid w:val="7B3A2240"/>
    <w:rsid w:val="7B4F6850"/>
    <w:rsid w:val="7B745E4E"/>
    <w:rsid w:val="7B8C5463"/>
    <w:rsid w:val="7BABD5C4"/>
    <w:rsid w:val="7BB12055"/>
    <w:rsid w:val="7BBFADBA"/>
    <w:rsid w:val="7BDF4EBD"/>
    <w:rsid w:val="7BEB323E"/>
    <w:rsid w:val="7BFF492D"/>
    <w:rsid w:val="7C631402"/>
    <w:rsid w:val="7C978C63"/>
    <w:rsid w:val="7CA35AD0"/>
    <w:rsid w:val="7CDF8BC3"/>
    <w:rsid w:val="7CE046E5"/>
    <w:rsid w:val="7CEB72A5"/>
    <w:rsid w:val="7D18750B"/>
    <w:rsid w:val="7D7004C3"/>
    <w:rsid w:val="7D724FC3"/>
    <w:rsid w:val="7D8775BA"/>
    <w:rsid w:val="7DDFDC39"/>
    <w:rsid w:val="7E140770"/>
    <w:rsid w:val="7E1C06CD"/>
    <w:rsid w:val="7E530B8B"/>
    <w:rsid w:val="7E5D92FB"/>
    <w:rsid w:val="7E660835"/>
    <w:rsid w:val="7EBB39C0"/>
    <w:rsid w:val="7EC2287D"/>
    <w:rsid w:val="7EF51D64"/>
    <w:rsid w:val="7EFFF488"/>
    <w:rsid w:val="7F147B99"/>
    <w:rsid w:val="7F574612"/>
    <w:rsid w:val="7F576235"/>
    <w:rsid w:val="7F590AE3"/>
    <w:rsid w:val="7F7F4920"/>
    <w:rsid w:val="7FB7C299"/>
    <w:rsid w:val="7FBFFB92"/>
    <w:rsid w:val="7FD76ACB"/>
    <w:rsid w:val="7FD89DA2"/>
    <w:rsid w:val="7FDBD805"/>
    <w:rsid w:val="7FDD2D72"/>
    <w:rsid w:val="7FDEC14D"/>
    <w:rsid w:val="7FDF8B76"/>
    <w:rsid w:val="7FDFE693"/>
    <w:rsid w:val="7FE505C8"/>
    <w:rsid w:val="7FEFB5DD"/>
    <w:rsid w:val="7FEFBBD9"/>
    <w:rsid w:val="7FFD6A57"/>
    <w:rsid w:val="7FFDA7EC"/>
    <w:rsid w:val="7FFDEA1E"/>
    <w:rsid w:val="7FFEC1F6"/>
    <w:rsid w:val="7FFF2F52"/>
    <w:rsid w:val="8F7B4EC8"/>
    <w:rsid w:val="8FBD4480"/>
    <w:rsid w:val="8FF7AE96"/>
    <w:rsid w:val="955F5184"/>
    <w:rsid w:val="9F6311D7"/>
    <w:rsid w:val="9FF54399"/>
    <w:rsid w:val="A46D76C1"/>
    <w:rsid w:val="A7FF43C2"/>
    <w:rsid w:val="ABF66286"/>
    <w:rsid w:val="AD9E3F04"/>
    <w:rsid w:val="ADA70464"/>
    <w:rsid w:val="AFE97CD3"/>
    <w:rsid w:val="B1BF5C63"/>
    <w:rsid w:val="B1FF3A18"/>
    <w:rsid w:val="B3CDF284"/>
    <w:rsid w:val="B3E8107B"/>
    <w:rsid w:val="B5F66F24"/>
    <w:rsid w:val="B7F5200A"/>
    <w:rsid w:val="BABDA1AA"/>
    <w:rsid w:val="BB1B4BF1"/>
    <w:rsid w:val="BBE5FE68"/>
    <w:rsid w:val="BBFEB9C1"/>
    <w:rsid w:val="BDF7406A"/>
    <w:rsid w:val="BE6FD8DB"/>
    <w:rsid w:val="BEEF57C2"/>
    <w:rsid w:val="BF6D5596"/>
    <w:rsid w:val="BFBEBB2C"/>
    <w:rsid w:val="BFC68935"/>
    <w:rsid w:val="BFDD0F1D"/>
    <w:rsid w:val="BFDDD096"/>
    <w:rsid w:val="C5B3F496"/>
    <w:rsid w:val="C96F3E49"/>
    <w:rsid w:val="CBBF14F3"/>
    <w:rsid w:val="CBE5DCF2"/>
    <w:rsid w:val="CCFCC735"/>
    <w:rsid w:val="CEEB8A74"/>
    <w:rsid w:val="D37FB642"/>
    <w:rsid w:val="D7F99798"/>
    <w:rsid w:val="D7FF400C"/>
    <w:rsid w:val="DBED1CD4"/>
    <w:rsid w:val="DBFBB328"/>
    <w:rsid w:val="DDD7453A"/>
    <w:rsid w:val="DE3E1FD7"/>
    <w:rsid w:val="DFBE1B79"/>
    <w:rsid w:val="DFCF1FEC"/>
    <w:rsid w:val="DFE75A3D"/>
    <w:rsid w:val="DFED2117"/>
    <w:rsid w:val="DFEF594B"/>
    <w:rsid w:val="DFF3F960"/>
    <w:rsid w:val="DFFE0D61"/>
    <w:rsid w:val="E35C4B3C"/>
    <w:rsid w:val="E3A781CA"/>
    <w:rsid w:val="E5DFAB50"/>
    <w:rsid w:val="E6FC647F"/>
    <w:rsid w:val="EBFBC8F1"/>
    <w:rsid w:val="EBFDF757"/>
    <w:rsid w:val="ED758B5D"/>
    <w:rsid w:val="ED76A08D"/>
    <w:rsid w:val="EDBDD81F"/>
    <w:rsid w:val="EDFDB542"/>
    <w:rsid w:val="EF0FCF96"/>
    <w:rsid w:val="EF95E20F"/>
    <w:rsid w:val="EFAF7DFF"/>
    <w:rsid w:val="EFAFB283"/>
    <w:rsid w:val="EFBDA38B"/>
    <w:rsid w:val="EFEE9A76"/>
    <w:rsid w:val="F1BF6FBC"/>
    <w:rsid w:val="F1F9A9B5"/>
    <w:rsid w:val="F3779FC2"/>
    <w:rsid w:val="F3D5C239"/>
    <w:rsid w:val="F3F37DF4"/>
    <w:rsid w:val="F3F96DE6"/>
    <w:rsid w:val="F3FBC54A"/>
    <w:rsid w:val="F47BB68A"/>
    <w:rsid w:val="F47F523E"/>
    <w:rsid w:val="F69FD6B0"/>
    <w:rsid w:val="F7E7F921"/>
    <w:rsid w:val="F7F7AC6A"/>
    <w:rsid w:val="F7FD93B9"/>
    <w:rsid w:val="FABF64A5"/>
    <w:rsid w:val="FABF7411"/>
    <w:rsid w:val="FBA53981"/>
    <w:rsid w:val="FBE4457E"/>
    <w:rsid w:val="FBFC558A"/>
    <w:rsid w:val="FBFF71AC"/>
    <w:rsid w:val="FBFFEA2B"/>
    <w:rsid w:val="FCCB27AA"/>
    <w:rsid w:val="FCFF8F4B"/>
    <w:rsid w:val="FD9595AD"/>
    <w:rsid w:val="FDF9DD9A"/>
    <w:rsid w:val="FDFF2821"/>
    <w:rsid w:val="FDFFA696"/>
    <w:rsid w:val="FE7FB02B"/>
    <w:rsid w:val="FEBD0232"/>
    <w:rsid w:val="FED5A77F"/>
    <w:rsid w:val="FEDFD193"/>
    <w:rsid w:val="FEE7097E"/>
    <w:rsid w:val="FEEF8230"/>
    <w:rsid w:val="FEF1F1BE"/>
    <w:rsid w:val="FEF99316"/>
    <w:rsid w:val="FEFB20CB"/>
    <w:rsid w:val="FEFD95B3"/>
    <w:rsid w:val="FEFE4E93"/>
    <w:rsid w:val="FEFFA483"/>
    <w:rsid w:val="FF29B32D"/>
    <w:rsid w:val="FF2E6944"/>
    <w:rsid w:val="FF5F9D52"/>
    <w:rsid w:val="FF7A0B6A"/>
    <w:rsid w:val="FF7B6DC2"/>
    <w:rsid w:val="FF7FFF75"/>
    <w:rsid w:val="FF921F59"/>
    <w:rsid w:val="FFBB1E09"/>
    <w:rsid w:val="FFBB6A0C"/>
    <w:rsid w:val="FFBD894B"/>
    <w:rsid w:val="FFBF33B3"/>
    <w:rsid w:val="FFD09362"/>
    <w:rsid w:val="FFD1DA08"/>
    <w:rsid w:val="FFD7DEDD"/>
    <w:rsid w:val="FFDE369F"/>
    <w:rsid w:val="FFEF98C9"/>
    <w:rsid w:val="FFEFCE62"/>
    <w:rsid w:val="FFF973B0"/>
    <w:rsid w:val="FFFB4F05"/>
    <w:rsid w:val="FFFEC8F5"/>
    <w:rsid w:val="FFFEFE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styleId="3">
    <w:name w:val="Normal Indent"/>
    <w:basedOn w:val="1"/>
    <w:next w:val="1"/>
    <w:qFormat/>
    <w:uiPriority w:val="0"/>
    <w:pPr>
      <w:spacing w:before="156" w:beforeLines="50" w:line="360" w:lineRule="auto"/>
      <w:ind w:firstLine="480" w:firstLineChars="200"/>
    </w:pPr>
    <w:rPr>
      <w:rFonts w:eastAsia="仿宋"/>
      <w:sz w:val="24"/>
      <w:szCs w:val="23"/>
      <w:lang w:eastAsia="ar-SA"/>
    </w:rPr>
  </w:style>
  <w:style w:type="paragraph" w:styleId="4">
    <w:name w:val="Document Map"/>
    <w:basedOn w:val="1"/>
    <w:link w:val="21"/>
    <w:qFormat/>
    <w:uiPriority w:val="0"/>
    <w:rPr>
      <w:rFonts w:ascii="宋体" w:eastAsia="宋体"/>
      <w:sz w:val="18"/>
      <w:szCs w:val="18"/>
    </w:rPr>
  </w:style>
  <w:style w:type="paragraph" w:styleId="5">
    <w:name w:val="Body Text"/>
    <w:basedOn w:val="1"/>
    <w:next w:val="1"/>
    <w:qFormat/>
    <w:uiPriority w:val="0"/>
    <w:pPr>
      <w:spacing w:after="120"/>
    </w:pPr>
  </w:style>
  <w:style w:type="paragraph" w:styleId="6">
    <w:name w:val="Body Text Indent"/>
    <w:basedOn w:val="1"/>
    <w:next w:val="7"/>
    <w:qFormat/>
    <w:uiPriority w:val="0"/>
    <w:pPr>
      <w:spacing w:after="120"/>
      <w:ind w:leftChars="200"/>
    </w:pPr>
    <w:rPr>
      <w:rFonts w:ascii="仿宋_GB2312"/>
      <w:szCs w:val="32"/>
    </w:rPr>
  </w:style>
  <w:style w:type="paragraph" w:styleId="7">
    <w:name w:val="Body Text First Indent 2"/>
    <w:basedOn w:val="6"/>
    <w:unhideWhenUsed/>
    <w:qFormat/>
    <w:uiPriority w:val="99"/>
    <w:pPr>
      <w:ind w:firstLine="420" w:firstLineChars="200"/>
    </w:pPr>
  </w:style>
  <w:style w:type="paragraph" w:styleId="8">
    <w:name w:val="Plain Text"/>
    <w:basedOn w:val="1"/>
    <w:qFormat/>
    <w:uiPriority w:val="0"/>
    <w:pPr>
      <w:widowControl/>
      <w:jc w:val="left"/>
    </w:pPr>
    <w:rPr>
      <w:rFonts w:ascii="宋体" w:hAnsi="Courier New"/>
      <w:kern w:val="0"/>
      <w:szCs w:val="21"/>
    </w:rPr>
  </w:style>
  <w:style w:type="paragraph" w:styleId="9">
    <w:name w:val="Balloon Text"/>
    <w:basedOn w:val="1"/>
    <w:semiHidden/>
    <w:qFormat/>
    <w:uiPriority w:val="0"/>
    <w:rPr>
      <w:sz w:val="18"/>
      <w:szCs w:val="18"/>
    </w:rPr>
  </w:style>
  <w:style w:type="paragraph" w:styleId="10">
    <w:name w:val="footer"/>
    <w:basedOn w:val="1"/>
    <w:link w:val="23"/>
    <w:qFormat/>
    <w:uiPriority w:val="99"/>
    <w:pPr>
      <w:tabs>
        <w:tab w:val="center" w:pos="4153"/>
        <w:tab w:val="right" w:pos="8306"/>
      </w:tabs>
      <w:snapToGrid w:val="0"/>
      <w:jc w:val="left"/>
    </w:pPr>
    <w:rPr>
      <w:rFonts w:eastAsia="宋体"/>
      <w:sz w:val="18"/>
      <w:szCs w:val="18"/>
    </w:rPr>
  </w:style>
  <w:style w:type="paragraph" w:styleId="11">
    <w:name w:val="header"/>
    <w:basedOn w:val="1"/>
    <w:qFormat/>
    <w:uiPriority w:val="0"/>
    <w:pPr>
      <w:pBdr>
        <w:bottom w:val="single" w:color="auto" w:sz="6" w:space="1"/>
      </w:pBdr>
      <w:tabs>
        <w:tab w:val="center" w:pos="4153"/>
        <w:tab w:val="right" w:pos="8306"/>
      </w:tabs>
      <w:snapToGrid w:val="0"/>
      <w:jc w:val="center"/>
    </w:pPr>
    <w:rPr>
      <w:rFonts w:eastAsia="宋体"/>
      <w:sz w:val="18"/>
      <w:szCs w:val="18"/>
    </w:rPr>
  </w:style>
  <w:style w:type="paragraph" w:styleId="12">
    <w:name w:val="toc 1"/>
    <w:basedOn w:val="1"/>
    <w:next w:val="1"/>
    <w:qFormat/>
    <w:uiPriority w:val="0"/>
  </w:style>
  <w:style w:type="paragraph" w:styleId="13">
    <w:name w:val="table of figures"/>
    <w:basedOn w:val="1"/>
    <w:next w:val="1"/>
    <w:qFormat/>
    <w:uiPriority w:val="0"/>
    <w:pPr>
      <w:ind w:left="400" w:leftChars="200" w:hanging="200" w:hangingChars="200"/>
    </w:pPr>
  </w:style>
  <w:style w:type="paragraph" w:styleId="14">
    <w:name w:val="Normal (Web)"/>
    <w:qFormat/>
    <w:uiPriority w:val="0"/>
    <w:pPr>
      <w:widowControl/>
      <w:spacing w:before="100" w:beforeAutospacing="1" w:after="100" w:afterAutospacing="1"/>
      <w:jc w:val="left"/>
    </w:pPr>
    <w:rPr>
      <w:rFonts w:ascii="宋体" w:hAnsi="宋体" w:eastAsia="宋体" w:cs="宋体"/>
      <w:kern w:val="0"/>
      <w:sz w:val="24"/>
      <w:szCs w:val="24"/>
      <w:lang w:val="en-US" w:eastAsia="zh-CN" w:bidi="ar-SA"/>
    </w:r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8">
    <w:name w:val="page number"/>
    <w:basedOn w:val="17"/>
    <w:qFormat/>
    <w:uiPriority w:val="0"/>
  </w:style>
  <w:style w:type="paragraph" w:customStyle="1" w:styleId="19">
    <w:name w:val="四号正文"/>
    <w:basedOn w:val="1"/>
    <w:link w:val="20"/>
    <w:qFormat/>
    <w:uiPriority w:val="0"/>
    <w:pPr>
      <w:spacing w:line="360" w:lineRule="auto"/>
    </w:pPr>
    <w:rPr>
      <w:rFonts w:ascii="??" w:hAnsi="??" w:eastAsia="宋体" w:cs="宋体"/>
      <w:color w:val="000000"/>
      <w:kern w:val="0"/>
      <w:sz w:val="28"/>
      <w:szCs w:val="21"/>
    </w:rPr>
  </w:style>
  <w:style w:type="character" w:customStyle="1" w:styleId="20">
    <w:name w:val="四号正文 Char"/>
    <w:basedOn w:val="17"/>
    <w:link w:val="19"/>
    <w:qFormat/>
    <w:uiPriority w:val="0"/>
    <w:rPr>
      <w:rFonts w:ascii="??" w:hAnsi="??" w:eastAsia="宋体" w:cs="宋体"/>
      <w:color w:val="000000"/>
      <w:sz w:val="28"/>
      <w:szCs w:val="21"/>
      <w:lang w:val="en-US" w:eastAsia="zh-CN" w:bidi="ar-SA"/>
    </w:rPr>
  </w:style>
  <w:style w:type="character" w:customStyle="1" w:styleId="21">
    <w:name w:val="文档结构图 Char"/>
    <w:basedOn w:val="17"/>
    <w:link w:val="4"/>
    <w:qFormat/>
    <w:uiPriority w:val="0"/>
    <w:rPr>
      <w:rFonts w:ascii="宋体"/>
      <w:kern w:val="2"/>
      <w:sz w:val="18"/>
      <w:szCs w:val="18"/>
    </w:rPr>
  </w:style>
  <w:style w:type="paragraph" w:customStyle="1" w:styleId="22">
    <w:name w:val="a"/>
    <w:basedOn w:val="1"/>
    <w:qFormat/>
    <w:uiPriority w:val="0"/>
    <w:pPr>
      <w:widowControl/>
      <w:spacing w:before="100" w:beforeAutospacing="1" w:after="100" w:afterAutospacing="1"/>
      <w:jc w:val="left"/>
    </w:pPr>
    <w:rPr>
      <w:rFonts w:ascii="宋体" w:hAnsi="宋体" w:eastAsia="宋体" w:cs="宋体"/>
      <w:kern w:val="0"/>
      <w:sz w:val="24"/>
    </w:rPr>
  </w:style>
  <w:style w:type="character" w:customStyle="1" w:styleId="23">
    <w:name w:val="页脚 Char"/>
    <w:basedOn w:val="17"/>
    <w:link w:val="10"/>
    <w:qFormat/>
    <w:uiPriority w:val="99"/>
    <w:rPr>
      <w:kern w:val="2"/>
      <w:sz w:val="18"/>
      <w:szCs w:val="18"/>
    </w:rPr>
  </w:style>
  <w:style w:type="character" w:customStyle="1" w:styleId="24">
    <w:name w:val="font31"/>
    <w:basedOn w:val="17"/>
    <w:qFormat/>
    <w:uiPriority w:val="0"/>
    <w:rPr>
      <w:rFonts w:hint="eastAsia" w:ascii="宋体" w:hAnsi="宋体" w:eastAsia="宋体" w:cs="宋体"/>
      <w:color w:val="000000"/>
      <w:sz w:val="24"/>
      <w:szCs w:val="24"/>
      <w:u w:val="none"/>
    </w:rPr>
  </w:style>
  <w:style w:type="character" w:customStyle="1" w:styleId="25">
    <w:name w:val="font51"/>
    <w:basedOn w:val="17"/>
    <w:qFormat/>
    <w:uiPriority w:val="0"/>
    <w:rPr>
      <w:rFonts w:hint="default" w:ascii="Wingdings 2" w:hAnsi="Wingdings 2" w:eastAsia="Wingdings 2" w:cs="Wingdings 2"/>
      <w:color w:val="000000"/>
      <w:sz w:val="18"/>
      <w:szCs w:val="18"/>
      <w:u w:val="none"/>
    </w:rPr>
  </w:style>
  <w:style w:type="character" w:customStyle="1" w:styleId="26">
    <w:name w:val="font01"/>
    <w:basedOn w:val="17"/>
    <w:qFormat/>
    <w:uiPriority w:val="0"/>
    <w:rPr>
      <w:rFonts w:ascii="宋体" w:hAnsi="宋体" w:eastAsia="宋体" w:cs="宋体"/>
      <w:color w:val="000000"/>
      <w:sz w:val="18"/>
      <w:szCs w:val="18"/>
      <w:u w:val="none"/>
    </w:rPr>
  </w:style>
  <w:style w:type="character" w:customStyle="1" w:styleId="27">
    <w:name w:val="font41"/>
    <w:basedOn w:val="17"/>
    <w:qFormat/>
    <w:uiPriority w:val="0"/>
    <w:rPr>
      <w:rFonts w:ascii="宋体" w:hAnsi="宋体" w:eastAsia="宋体" w:cs="宋体"/>
      <w:color w:val="000000"/>
      <w:sz w:val="18"/>
      <w:szCs w:val="18"/>
      <w:u w:val="none"/>
    </w:rPr>
  </w:style>
  <w:style w:type="paragraph" w:customStyle="1" w:styleId="28">
    <w:name w:val="普通(网站) Char"/>
    <w:basedOn w:val="1"/>
    <w:qFormat/>
    <w:uiPriority w:val="0"/>
    <w:pPr>
      <w:keepNext w:val="0"/>
      <w:keepLines w:val="0"/>
      <w:widowControl/>
      <w:suppressLineNumbers w:val="0"/>
      <w:spacing w:before="0" w:beforeAutospacing="1" w:after="0" w:afterAutospacing="1"/>
      <w:ind w:left="0" w:right="0"/>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PSZX</Company>
  <Pages>12</Pages>
  <Words>5303</Words>
  <Characters>5772</Characters>
  <Lines>2</Lines>
  <Paragraphs>1</Paragraphs>
  <TotalTime>2</TotalTime>
  <ScaleCrop>false</ScaleCrop>
  <LinksUpToDate>false</LinksUpToDate>
  <CharactersWithSpaces>5921</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2019-05-28T19:06:00Z</dcterms:created>
  <dc:creator>陈萍</dc:creator>
  <cp:lastModifiedBy>!</cp:lastModifiedBy>
  <cp:lastPrinted>2016-02-15T08:25:00Z</cp:lastPrinted>
  <dcterms:modified xsi:type="dcterms:W3CDTF">2025-08-26T01:29:13Z</dcterms:modified>
  <dc:title>区域性就业培训基地建设项目</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A51A36801428E9B041879466C62AECE8</vt:lpwstr>
  </property>
  <property fmtid="{D5CDD505-2E9C-101B-9397-08002B2CF9AE}" pid="4" name="KSOTemplateDocerSaveRecord">
    <vt:lpwstr>eyJoZGlkIjoiMjc0YTEzODM4ZmM0NDc0MDk4ZmFkODMxNDcxMmM3MzMiLCJ1c2VySWQiOiI1MDU2MDcyMTUifQ==</vt:lpwstr>
  </property>
</Properties>
</file>