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仿宋_GB2312" w:hAnsi="仿宋_GB2312" w:eastAsia="仿宋_GB2312" w:cs="仿宋_GB2312"/>
          <w:b/>
          <w:sz w:val="44"/>
          <w:szCs w:val="44"/>
        </w:rPr>
      </w:pPr>
      <w:bookmarkStart w:id="0" w:name="_Toc15396616"/>
      <w:r>
        <w:rPr>
          <w:rFonts w:hint="eastAsia" w:ascii="仿宋_GB2312" w:hAnsi="仿宋_GB2312" w:eastAsia="仿宋_GB2312" w:cs="仿宋_GB2312"/>
          <w:b/>
          <w:sz w:val="44"/>
          <w:szCs w:val="44"/>
          <w:lang w:val="en-US" w:eastAsia="zh-CN"/>
        </w:rPr>
        <w:t>洛多乡行政</w:t>
      </w:r>
      <w:r>
        <w:rPr>
          <w:rFonts w:hint="eastAsia" w:ascii="仿宋_GB2312" w:hAnsi="仿宋_GB2312" w:eastAsia="仿宋_GB2312" w:cs="仿宋_GB2312"/>
          <w:b/>
          <w:sz w:val="44"/>
          <w:szCs w:val="44"/>
          <w:lang w:eastAsia="zh-CN"/>
        </w:rPr>
        <w:t>2022</w:t>
      </w:r>
      <w:r>
        <w:rPr>
          <w:rFonts w:hint="eastAsia" w:ascii="仿宋_GB2312" w:hAnsi="仿宋_GB2312" w:eastAsia="仿宋_GB2312" w:cs="仿宋_GB2312"/>
          <w:b/>
          <w:sz w:val="44"/>
          <w:szCs w:val="44"/>
        </w:rPr>
        <w:t>年部门整体支出</w:t>
      </w:r>
    </w:p>
    <w:p>
      <w:pPr>
        <w:spacing w:line="600" w:lineRule="exact"/>
        <w:jc w:val="center"/>
        <w:outlineLvl w:val="0"/>
        <w:rPr>
          <w:rFonts w:hint="eastAsia" w:ascii="仿宋_GB2312" w:hAnsi="仿宋_GB2312" w:eastAsia="仿宋_GB2312" w:cs="仿宋_GB2312"/>
          <w:b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sz w:val="44"/>
          <w:szCs w:val="44"/>
        </w:rPr>
        <w:t>绩效评价报告</w:t>
      </w:r>
      <w:bookmarkEnd w:id="0"/>
    </w:p>
    <w:p>
      <w:pPr>
        <w:spacing w:line="58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一、部门（单位）概况</w:t>
      </w:r>
    </w:p>
    <w:p>
      <w:pPr>
        <w:widowControl/>
        <w:spacing w:line="560" w:lineRule="exact"/>
        <w:ind w:firstLine="602" w:firstLineChars="200"/>
        <w:jc w:val="left"/>
        <w:outlineLvl w:val="0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（一）机构组成。</w:t>
      </w:r>
    </w:p>
    <w:p>
      <w:pPr>
        <w:tabs>
          <w:tab w:val="left" w:pos="7020"/>
          <w:tab w:val="left" w:pos="7740"/>
        </w:tabs>
        <w:ind w:firstLine="784" w:firstLineChars="245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黑水县洛多乡人民政府是基层国家行政机关，行使本行政区域的政府行政职能，根据有关文件规定，主要职责是：宣传和贯彻执行上级各部门及本镇的各项政策、法规、决议等；讨论决定全镇经济建设和社会发展中的重大问题；加强党委自身建设和以党支部为核心的村级组织建设；按照干部管理权限，负责对本级镇村干部的教育、管理、培训、选拔和监督工作，并实现村级财务统一由镇代管；认真做好全镇综治维稳、经济发展、教育、文化、卫生、计划生育，环境、国土、安全生产等管理工作。完成上级部门交办的其他工作。</w:t>
      </w:r>
    </w:p>
    <w:p>
      <w:pPr>
        <w:tabs>
          <w:tab w:val="left" w:pos="7020"/>
          <w:tab w:val="left" w:pos="7740"/>
        </w:tabs>
        <w:ind w:firstLine="738" w:firstLineChars="245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（二）机构职能。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根据县委、县政府关于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年全县工作的总体部署，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年主要工作是:。二是抓好基层组织建设，夯实执政根基。三是推进社会事业发展，切实保障民生。四是推进产业结构调整，助力群众增收。五是增强社会保障功能，落实民生政策。六是继续加强城镇环境综合整治工作，动员广大干部群众积极参与环境整治活动，不断提高村民文明卫生素质，提升对外形象。七是做好社会维稳工作，努力把群众信访诉求解决在初始阶段和基层，妥善处理社会矛盾纠纷和群体性事件。八是狠抓安全生产工作，全面落实安全生产责任制，杜绝重大安全事故的发生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tabs>
          <w:tab w:val="left" w:pos="7020"/>
          <w:tab w:val="left" w:pos="7740"/>
        </w:tabs>
        <w:ind w:firstLine="738" w:firstLineChars="245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（三）人员概况。</w:t>
      </w:r>
    </w:p>
    <w:p>
      <w:pPr>
        <w:pStyle w:val="2"/>
        <w:adjustRightInd w:val="0"/>
        <w:snapToGrid w:val="0"/>
        <w:spacing w:before="93" w:line="600" w:lineRule="exact"/>
        <w:ind w:firstLine="672" w:firstLineChars="21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黑水县洛多乡人民政府无下属二级核算单位。</w:t>
      </w:r>
    </w:p>
    <w:p>
      <w:pPr>
        <w:pStyle w:val="2"/>
        <w:adjustRightInd w:val="0"/>
        <w:snapToGrid w:val="0"/>
        <w:spacing w:before="93" w:line="600" w:lineRule="exact"/>
        <w:ind w:firstLine="672" w:firstLineChars="21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洛多乡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行政</w:t>
      </w:r>
      <w:r>
        <w:rPr>
          <w:rFonts w:hint="eastAsia" w:ascii="仿宋_GB2312" w:hAnsi="仿宋_GB2312" w:eastAsia="仿宋_GB2312" w:cs="仿宋_GB2312"/>
          <w:sz w:val="32"/>
          <w:szCs w:val="32"/>
        </w:rPr>
        <w:t>总编制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名，其中：行政编制19名，行政工勤人员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人。在职人员总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人，其中：政府1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人,人大1人，党委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人，纪委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人，行政工勤人员1人。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二、部门财政资金收支情况</w:t>
      </w:r>
    </w:p>
    <w:p>
      <w:pPr>
        <w:tabs>
          <w:tab w:val="left" w:pos="7020"/>
          <w:tab w:val="left" w:pos="7740"/>
        </w:tabs>
        <w:ind w:firstLine="738" w:firstLineChars="245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（一）部门财政资金收入情况。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年度部门财政资金总收入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812.28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tabs>
          <w:tab w:val="left" w:pos="7020"/>
          <w:tab w:val="left" w:pos="7740"/>
        </w:tabs>
        <w:ind w:firstLine="602" w:firstLineChars="200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</w:t>
      </w:r>
      <w:r>
        <w:rPr>
          <w:rFonts w:hint="eastAsia" w:ascii="仿宋_GB2312" w:hAnsi="宋体" w:eastAsia="仿宋_GB2312" w:cs="宋体"/>
          <w:b/>
          <w:kern w:val="0"/>
          <w:sz w:val="30"/>
          <w:szCs w:val="30"/>
          <w:lang w:val="en-US" w:eastAsia="zh-CN"/>
        </w:rPr>
        <w:t>二</w:t>
      </w: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）部门财政资金支出情况。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年度部门财政资金总支出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843.07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万元。其中：工资福利支出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357.33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42.38</w:t>
      </w:r>
      <w:r>
        <w:rPr>
          <w:rFonts w:hint="eastAsia" w:ascii="仿宋_GB2312" w:hAnsi="仿宋_GB2312" w:eastAsia="仿宋_GB2312" w:cs="仿宋_GB2312"/>
          <w:sz w:val="32"/>
          <w:szCs w:val="32"/>
        </w:rPr>
        <w:t>%，商品服务支出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47.3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5.61</w:t>
      </w:r>
      <w:r>
        <w:rPr>
          <w:rFonts w:hint="eastAsia" w:ascii="仿宋_GB2312" w:hAnsi="仿宋_GB2312" w:eastAsia="仿宋_GB2312" w:cs="仿宋_GB2312"/>
          <w:sz w:val="32"/>
          <w:szCs w:val="32"/>
        </w:rPr>
        <w:t>%，对个人家庭补助支出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141.57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16.79</w:t>
      </w:r>
      <w:r>
        <w:rPr>
          <w:rFonts w:hint="eastAsia" w:ascii="仿宋_GB2312" w:hAnsi="仿宋_GB2312" w:eastAsia="仿宋_GB2312" w:cs="仿宋_GB2312"/>
          <w:sz w:val="32"/>
          <w:szCs w:val="32"/>
        </w:rPr>
        <w:t>%,资本性支出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296.88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35.21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三、部门整体预算绩效管理情况（根据适用指标体系进行调整）</w:t>
      </w:r>
    </w:p>
    <w:p>
      <w:pPr>
        <w:spacing w:line="580" w:lineRule="exact"/>
        <w:ind w:firstLine="60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  <w:t>（一）部门预算管理。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 xml:space="preserve"> 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年，部门预算收入总额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812.28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万元，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本部门为2022年新增决算部门，无2021年数据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；部门支出预算总额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843.07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万元，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本部门为2022年新增决算部门，无2021年数据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。</w:t>
      </w:r>
    </w:p>
    <w:p>
      <w:pPr>
        <w:snapToGrid w:val="0"/>
        <w:spacing w:line="560" w:lineRule="exact"/>
        <w:ind w:firstLine="60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  <w:t>（二）专项预算管理。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</w:rPr>
        <w:t>年总支出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843.07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万元（基本支出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412.49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万元，项目支出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430.57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万元）。其中：：工资福利支出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357.33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42.38</w:t>
      </w:r>
      <w:r>
        <w:rPr>
          <w:rFonts w:hint="eastAsia" w:ascii="仿宋_GB2312" w:hAnsi="仿宋_GB2312" w:eastAsia="仿宋_GB2312" w:cs="仿宋_GB2312"/>
          <w:sz w:val="32"/>
          <w:szCs w:val="32"/>
        </w:rPr>
        <w:t>%，商品服务支出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47.3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5.61</w:t>
      </w:r>
      <w:r>
        <w:rPr>
          <w:rFonts w:hint="eastAsia" w:ascii="仿宋_GB2312" w:hAnsi="仿宋_GB2312" w:eastAsia="仿宋_GB2312" w:cs="仿宋_GB2312"/>
          <w:sz w:val="32"/>
          <w:szCs w:val="32"/>
        </w:rPr>
        <w:t>%，对个人家庭补助支出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141.57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16.79</w:t>
      </w:r>
      <w:r>
        <w:rPr>
          <w:rFonts w:hint="eastAsia" w:ascii="仿宋_GB2312" w:hAnsi="仿宋_GB2312" w:eastAsia="仿宋_GB2312" w:cs="仿宋_GB2312"/>
          <w:sz w:val="32"/>
          <w:szCs w:val="32"/>
        </w:rPr>
        <w:t>%,资本性支出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296.88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35.21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>
      <w:pPr>
        <w:spacing w:line="580" w:lineRule="exact"/>
        <w:ind w:firstLine="602" w:firstLineChars="200"/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</w:pP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  <w:t>（三）结果应用情况。</w:t>
      </w:r>
    </w:p>
    <w:p>
      <w:pPr>
        <w:spacing w:line="560" w:lineRule="exact"/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依据财政编审要求,在年度终了后,结合本单位当年全部预算收入、财政拨款收入及支出等,对全口径的资金收入、支出和预算管理、资产管理等工作进行的全面总结。通过编制部门决算报表,对本单位全年的资金管理、单位履行机构职能和受托责任等进行系统的思考检查,分析预算执行中的得失,以推动单位加强内部管理,制定适应本单位的内控制度以促进发展。为编报一份高质量的部门决算报表,还应当从日常工作、前期准备、报表分析等方面做好全过程精细化的财务管理。</w:t>
      </w:r>
    </w:p>
    <w:p>
      <w:pPr>
        <w:spacing w:line="580" w:lineRule="exact"/>
        <w:ind w:firstLine="602" w:firstLineChars="200"/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</w:pP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  <w:t>四、评价结论及建议</w:t>
      </w:r>
    </w:p>
    <w:p>
      <w:pPr>
        <w:spacing w:line="560" w:lineRule="exact"/>
        <w:ind w:firstLine="585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（一）评价结论。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年，部门预算收入总额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812.28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</w:rPr>
        <w:t>年总支出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843.07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万元（工资福利支出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357.33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42.38</w:t>
      </w:r>
      <w:r>
        <w:rPr>
          <w:rFonts w:hint="eastAsia" w:ascii="仿宋_GB2312" w:hAnsi="仿宋_GB2312" w:eastAsia="仿宋_GB2312" w:cs="仿宋_GB2312"/>
          <w:sz w:val="32"/>
          <w:szCs w:val="32"/>
        </w:rPr>
        <w:t>%，商品服务支出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47.3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5.61</w:t>
      </w:r>
      <w:r>
        <w:rPr>
          <w:rFonts w:hint="eastAsia" w:ascii="仿宋_GB2312" w:hAnsi="仿宋_GB2312" w:eastAsia="仿宋_GB2312" w:cs="仿宋_GB2312"/>
          <w:sz w:val="32"/>
          <w:szCs w:val="32"/>
        </w:rPr>
        <w:t>%，对个人家庭补助支出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141.57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16.79</w:t>
      </w:r>
      <w:r>
        <w:rPr>
          <w:rFonts w:hint="eastAsia" w:ascii="仿宋_GB2312" w:hAnsi="仿宋_GB2312" w:eastAsia="仿宋_GB2312" w:cs="仿宋_GB2312"/>
          <w:sz w:val="32"/>
          <w:szCs w:val="32"/>
        </w:rPr>
        <w:t>%,资本性支出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296.88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35.21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本年度财政拨款为我乡工作的开展提供了前有力的保障，使我乡顺利完成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年度基层运行工作。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楷体_GB2312" w:cs="楷体_GB2312"/>
          <w:b/>
          <w:bCs/>
          <w:sz w:val="30"/>
          <w:szCs w:val="30"/>
        </w:rPr>
        <w:t xml:space="preserve">（二） </w:t>
      </w:r>
      <w:r>
        <w:rPr>
          <w:rFonts w:hint="eastAsia" w:ascii="仿宋_GB2312" w:hAnsi="楷体_GB2312" w:cs="楷体_GB2312"/>
          <w:b/>
          <w:bCs/>
          <w:sz w:val="30"/>
          <w:szCs w:val="30"/>
          <w:lang w:val="zh-CN"/>
        </w:rPr>
        <w:t>存在问题</w:t>
      </w:r>
    </w:p>
    <w:p>
      <w:pPr>
        <w:spacing w:line="560" w:lineRule="exact"/>
        <w:ind w:firstLine="1120" w:firstLineChars="35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</w:t>
      </w:r>
    </w:p>
    <w:p>
      <w:pPr>
        <w:spacing w:line="560" w:lineRule="exact"/>
        <w:ind w:firstLine="640"/>
        <w:rPr>
          <w:rFonts w:hint="eastAsia" w:ascii="仿宋_GB2312" w:hAnsi="楷体_GB2312" w:cs="楷体_GB2312"/>
          <w:b/>
          <w:bCs/>
          <w:sz w:val="30"/>
          <w:szCs w:val="30"/>
        </w:rPr>
      </w:pPr>
      <w:r>
        <w:rPr>
          <w:rFonts w:hint="eastAsia" w:ascii="仿宋_GB2312" w:hAnsi="楷体_GB2312" w:cs="楷体_GB2312"/>
          <w:b/>
          <w:bCs/>
          <w:sz w:val="30"/>
          <w:szCs w:val="30"/>
        </w:rPr>
        <w:t>（三）改进建议。</w:t>
      </w:r>
    </w:p>
    <w:p>
      <w:pPr>
        <w:spacing w:line="560" w:lineRule="exact"/>
        <w:ind w:firstLine="1120" w:firstLineChars="3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</w:t>
      </w:r>
    </w:p>
    <w:p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B22"/>
    <w:rsid w:val="00291808"/>
    <w:rsid w:val="00491B22"/>
    <w:rsid w:val="0052390C"/>
    <w:rsid w:val="34EB1F43"/>
    <w:rsid w:val="36435EC2"/>
    <w:rsid w:val="3C3E49B7"/>
    <w:rsid w:val="43483734"/>
    <w:rsid w:val="47D079AD"/>
    <w:rsid w:val="5A767788"/>
    <w:rsid w:val="5F3C46AA"/>
    <w:rsid w:val="60D0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332</Words>
  <Characters>337</Characters>
  <Lines>2</Lines>
  <Paragraphs>1</Paragraphs>
  <TotalTime>0</TotalTime>
  <ScaleCrop>false</ScaleCrop>
  <LinksUpToDate>false</LinksUpToDate>
  <CharactersWithSpaces>337</CharactersWithSpaces>
  <Application>WPS Office_11.1.0.8838_F1E327BC-269C-435d-A152-05C5408002CA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2023-08-25T02:31:02Z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2052-11.1.0.8838</vt:lpwstr>
  </property>
  <property fmtid="{D5CDD505-2E9C-101B-9397-08002B2CF9AE}" pid="3" name="ICV">
    <vt:lpwstr>2CAB32EFB7C24D3BBEE2A52BB25BAECE</vt:lpwstr>
  </property>
</Properties>
</file>