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/>
        <w:textAlignment w:val="auto"/>
        <w:rPr>
          <w:rFonts w:hint="eastAsia" w:ascii="黑体" w:hAnsi="黑体" w:eastAsia="黑体" w:cs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highlight w:val="none"/>
        </w:rPr>
        <w:t>附件</w:t>
      </w:r>
      <w:r>
        <w:rPr>
          <w:rFonts w:hint="eastAsia" w:ascii="黑体" w:hAnsi="黑体" w:eastAsia="黑体" w:cs="黑体"/>
          <w:highlight w:val="none"/>
          <w:lang w:val="en-US" w:eastAsia="zh-CN"/>
        </w:rPr>
        <w:t>5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/>
        </w:rPr>
        <w:t>村级公共运行维护费专项预算项目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/>
        </w:rPr>
        <w:t>绩效评价报告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640"/>
        <w:jc w:val="center"/>
        <w:textAlignment w:val="auto"/>
        <w:rPr>
          <w:rFonts w:ascii="宋体" w:hAnsi="宋体"/>
          <w:color w:val="auto"/>
          <w:kern w:val="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黑体" w:hAnsi="宋体" w:eastAsia="黑体"/>
          <w:highlight w:val="none"/>
          <w:lang w:val="zh-CN"/>
        </w:rPr>
      </w:pPr>
      <w:r>
        <w:rPr>
          <w:rFonts w:hint="eastAsia" w:ascii="黑体" w:hAnsi="宋体" w:eastAsia="黑体"/>
          <w:highlight w:val="none"/>
        </w:rPr>
        <w:t>一、</w:t>
      </w:r>
      <w:r>
        <w:rPr>
          <w:rFonts w:hint="eastAsia" w:ascii="黑体" w:hAnsi="宋体" w:eastAsia="黑体"/>
          <w:highlight w:val="none"/>
          <w:lang w:val="zh-CN"/>
        </w:rPr>
        <w:t>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outlineLvl w:val="0"/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</w:pPr>
      <w:r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  <w:t>（一）设立背景及基本情况。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eastAsia="仿宋"/>
          <w:sz w:val="32"/>
          <w:szCs w:val="32"/>
          <w:lang w:eastAsia="zh-CN"/>
        </w:rPr>
      </w:pPr>
      <w:r>
        <w:rPr>
          <w:rFonts w:hint="eastAsia" w:ascii="仿宋" w:eastAsia="仿宋" w:cs="仿宋"/>
          <w:sz w:val="32"/>
          <w:szCs w:val="32"/>
          <w:lang w:bidi="ar-SA"/>
        </w:rPr>
        <w:t>为全面加强我县基层党组织建设，提高村（社区）公共服务能力和社会管理水平，建立基层组织活动和公共服务运行补助经费保障机制，规范资金管理，提高资金使用绩效，根据《预算法》、阿坝州财政局关于下达《2016年藏区基层组织活动和公共服务运行补助经费的通知》（阿州财基[2016]4号）和《阿坝州财政局关于转发〈四川省基层组织活动和公共服务运行经费使用管理办法的通知〉的通知》（阿州财基[2016]11号）等文件要求和相关管理规定</w:t>
      </w:r>
      <w:r>
        <w:rPr>
          <w:rFonts w:hint="eastAsia" w:ascii="仿宋" w:eastAsia="仿宋" w:cs="仿宋"/>
          <w:sz w:val="32"/>
          <w:szCs w:val="32"/>
          <w:lang w:eastAsia="zh-CN" w:bidi="ar-SA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642" w:firstLineChars="200"/>
        <w:textAlignment w:val="auto"/>
        <w:rPr>
          <w:rFonts w:hint="eastAsia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en-US" w:eastAsia="zh-CN"/>
        </w:rPr>
        <w:t>实施目的及支持方向</w:t>
      </w:r>
      <w:r>
        <w:rPr>
          <w:rFonts w:hint="eastAsia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  <w:lang w:bidi="ar-SA"/>
        </w:rPr>
        <w:t>基层组织活动和公共服务运行补助经费（以下简称基层活动和运行经费），从2016年起，将基层组织活动经费、农村公共运行维护经费和村办公经费加以统筹整合，是指省、州、县三级政府在本级财政年度预算中安排给基层组织，用于开展基层组织活动、党组织标准化规范化建设、农村公共服务运行维护和村级日常办公运转的一般性转移支付资金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642" w:firstLineChars="200"/>
        <w:contextualSpacing/>
        <w:jc w:val="left"/>
        <w:textAlignment w:val="auto"/>
        <w:rPr>
          <w:rFonts w:hint="eastAsia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zh-CN" w:eastAsia="zh-CN"/>
        </w:rPr>
      </w:pPr>
      <w:r>
        <w:rPr>
          <w:rFonts w:hint="default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en-US" w:eastAsia="zh-CN"/>
        </w:rPr>
        <w:t>预算安排及分配管理</w:t>
      </w:r>
      <w:r>
        <w:rPr>
          <w:rFonts w:hint="eastAsia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zh-CN" w:eastAsia="zh-CN"/>
        </w:rPr>
        <w:t>。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2023年年初预算</w:t>
      </w:r>
      <w:r>
        <w:rPr>
          <w:rFonts w:hint="eastAsia" w:ascii="仿宋_GB2312" w:hAnsi="仿宋_GB2312" w:cs="仿宋_GB2312"/>
          <w:bCs/>
          <w:sz w:val="32"/>
          <w:szCs w:val="32"/>
          <w:highlight w:val="none"/>
          <w:lang w:val="en-US" w:eastAsia="zh-CN"/>
        </w:rPr>
        <w:t>35万元，调整后预算数43.69万元，预算执行数43.69万元。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642" w:firstLineChars="200"/>
        <w:textAlignment w:val="auto"/>
        <w:rPr>
          <w:rFonts w:hint="eastAsia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zh-CN" w:eastAsia="zh-CN"/>
        </w:rPr>
      </w:pPr>
      <w:r>
        <w:rPr>
          <w:rFonts w:hint="eastAsia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zh-CN" w:eastAsia="zh-CN"/>
        </w:rPr>
        <w:t>项目绩效目标设置。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0"/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zh-CN" w:eastAsia="zh-CN"/>
        </w:rPr>
      </w:pPr>
      <w:r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zh-CN" w:eastAsia="zh-CN"/>
        </w:rPr>
        <w:t>黑水县</w:t>
      </w:r>
      <w:r>
        <w:rPr>
          <w:rFonts w:hint="eastAsia" w:ascii="仿宋_GB2312" w:hAnsi="仿宋_GB2312" w:cs="仿宋_GB2312"/>
          <w:bCs/>
          <w:sz w:val="32"/>
          <w:szCs w:val="32"/>
          <w:highlight w:val="none"/>
          <w:lang w:val="zh-CN" w:eastAsia="zh-CN"/>
        </w:rPr>
        <w:t>洛多</w:t>
      </w:r>
      <w:r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zh-CN" w:eastAsia="zh-CN"/>
        </w:rPr>
        <w:t>乡</w:t>
      </w:r>
      <w:r>
        <w:rPr>
          <w:rFonts w:hint="eastAsia" w:ascii="仿宋_GB2312" w:hAnsi="仿宋_GB2312" w:cs="仿宋_GB2312"/>
          <w:bCs/>
          <w:sz w:val="32"/>
          <w:szCs w:val="32"/>
          <w:highlight w:val="none"/>
          <w:lang w:val="en-US" w:eastAsia="zh-CN"/>
        </w:rPr>
        <w:t>村级公共运行维护费项目</w:t>
      </w:r>
      <w:r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zh-CN" w:eastAsia="zh-CN"/>
        </w:rPr>
        <w:t>，重点用于保障</w:t>
      </w:r>
      <w:r>
        <w:rPr>
          <w:rFonts w:hint="eastAsia" w:ascii="仿宋_GB2312" w:hAnsi="仿宋_GB2312" w:cs="仿宋_GB2312"/>
          <w:bCs/>
          <w:sz w:val="32"/>
          <w:szCs w:val="32"/>
          <w:highlight w:val="none"/>
          <w:lang w:val="zh-CN" w:eastAsia="zh-CN"/>
        </w:rPr>
        <w:t>村级公共运行维护费</w:t>
      </w:r>
      <w:r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zh-CN" w:eastAsia="zh-CN"/>
        </w:rPr>
        <w:t>工作顺利开展。我</w:t>
      </w:r>
      <w:r>
        <w:rPr>
          <w:rFonts w:hint="eastAsia" w:ascii="仿宋_GB2312" w:hAnsi="仿宋_GB2312" w:cs="仿宋_GB2312"/>
          <w:bCs/>
          <w:sz w:val="32"/>
          <w:szCs w:val="32"/>
          <w:highlight w:val="none"/>
          <w:lang w:val="zh-CN" w:eastAsia="zh-CN"/>
        </w:rPr>
        <w:t>乡</w:t>
      </w:r>
      <w:r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zh-CN" w:eastAsia="zh-CN"/>
        </w:rPr>
        <w:t>申报的</w:t>
      </w:r>
      <w:r>
        <w:rPr>
          <w:rFonts w:hint="eastAsia" w:ascii="仿宋_GB2312" w:hAnsi="仿宋_GB2312" w:cs="仿宋_GB2312"/>
          <w:bCs/>
          <w:sz w:val="32"/>
          <w:szCs w:val="32"/>
          <w:highlight w:val="none"/>
          <w:lang w:val="en-US" w:eastAsia="zh-CN"/>
        </w:rPr>
        <w:t>村级公共运行维护费</w:t>
      </w:r>
      <w:r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zh-CN" w:eastAsia="zh-CN"/>
        </w:rPr>
        <w:t>项目内容与具体实施内容相符的、申报目标是合理可行。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zh-CN" w:eastAsia="zh-CN"/>
        </w:rPr>
      </w:pPr>
    </w:p>
    <w:tbl>
      <w:tblPr>
        <w:tblStyle w:val="8"/>
        <w:tblW w:w="85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1579"/>
        <w:gridCol w:w="1362"/>
        <w:gridCol w:w="1741"/>
        <w:gridCol w:w="397"/>
        <w:gridCol w:w="1287"/>
        <w:gridCol w:w="397"/>
        <w:gridCol w:w="837"/>
        <w:gridCol w:w="3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权重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行政村平均补助标准为每村7万元/年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万元/村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资金使用范围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项目完工后，验收合格率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资金拨付时间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可持续发展指标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改善村容村貌，群众出行安全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outlineLvl w:val="9"/>
        <w:rPr>
          <w:rFonts w:hint="eastAsia" w:ascii="黑体" w:hAnsi="宋体" w:eastAsia="黑体"/>
          <w:highlight w:val="none"/>
          <w:lang w:eastAsia="zh-CN"/>
        </w:rPr>
      </w:pPr>
      <w:r>
        <w:rPr>
          <w:rFonts w:hint="eastAsia" w:ascii="黑体" w:hAnsi="宋体" w:eastAsia="黑体"/>
          <w:highlight w:val="none"/>
        </w:rPr>
        <w:t>二、</w:t>
      </w:r>
      <w:r>
        <w:rPr>
          <w:rFonts w:hint="eastAsia" w:ascii="黑体" w:hAnsi="宋体" w:eastAsia="黑体"/>
          <w:highlight w:val="none"/>
          <w:lang w:eastAsia="zh-CN"/>
        </w:rPr>
        <w:t>评价实施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outlineLvl w:val="9"/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</w:pPr>
      <w:r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  <w:t>（一）评价目的。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outlineLvl w:val="9"/>
        <w:rPr>
          <w:rFonts w:hint="eastAsia" w:eastAsia="仿宋_GB2312" w:cs="Times New Roman"/>
          <w:szCs w:val="32"/>
          <w:lang w:eastAsia="zh-CN"/>
        </w:rPr>
      </w:pPr>
      <w:r>
        <w:rPr>
          <w:rFonts w:hint="eastAsia" w:eastAsia="仿宋_GB2312" w:cs="Times New Roman"/>
          <w:szCs w:val="32"/>
        </w:rPr>
        <w:t>通过绩效评价，及时发现项目实施中存在的薄弱环节，总结推广好的经验和做法，进一步规范项目管理。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642" w:firstLineChars="200"/>
        <w:textAlignment w:val="auto"/>
        <w:outlineLvl w:val="9"/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</w:pPr>
      <w:r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  <w:t>预设问题及评价重点。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outlineLvl w:val="9"/>
        <w:rPr>
          <w:rFonts w:hint="eastAsia" w:ascii="Times New Roman" w:hAnsi="Times New Roman" w:eastAsia="仿宋_GB2312" w:cs="Times New Roman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szCs w:val="32"/>
          <w:lang w:val="zh-CN"/>
        </w:rPr>
        <w:t>1.长效机制建立情况。项目实施单位是否已建立项目实施管理制度等。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outlineLvl w:val="9"/>
        <w:rPr>
          <w:rFonts w:hint="eastAsia" w:ascii="Times New Roman" w:hAnsi="Times New Roman" w:eastAsia="仿宋_GB2312" w:cs="Times New Roman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szCs w:val="32"/>
          <w:lang w:val="zh-CN"/>
        </w:rPr>
        <w:t>2.项目实施程序严密性。建设项目的招投标资料是否完整、真实，有无弄虚作假套取财政资金等问题。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outlineLvl w:val="9"/>
        <w:rPr>
          <w:rFonts w:hint="eastAsia" w:ascii="Times New Roman" w:hAnsi="Times New Roman" w:eastAsia="仿宋_GB2312" w:cs="Times New Roman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szCs w:val="32"/>
          <w:lang w:val="zh-CN"/>
        </w:rPr>
        <w:t>3.资金拨付和使用的合规性。是否按国库集中支付规定办理资金拨付手续；是否不按时拨付，造成滞留资金积压；资金是否专款专用，是否随意变更项目内容及地点；是否遵守《现金管理暂行条例》规定；是否有挤古、挪用、截留等违纪违规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outlineLvl w:val="9"/>
        <w:rPr>
          <w:rFonts w:hint="eastAsia" w:ascii="Times New Roman" w:hAnsi="Times New Roman" w:eastAsia="仿宋_GB2312" w:cs="Times New Roman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szCs w:val="32"/>
          <w:lang w:val="zh-CN"/>
        </w:rPr>
        <w:t>4.信息的公开透明度。项目资金管理单位的公开公示情况。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outlineLvl w:val="9"/>
        <w:rPr>
          <w:rFonts w:hint="eastAsia" w:ascii="Times New Roman" w:hAnsi="Times New Roman" w:eastAsia="仿宋_GB2312" w:cs="Times New Roman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szCs w:val="32"/>
          <w:lang w:val="zh-CN"/>
        </w:rPr>
        <w:t>5.财务管理和会计核算规范性。财务核算是否符合《中华人民共和国会计法》《会计基础工作规范》等要求、是否符合基本建设财务管理和会计制度规定。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outlineLvl w:val="9"/>
        <w:rPr>
          <w:rFonts w:hint="eastAsia" w:ascii="Times New Roman" w:hAnsi="Times New Roman" w:eastAsia="仿宋_GB2312" w:cs="Times New Roman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szCs w:val="32"/>
          <w:lang w:val="zh-CN"/>
        </w:rPr>
        <w:t>6.项目实施单位绩效自评情况。项目实施单位是否严格按照预算绩效管理规定开展绩效自评。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Chars="200"/>
        <w:textAlignment w:val="auto"/>
        <w:outlineLvl w:val="9"/>
        <w:rPr>
          <w:rFonts w:hint="eastAsia" w:cs="Times New Roman"/>
          <w:szCs w:val="32"/>
          <w:lang w:val="zh-CN" w:eastAsia="zh-CN"/>
        </w:rPr>
      </w:pPr>
      <w:r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  <w:t>（三）评价选点。</w:t>
      </w:r>
      <w:r>
        <w:rPr>
          <w:rFonts w:hint="eastAsia" w:cs="Times New Roman"/>
          <w:szCs w:val="32"/>
          <w:lang w:val="zh-CN" w:eastAsia="zh-CN"/>
        </w:rPr>
        <w:t>全乡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642" w:firstLineChars="200"/>
        <w:textAlignment w:val="auto"/>
        <w:outlineLvl w:val="9"/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</w:pPr>
      <w:r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  <w:t>（四）评价方法。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cs="Times New Roman"/>
          <w:szCs w:val="32"/>
          <w:lang w:val="zh-CN" w:eastAsia="zh-CN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1.现场咨询。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640" w:firstLineChars="200"/>
        <w:textAlignment w:val="auto"/>
        <w:outlineLvl w:val="9"/>
        <w:rPr>
          <w:rFonts w:hint="eastAsia" w:eastAsia="仿宋_GB2312" w:cs="Times New Roman"/>
          <w:szCs w:val="32"/>
          <w:lang w:eastAsia="zh-CN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2.实施单位自评，形成完整自评资料。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outlineLvl w:val="9"/>
        <w:rPr>
          <w:rFonts w:hint="eastAsia" w:eastAsia="仿宋_GB2312" w:cs="Times New Roman"/>
          <w:bCs/>
          <w:lang w:eastAsia="zh-CN"/>
        </w:rPr>
      </w:pPr>
      <w:r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  <w:t>（五）评价组织。</w:t>
      </w:r>
      <w:r>
        <w:rPr>
          <w:rFonts w:hint="eastAsia" w:eastAsia="仿宋_GB2312" w:cs="Times New Roman"/>
          <w:szCs w:val="32"/>
        </w:rPr>
        <w:t>评价组人员由相关业务股室和项目单位代表组成，评价小组以检查账目、资料、电话核实等形式开展了现场评价。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仿宋_GB2312" w:hAnsi="宋体"/>
          <w:color w:val="auto"/>
          <w:sz w:val="32"/>
          <w:szCs w:val="32"/>
          <w:highlight w:val="none"/>
          <w:u w:val="none"/>
          <w:lang w:val="zh-CN"/>
        </w:rPr>
      </w:pPr>
      <w:r>
        <w:rPr>
          <w:rFonts w:hint="eastAsia" w:ascii="黑体" w:hAnsi="宋体" w:eastAsia="黑体"/>
          <w:color w:val="auto"/>
          <w:sz w:val="32"/>
          <w:szCs w:val="32"/>
          <w:highlight w:val="none"/>
          <w:u w:val="none"/>
        </w:rPr>
        <w:t>三、</w:t>
      </w:r>
      <w:r>
        <w:rPr>
          <w:rFonts w:hint="eastAsia" w:ascii="黑体" w:hAnsi="宋体" w:eastAsia="黑体"/>
          <w:color w:val="auto"/>
          <w:sz w:val="32"/>
          <w:szCs w:val="32"/>
          <w:highlight w:val="none"/>
          <w:u w:val="none"/>
          <w:lang w:eastAsia="zh-CN"/>
        </w:rPr>
        <w:t>绩效分析</w:t>
      </w:r>
      <w:r>
        <w:rPr>
          <w:rFonts w:hint="eastAsia" w:ascii="仿宋_GB2312" w:hAnsi="宋体"/>
          <w:color w:val="auto"/>
          <w:sz w:val="32"/>
          <w:szCs w:val="32"/>
          <w:highlight w:val="none"/>
          <w:u w:val="none"/>
          <w:lang w:val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outlineLvl w:val="9"/>
        <w:rPr>
          <w:rFonts w:hint="eastAsia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zh-CN"/>
        </w:rPr>
        <w:t>（一）</w:t>
      </w:r>
      <w:r>
        <w:rPr>
          <w:rFonts w:hint="eastAsia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en-US" w:eastAsia="zh-CN"/>
        </w:rPr>
        <w:t>通用指标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绩效分析。指标分值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54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分，自评得分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54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640" w:leftChars="20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color w:val="auto"/>
          <w:szCs w:val="32"/>
          <w:lang w:eastAsia="zh-CN"/>
        </w:rPr>
        <w:t>项目决策。指标分值</w:t>
      </w:r>
      <w:r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  <w:t>18分，自评得分18分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eastAsia="zh-CN"/>
        </w:rPr>
        <w:t>决策程序</w:t>
      </w:r>
      <w:r>
        <w:rPr>
          <w:rFonts w:hint="eastAsia" w:cs="Times New Roman"/>
          <w:color w:val="auto"/>
          <w:szCs w:val="32"/>
          <w:lang w:eastAsia="zh-CN"/>
        </w:rPr>
        <w:t>：</w:t>
      </w:r>
      <w:r>
        <w:rPr>
          <w:rFonts w:hint="eastAsia" w:ascii="Times New Roman" w:hAnsi="Times New Roman" w:cs="Times New Roman"/>
          <w:color w:val="auto"/>
          <w:szCs w:val="32"/>
          <w:lang w:eastAsia="zh-CN"/>
        </w:rPr>
        <w:t>项目设立、调整延续等方面符合资金管理基本规范和决策程序要求</w:t>
      </w:r>
      <w:r>
        <w:rPr>
          <w:rFonts w:hint="eastAsia" w:cs="Times New Roman"/>
          <w:color w:val="auto"/>
          <w:szCs w:val="32"/>
          <w:lang w:eastAsia="zh-CN"/>
        </w:rPr>
        <w:t>。指标分值</w:t>
      </w:r>
      <w:r>
        <w:rPr>
          <w:rFonts w:hint="eastAsia" w:cs="Times New Roman"/>
          <w:color w:val="auto"/>
          <w:szCs w:val="32"/>
          <w:lang w:val="en-US" w:eastAsia="zh-CN"/>
        </w:rPr>
        <w:t>6分，自评得分6分。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eastAsia="zh-CN"/>
        </w:rPr>
        <w:t>规划论证</w:t>
      </w:r>
      <w:r>
        <w:rPr>
          <w:rFonts w:hint="eastAsia" w:cs="Times New Roman"/>
          <w:color w:val="auto"/>
          <w:szCs w:val="32"/>
          <w:lang w:eastAsia="zh-CN"/>
        </w:rPr>
        <w:t>：</w:t>
      </w:r>
      <w:r>
        <w:rPr>
          <w:rFonts w:hint="eastAsia" w:ascii="Times New Roman" w:hAnsi="Times New Roman" w:cs="Times New Roman"/>
          <w:color w:val="auto"/>
          <w:szCs w:val="32"/>
          <w:lang w:eastAsia="zh-CN"/>
        </w:rPr>
        <w:t>项目规划论证符合中省要求，项目绩效目标设置科学合理，项目资金与项目总体规划、相关行业事业发展相匹配，聚焦重大任务、重点领域、重点环节和重点项目</w:t>
      </w:r>
      <w:r>
        <w:rPr>
          <w:rFonts w:hint="eastAsia" w:cs="Times New Roman"/>
          <w:color w:val="auto"/>
          <w:szCs w:val="32"/>
          <w:lang w:eastAsia="zh-CN"/>
        </w:rPr>
        <w:t>。指标分值</w:t>
      </w:r>
      <w:r>
        <w:rPr>
          <w:rFonts w:hint="eastAsia" w:cs="Times New Roman"/>
          <w:color w:val="auto"/>
          <w:szCs w:val="32"/>
          <w:lang w:val="en-US" w:eastAsia="zh-CN"/>
        </w:rPr>
        <w:t>6分，自评得分6分。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Times New Roman" w:hAnsi="Times New Roman" w:cs="Times New Roman"/>
          <w:color w:val="auto"/>
          <w:szCs w:val="32"/>
          <w:lang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eastAsia="zh-CN"/>
        </w:rPr>
        <w:t>资金投向</w:t>
      </w:r>
      <w:r>
        <w:rPr>
          <w:rFonts w:hint="eastAsia" w:cs="Times New Roman"/>
          <w:color w:val="auto"/>
          <w:szCs w:val="32"/>
          <w:lang w:eastAsia="zh-CN"/>
        </w:rPr>
        <w:t>：项目资金是与项目总体规划、相关行业事业发展相匹配，聚焦重大任务、重点领域、重点环节和重点项目。体现“集中财力办大事”原则，避免“撒胡椒面”。指标分值</w:t>
      </w:r>
      <w:r>
        <w:rPr>
          <w:rFonts w:hint="eastAsia" w:cs="Times New Roman"/>
          <w:color w:val="auto"/>
          <w:szCs w:val="32"/>
          <w:lang w:val="en-US" w:eastAsia="zh-CN"/>
        </w:rPr>
        <w:t>6分，自评得分6分。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color w:val="auto"/>
          <w:szCs w:val="32"/>
          <w:lang w:eastAsia="zh-CN"/>
        </w:rPr>
        <w:t>项目管理。指标分值</w:t>
      </w:r>
      <w:r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  <w:t>18分，自评得分18分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Times New Roman" w:hAnsi="Times New Roman" w:cs="Times New Roman"/>
          <w:color w:val="auto"/>
          <w:szCs w:val="32"/>
          <w:lang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制度办法</w:t>
      </w:r>
      <w:r>
        <w:rPr>
          <w:rFonts w:hint="eastAsia" w:cs="Times New Roman"/>
          <w:color w:val="auto"/>
          <w:szCs w:val="32"/>
          <w:lang w:val="en-US" w:eastAsia="zh-CN"/>
        </w:rPr>
        <w:t>：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项目制度办法体系健全、要素完备</w:t>
      </w:r>
      <w:r>
        <w:rPr>
          <w:rFonts w:hint="eastAsia" w:cs="Times New Roman"/>
          <w:color w:val="auto"/>
          <w:szCs w:val="32"/>
          <w:lang w:val="en-US" w:eastAsia="zh-CN"/>
        </w:rPr>
        <w:t>。资金管理办法等管理制度体系健全完善，不存在管理制度缺失、管理办法过期情况。</w:t>
      </w:r>
      <w:r>
        <w:rPr>
          <w:rFonts w:hint="eastAsia" w:cs="Times New Roman"/>
          <w:color w:val="auto"/>
          <w:szCs w:val="32"/>
          <w:lang w:eastAsia="zh-CN"/>
        </w:rPr>
        <w:t>指标分值</w:t>
      </w:r>
      <w:r>
        <w:rPr>
          <w:rFonts w:hint="eastAsia" w:cs="Times New Roman"/>
          <w:color w:val="auto"/>
          <w:szCs w:val="32"/>
          <w:lang w:val="en-US" w:eastAsia="zh-CN"/>
        </w:rPr>
        <w:t>2分，自评得分2分。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Times New Roman" w:hAnsi="Times New Roman" w:cs="Times New Roman"/>
          <w:color w:val="auto"/>
          <w:szCs w:val="32"/>
          <w:lang w:eastAsia="zh-CN"/>
        </w:rPr>
      </w:pPr>
      <w:r>
        <w:rPr>
          <w:rFonts w:hint="eastAsia" w:cs="Times New Roman"/>
          <w:color w:val="auto"/>
          <w:szCs w:val="32"/>
          <w:lang w:val="en-US" w:eastAsia="zh-CN"/>
        </w:rPr>
        <w:t>分配管理：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项目资金分配因素选取、权重设置、区域分布，项目管理、审批符合管理要求，管资金、项目、政策管绩效，项目绩效监管按要求开展，对下指导有力有效。</w:t>
      </w:r>
      <w:r>
        <w:rPr>
          <w:rFonts w:hint="eastAsia" w:cs="Times New Roman"/>
          <w:color w:val="auto"/>
          <w:szCs w:val="32"/>
          <w:lang w:eastAsia="zh-CN"/>
        </w:rPr>
        <w:t>指标分值</w:t>
      </w:r>
      <w:r>
        <w:rPr>
          <w:rFonts w:hint="eastAsia" w:cs="Times New Roman"/>
          <w:color w:val="auto"/>
          <w:szCs w:val="32"/>
          <w:lang w:val="en-US" w:eastAsia="zh-CN"/>
        </w:rPr>
        <w:t>10分，自评得分10分。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auto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Cs w:val="32"/>
          <w:lang w:eastAsia="zh-CN"/>
        </w:rPr>
        <w:t>绩效监管</w:t>
      </w:r>
      <w:r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  <w:t>: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明确要求“事前评估”、“事中监控”、“事后评价”，层层把控，对相关人员进行绩效业务培训，使人人“懂理念、会分析”。并严抓项目决策是否科学的“牛鼻子”，力求项目决策科学。让项目“目标科学、全面”才能“拎得清”，“跟踪及时、严格”才能“管得准”，避免偏离轨道造成的损耗成本、影响质量、效率低下。“花钱必问效，无效必问责”，该局将绩效理念融入预算编制、执行、监督全过程，抓好项目效益是否提升的“落脚点”，发挥绩效评价导向作用，通过奖优惩劣，确保被评价单位把每一笔钱都用在刀刃上、紧要处，力求项目效益提升。</w:t>
      </w:r>
      <w:r>
        <w:rPr>
          <w:rFonts w:hint="eastAsia" w:cs="Times New Roman"/>
          <w:color w:val="auto"/>
          <w:szCs w:val="32"/>
          <w:lang w:eastAsia="zh-CN"/>
        </w:rPr>
        <w:t>指标分值</w:t>
      </w:r>
      <w:r>
        <w:rPr>
          <w:rFonts w:hint="eastAsia" w:cs="Times New Roman"/>
          <w:color w:val="auto"/>
          <w:szCs w:val="32"/>
          <w:lang w:val="en-US" w:eastAsia="zh-CN"/>
        </w:rPr>
        <w:t>6分，自评得分6分。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  <w:t>3.项目实施。指标分值9分，自评得分8分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auto"/>
          <w:szCs w:val="32"/>
          <w:lang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预算执行:项目预算资金</w:t>
      </w:r>
      <w:r>
        <w:rPr>
          <w:rFonts w:hint="eastAsia" w:cs="Times New Roman"/>
          <w:color w:val="auto"/>
          <w:szCs w:val="32"/>
          <w:lang w:val="en-US" w:eastAsia="zh-CN"/>
        </w:rPr>
        <w:t>43.69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万元，支付</w:t>
      </w:r>
      <w:r>
        <w:rPr>
          <w:rFonts w:hint="eastAsia" w:cs="Times New Roman"/>
          <w:color w:val="auto"/>
          <w:szCs w:val="32"/>
          <w:lang w:val="en-US" w:eastAsia="zh-CN"/>
        </w:rPr>
        <w:t>43.69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万元。</w:t>
      </w:r>
      <w:r>
        <w:rPr>
          <w:rFonts w:hint="eastAsia" w:cs="Times New Roman"/>
          <w:color w:val="auto"/>
          <w:szCs w:val="32"/>
          <w:lang w:eastAsia="zh-CN"/>
        </w:rPr>
        <w:t>指标分值</w:t>
      </w:r>
      <w:r>
        <w:rPr>
          <w:rFonts w:hint="eastAsia" w:cs="Times New Roman"/>
          <w:color w:val="auto"/>
          <w:szCs w:val="32"/>
          <w:lang w:val="en-US" w:eastAsia="zh-CN"/>
        </w:rPr>
        <w:t>6分，自评得分5分。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color w:val="auto"/>
          <w:szCs w:val="32"/>
          <w:lang w:val="en-US" w:eastAsia="zh-CN"/>
        </w:rPr>
        <w:t>资金使用</w:t>
      </w:r>
      <w:r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  <w:t>:项</w:t>
      </w:r>
      <w:r>
        <w:rPr>
          <w:rFonts w:hint="eastAsia" w:cs="Times New Roman"/>
          <w:color w:val="auto"/>
          <w:szCs w:val="32"/>
          <w:lang w:val="en-US" w:eastAsia="zh-CN"/>
        </w:rPr>
        <w:t>目资金使用、拨付符合国家财经法规、财务管理制度及有关专项资金管理制度办法规定和审批程序，不存在超范围、超标准、超进度使用专项资金，不存在资金损失浪费、长期沉淀、截留、挤占、挪用、虚列支出等情况。</w:t>
      </w:r>
      <w:r>
        <w:rPr>
          <w:rFonts w:hint="eastAsia" w:cs="Times New Roman"/>
          <w:color w:val="auto"/>
          <w:szCs w:val="32"/>
          <w:lang w:eastAsia="zh-CN"/>
        </w:rPr>
        <w:t>指标分值</w:t>
      </w:r>
      <w:r>
        <w:rPr>
          <w:rFonts w:hint="eastAsia" w:cs="Times New Roman"/>
          <w:color w:val="auto"/>
          <w:szCs w:val="32"/>
          <w:lang w:val="en-US" w:eastAsia="zh-CN"/>
        </w:rPr>
        <w:t>3分，自评得分3分。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  <w:t>4.项目结果。指标分值9分，自评得分9分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cs="Times New Roman"/>
          <w:color w:val="auto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目标完成</w:t>
      </w:r>
      <w:r>
        <w:rPr>
          <w:rFonts w:hint="eastAsia" w:cs="Times New Roman"/>
          <w:color w:val="auto"/>
          <w:szCs w:val="32"/>
          <w:lang w:val="en-US" w:eastAsia="zh-CN"/>
        </w:rPr>
        <w:t>：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资金项目内容与具体实施内容相符的、申报目标是合理可行。项目运行成本、管理效率、履职效能、社会效应、可持续发展能力和服务对象满意度等方面均取得良好成果，预算绩效实现全覆盖。</w:t>
      </w:r>
      <w:r>
        <w:rPr>
          <w:rFonts w:hint="eastAsia" w:cs="Times New Roman"/>
          <w:color w:val="auto"/>
          <w:szCs w:val="32"/>
          <w:lang w:val="en-US" w:eastAsia="zh-CN"/>
        </w:rPr>
        <w:t>截止2023年底完成项目资金拨付。指</w:t>
      </w:r>
      <w:r>
        <w:rPr>
          <w:rFonts w:hint="eastAsia" w:cs="Times New Roman"/>
          <w:color w:val="auto"/>
          <w:szCs w:val="32"/>
          <w:lang w:eastAsia="zh-CN"/>
        </w:rPr>
        <w:t>标分值</w:t>
      </w:r>
      <w:r>
        <w:rPr>
          <w:rFonts w:hint="eastAsia" w:cs="Times New Roman"/>
          <w:color w:val="auto"/>
          <w:szCs w:val="32"/>
          <w:lang w:val="en-US" w:eastAsia="zh-CN"/>
        </w:rPr>
        <w:t>6分，自评得分6分。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eastAsia" w:cs="Times New Roman"/>
          <w:color w:val="auto"/>
          <w:szCs w:val="32"/>
          <w:lang w:val="en-US" w:eastAsia="zh-CN"/>
        </w:rPr>
        <w:t>完成时效：资金项目按照目标任务已于2023年底完成。</w:t>
      </w:r>
      <w:r>
        <w:rPr>
          <w:rFonts w:hint="eastAsia" w:cs="Times New Roman"/>
          <w:color w:val="auto"/>
          <w:szCs w:val="32"/>
          <w:lang w:eastAsia="zh-CN"/>
        </w:rPr>
        <w:t>指标分值</w:t>
      </w:r>
      <w:r>
        <w:rPr>
          <w:rFonts w:hint="eastAsia" w:cs="Times New Roman"/>
          <w:color w:val="auto"/>
          <w:szCs w:val="32"/>
          <w:lang w:val="en-US" w:eastAsia="zh-CN"/>
        </w:rPr>
        <w:t>3分，自评得分3分。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textAlignment w:val="auto"/>
        <w:outlineLvl w:val="9"/>
        <w:rPr>
          <w:rFonts w:hint="eastAsia" w:ascii="楷体_GB2312" w:hAnsi="楷体_GB2312" w:eastAsia="楷体_GB2312" w:cs="楷体_GB2312"/>
          <w:color w:val="auto"/>
          <w:szCs w:val="32"/>
          <w:lang w:val="zh-CN" w:eastAsia="zh-CN"/>
        </w:rPr>
      </w:pPr>
      <w:r>
        <w:rPr>
          <w:rFonts w:hint="eastAsia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zh-CN"/>
        </w:rPr>
        <w:t>（二）</w:t>
      </w:r>
      <w:r>
        <w:rPr>
          <w:rFonts w:hint="eastAsia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en-US" w:eastAsia="zh-CN"/>
        </w:rPr>
        <w:t>专用指标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绩效分析。指标分值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30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分，自评得分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30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outlineLvl w:val="9"/>
        <w:rPr>
          <w:rFonts w:hint="eastAsia" w:cs="Times New Roman"/>
          <w:color w:val="auto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项目验收</w:t>
      </w:r>
      <w:r>
        <w:rPr>
          <w:rFonts w:hint="eastAsia" w:cs="Times New Roman"/>
          <w:color w:val="auto"/>
          <w:szCs w:val="32"/>
          <w:lang w:val="en-US" w:eastAsia="zh-CN"/>
        </w:rPr>
        <w:t>：该项目已完成项目验收，出具项目验收报告。</w:t>
      </w:r>
      <w:r>
        <w:rPr>
          <w:rFonts w:hint="eastAsia" w:cs="Times New Roman"/>
          <w:color w:val="auto"/>
          <w:szCs w:val="32"/>
          <w:lang w:eastAsia="zh-CN"/>
        </w:rPr>
        <w:t>指标分值</w:t>
      </w:r>
      <w:r>
        <w:rPr>
          <w:rFonts w:hint="eastAsia" w:cs="Times New Roman"/>
          <w:color w:val="auto"/>
          <w:szCs w:val="32"/>
          <w:lang w:val="en-US" w:eastAsia="zh-CN"/>
        </w:rPr>
        <w:t>10分，自评得分10分。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outlineLvl w:val="9"/>
        <w:rPr>
          <w:rFonts w:hint="eastAsia" w:cs="Times New Roman"/>
          <w:color w:val="auto"/>
          <w:szCs w:val="32"/>
          <w:lang w:val="zh-CN"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项</w:t>
      </w:r>
      <w:r>
        <w:rPr>
          <w:rFonts w:hint="eastAsia" w:cs="Times New Roman"/>
          <w:color w:val="auto"/>
          <w:szCs w:val="32"/>
          <w:lang w:val="en-US" w:eastAsia="zh-CN"/>
        </w:rPr>
        <w:t>目</w:t>
      </w:r>
      <w:bookmarkStart w:id="1" w:name="_GoBack"/>
      <w:bookmarkEnd w:id="1"/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功能实现</w:t>
      </w:r>
      <w:r>
        <w:rPr>
          <w:rFonts w:hint="eastAsia" w:cs="Times New Roman"/>
          <w:color w:val="auto"/>
          <w:szCs w:val="32"/>
          <w:lang w:val="en-US" w:eastAsia="zh-CN"/>
        </w:rPr>
        <w:t>：项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目资金分配均衡公平，资金实际支持对象符合管理要求，符合支持对象范围，资金实际补贴标准符合资金管理办法规定的补助标准，及时按标准兑现，资金涉及服务对象满意度不低于90%，</w:t>
      </w:r>
      <w:r>
        <w:rPr>
          <w:rFonts w:hint="eastAsia" w:cs="Times New Roman"/>
          <w:color w:val="auto"/>
          <w:szCs w:val="32"/>
          <w:lang w:val="zh-CN" w:eastAsia="zh-CN"/>
        </w:rPr>
        <w:t>项目用途合规性、程序合规性、标准合规性。</w:t>
      </w:r>
      <w:r>
        <w:rPr>
          <w:rFonts w:hint="eastAsia" w:cs="Times New Roman"/>
          <w:color w:val="auto"/>
          <w:szCs w:val="32"/>
          <w:lang w:eastAsia="zh-CN"/>
        </w:rPr>
        <w:t>指标分值</w:t>
      </w:r>
      <w:r>
        <w:rPr>
          <w:rFonts w:hint="eastAsia" w:cs="Times New Roman"/>
          <w:color w:val="auto"/>
          <w:szCs w:val="32"/>
          <w:lang w:val="en-US" w:eastAsia="zh-CN"/>
        </w:rPr>
        <w:t>10分，自评得分10分。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outlineLvl w:val="9"/>
        <w:rPr>
          <w:rFonts w:hint="default" w:cs="Times New Roman"/>
          <w:color w:val="auto"/>
          <w:szCs w:val="32"/>
          <w:lang w:val="en-US" w:eastAsia="zh-CN"/>
        </w:rPr>
      </w:pPr>
      <w:r>
        <w:rPr>
          <w:rFonts w:hint="eastAsia" w:cs="Times New Roman"/>
          <w:color w:val="auto"/>
          <w:szCs w:val="32"/>
          <w:lang w:val="en-US" w:eastAsia="zh-CN"/>
        </w:rPr>
        <w:t>后续管护:建立明确的责任制度，确保每个环节都有专人负责。通过宣传和教育活动提高公众对项目管护的认识和参与度,以提高管理效率和质量。确保项目的长期效益和持续运行，提高项目的整体价值和社会的整体福利。</w:t>
      </w:r>
      <w:r>
        <w:rPr>
          <w:rFonts w:hint="eastAsia" w:cs="Times New Roman"/>
          <w:color w:val="auto"/>
          <w:szCs w:val="32"/>
          <w:lang w:eastAsia="zh-CN"/>
        </w:rPr>
        <w:t>指标分值</w:t>
      </w:r>
      <w:r>
        <w:rPr>
          <w:rFonts w:hint="eastAsia" w:cs="Times New Roman"/>
          <w:color w:val="auto"/>
          <w:szCs w:val="32"/>
          <w:lang w:val="en-US" w:eastAsia="zh-CN"/>
        </w:rPr>
        <w:t>10分，自评得分10分。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2" w:firstLineChars="200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en-US" w:eastAsia="zh-CN"/>
        </w:rPr>
        <w:t>个性指标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绩效分析。指标分值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16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分，自评得分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16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我单位在规定内做好</w:t>
      </w:r>
      <w:r>
        <w:rPr>
          <w:rFonts w:hint="eastAsia" w:cs="Times New Roman"/>
          <w:color w:val="auto"/>
          <w:szCs w:val="32"/>
          <w:lang w:val="en-US" w:eastAsia="zh-CN"/>
        </w:rPr>
        <w:t>村级公共运行维护费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个性化绩效评价指标具有特定的针对性，能够更好地反映其特定业务领域的表现，可以增强</w:t>
      </w:r>
      <w:r>
        <w:rPr>
          <w:rFonts w:hint="eastAsia" w:cs="Times New Roman"/>
          <w:color w:val="auto"/>
          <w:szCs w:val="32"/>
          <w:lang w:val="en-US" w:eastAsia="zh-CN"/>
        </w:rPr>
        <w:t>村干部工作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的积极性和工作热情。提高部门的整体绩效水平。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改善各村生活环境</w:t>
      </w:r>
      <w:r>
        <w:rPr>
          <w:rFonts w:hint="eastAsia" w:cs="Times New Roman"/>
          <w:color w:val="auto"/>
          <w:szCs w:val="32"/>
          <w:lang w:val="en-US" w:eastAsia="zh-CN"/>
        </w:rPr>
        <w:t>:通过项目实施,进一步改善各村生活环境。提升村民幸福指数。</w:t>
      </w:r>
      <w:r>
        <w:rPr>
          <w:rFonts w:hint="eastAsia" w:cs="Times New Roman"/>
          <w:color w:val="auto"/>
          <w:szCs w:val="32"/>
          <w:lang w:eastAsia="zh-CN"/>
        </w:rPr>
        <w:t>指标分值</w:t>
      </w:r>
      <w:r>
        <w:rPr>
          <w:rFonts w:hint="eastAsia" w:cs="Times New Roman"/>
          <w:color w:val="auto"/>
          <w:szCs w:val="32"/>
          <w:lang w:val="en-US" w:eastAsia="zh-CN"/>
        </w:rPr>
        <w:t>5分，自评得分5分。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outlineLvl w:val="9"/>
        <w:rPr>
          <w:rFonts w:hint="eastAsia" w:cs="Times New Roman"/>
          <w:color w:val="auto"/>
          <w:szCs w:val="32"/>
          <w:lang w:val="en-US" w:eastAsia="zh-CN"/>
        </w:rPr>
      </w:pPr>
      <w:r>
        <w:rPr>
          <w:rFonts w:hint="eastAsia" w:cs="Times New Roman"/>
          <w:color w:val="auto"/>
          <w:szCs w:val="32"/>
          <w:lang w:val="en-US" w:eastAsia="zh-CN"/>
        </w:rPr>
        <w:t>项目公示:按照公开要求，在门户网站中决算公开内容进行公示。</w:t>
      </w:r>
      <w:r>
        <w:rPr>
          <w:rFonts w:hint="eastAsia" w:cs="Times New Roman"/>
          <w:color w:val="auto"/>
          <w:szCs w:val="32"/>
          <w:lang w:eastAsia="zh-CN"/>
        </w:rPr>
        <w:t>指标分值</w:t>
      </w:r>
      <w:r>
        <w:rPr>
          <w:rFonts w:hint="eastAsia" w:cs="Times New Roman"/>
          <w:color w:val="auto"/>
          <w:szCs w:val="32"/>
          <w:lang w:val="en-US" w:eastAsia="zh-CN"/>
        </w:rPr>
        <w:t>5分，自评得分5分。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default" w:cs="Times New Roman"/>
          <w:color w:val="auto"/>
          <w:szCs w:val="32"/>
          <w:lang w:val="en-US" w:eastAsia="zh-CN"/>
        </w:rPr>
        <w:t>保障道路畅通率</w:t>
      </w:r>
      <w:r>
        <w:rPr>
          <w:rFonts w:hint="eastAsia" w:cs="Times New Roman"/>
          <w:color w:val="auto"/>
          <w:szCs w:val="32"/>
          <w:lang w:val="en-US" w:eastAsia="zh-CN"/>
        </w:rPr>
        <w:t>：通过项目实施，进一步提升村级运行经费的效率。保障各村道路畅通。</w:t>
      </w:r>
      <w:r>
        <w:rPr>
          <w:rFonts w:hint="eastAsia" w:cs="Times New Roman"/>
          <w:color w:val="auto"/>
          <w:szCs w:val="32"/>
          <w:lang w:eastAsia="zh-CN"/>
        </w:rPr>
        <w:t>指标分值</w:t>
      </w:r>
      <w:r>
        <w:rPr>
          <w:rFonts w:hint="eastAsia" w:cs="Times New Roman"/>
          <w:color w:val="auto"/>
          <w:szCs w:val="32"/>
          <w:lang w:val="en-US" w:eastAsia="zh-CN"/>
        </w:rPr>
        <w:t>6分，自评得分6分。</w: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黑体" w:hAnsi="宋体" w:eastAsia="黑体"/>
          <w:color w:val="auto"/>
          <w:sz w:val="32"/>
          <w:szCs w:val="32"/>
          <w:highlight w:val="none"/>
          <w:u w:val="none"/>
        </w:rPr>
      </w:pPr>
      <w:r>
        <w:rPr>
          <w:rFonts w:hint="eastAsia" w:ascii="黑体" w:hAnsi="宋体" w:eastAsia="黑体"/>
          <w:color w:val="auto"/>
          <w:sz w:val="32"/>
          <w:szCs w:val="32"/>
          <w:highlight w:val="none"/>
          <w:u w:val="none"/>
          <w:lang w:eastAsia="zh-CN"/>
        </w:rPr>
        <w:t>四</w:t>
      </w:r>
      <w:r>
        <w:rPr>
          <w:rFonts w:hint="eastAsia" w:ascii="黑体" w:hAnsi="宋体" w:eastAsia="黑体"/>
          <w:color w:val="auto"/>
          <w:sz w:val="32"/>
          <w:szCs w:val="32"/>
          <w:highlight w:val="none"/>
          <w:u w:val="none"/>
        </w:rPr>
        <w:t>、评价结论</w: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  <w:t>通过汇总、整理、分析村级公共运行维护费项目绩效评价指标体系，绩效目标基本实现，自评得分为99分。</w: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黑体" w:hAnsi="宋体" w:eastAsia="黑体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黑体" w:hAnsi="宋体" w:cs="Times New Roman"/>
          <w:color w:val="auto"/>
          <w:sz w:val="32"/>
          <w:szCs w:val="32"/>
          <w:highlight w:val="none"/>
          <w:u w:val="none"/>
          <w:lang w:eastAsia="zh-CN"/>
        </w:rPr>
        <w:t>五、</w:t>
      </w:r>
      <w:r>
        <w:rPr>
          <w:rFonts w:hint="eastAsia" w:ascii="黑体" w:hAnsi="宋体" w:eastAsia="黑体" w:cs="Times New Roman"/>
          <w:color w:val="auto"/>
          <w:sz w:val="32"/>
          <w:szCs w:val="32"/>
          <w:highlight w:val="none"/>
          <w:u w:val="none"/>
          <w:lang w:eastAsia="zh-CN"/>
        </w:rPr>
        <w:t>存在主要问题</w: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黑体" w:hAnsi="黑体" w:cs="黑体"/>
          <w:b w:val="0"/>
          <w:bCs w:val="0"/>
          <w:kern w:val="2"/>
          <w:positio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  <w:t>无</w: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黑体" w:hAnsi="宋体" w:eastAsia="黑体" w:cs="Times New Roman"/>
          <w:color w:val="auto"/>
          <w:kern w:val="0"/>
          <w:position w:val="3"/>
          <w:sz w:val="32"/>
          <w:szCs w:val="32"/>
          <w:highlight w:val="none"/>
          <w:u w:val="none"/>
          <w:lang w:val="zh-CN" w:eastAsia="zh-CN" w:bidi="ar-SA"/>
        </w:rPr>
      </w:pPr>
      <w:r>
        <w:rPr>
          <w:rFonts w:hint="eastAsia" w:ascii="黑体" w:hAnsi="宋体" w:eastAsia="黑体" w:cs="Times New Roman"/>
          <w:color w:val="auto"/>
          <w:kern w:val="0"/>
          <w:position w:val="3"/>
          <w:sz w:val="32"/>
          <w:szCs w:val="32"/>
          <w:highlight w:val="none"/>
          <w:u w:val="none"/>
          <w:lang w:val="zh-CN" w:eastAsia="zh-CN" w:bidi="ar-SA"/>
        </w:rPr>
        <w:t>六、改进建议</w:t>
      </w:r>
    </w:p>
    <w:p>
      <w:pPr>
        <w:tabs>
          <w:tab w:val="left" w:pos="1911"/>
        </w:tabs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 w:eastAsia="zh-CN"/>
        </w:rPr>
        <w:t xml:space="preserve"> </w:t>
      </w:r>
      <w:r>
        <w:rPr>
          <w:rFonts w:hint="eastAsia" w:ascii="仿宋_GB2312" w:hAnsi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  <w:t xml:space="preserve">   </w:t>
      </w:r>
      <w:bookmarkStart w:id="0" w:name="_Hlk110546638"/>
      <w:r>
        <w:rPr>
          <w:rFonts w:hint="eastAsia" w:ascii="仿宋_GB2312" w:hAnsi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  <w:t>无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附表：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0" w:leftChars="0" w:firstLine="1600" w:firstLineChars="500"/>
        <w:textAlignment w:val="auto"/>
        <w:outlineLvl w:val="9"/>
        <w:rPr>
          <w:rFonts w:hint="default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.专项预算项目绩效目标完成情况自评表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</w:pP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br w:type="page"/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ind w:left="0" w:leftChars="0" w:firstLine="0" w:firstLineChars="0"/>
        <w:rPr>
          <w:rFonts w:hint="default" w:ascii="Times New Roman" w:hAnsi="Times New Roman" w:eastAsia="黑体" w:cs="Times New Roman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24"/>
          <w:highlight w:val="none"/>
          <w:lang w:val="en-US" w:eastAsia="zh-CN" w:bidi="ar-SA"/>
        </w:rPr>
        <w:t>附表2</w:t>
      </w:r>
    </w:p>
    <w:tbl>
      <w:tblPr>
        <w:tblStyle w:val="8"/>
        <w:tblW w:w="102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2"/>
        <w:gridCol w:w="1081"/>
        <w:gridCol w:w="1250"/>
        <w:gridCol w:w="1312"/>
        <w:gridCol w:w="1127"/>
        <w:gridCol w:w="971"/>
        <w:gridCol w:w="1061"/>
        <w:gridCol w:w="938"/>
        <w:gridCol w:w="1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10233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专项预算项目绩效目标完成情况自评表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4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村级公共运行维护费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4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洛多乡人民政府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4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项目类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 概况</w:t>
            </w:r>
          </w:p>
        </w:tc>
        <w:tc>
          <w:tcPr>
            <w:tcW w:w="3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中长期规划（名称、文号，仅指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常年项目）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资金管理办法（名称、文号）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绩效分配方式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Wingdings 2" w:hAnsi="Wingdings 2" w:eastAsia="Wingdings 2" w:cs="Wingdings 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£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因素法</w:t>
            </w:r>
          </w:p>
        </w:tc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Wingdings 2" w:hAnsi="Wingdings 2" w:eastAsia="Wingdings 2" w:cs="Wingdings 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£项目法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Wingdings 2" w:hAnsi="Wingdings 2" w:eastAsia="Wingdings 2" w:cs="Wingdings 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£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据实据效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Wingdings 2" w:hAnsi="Wingdings 2" w:eastAsia="Wingdings 2" w:cs="Wingdings 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£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因素法与项目法相结合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立项依据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使用范围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申报（补助）条件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项目起止年限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年度资金总额：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43.69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43.69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其他资金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总体 目标</w:t>
            </w:r>
          </w:p>
        </w:tc>
        <w:tc>
          <w:tcPr>
            <w:tcW w:w="95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 指标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权重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实际完成指标值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行政村平均补助标准为每村7万元/年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万元/村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资金使用范围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项目完工后，验收合格率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资金拨付时间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可持续发展指标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改善村容村貌，群众出行安全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</w:tbl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ind w:left="0" w:leftChars="0"/>
        <w:rPr>
          <w:rFonts w:hint="default" w:ascii="黑体" w:hAnsi="黑体" w:eastAsia="黑体" w:cs="黑体"/>
          <w:sz w:val="24"/>
          <w:szCs w:val="24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F1FE72"/>
    <w:multiLevelType w:val="singleLevel"/>
    <w:tmpl w:val="C0F1FE7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26C8BD5"/>
    <w:multiLevelType w:val="singleLevel"/>
    <w:tmpl w:val="026C8BD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zNjhjNDNiN2RjOWRkY2QxZGViYzI0NTBlYjA3NDAifQ=="/>
  </w:docVars>
  <w:rsids>
    <w:rsidRoot w:val="771D4D51"/>
    <w:rsid w:val="02ED4929"/>
    <w:rsid w:val="06F127CA"/>
    <w:rsid w:val="09BB0D18"/>
    <w:rsid w:val="09E27849"/>
    <w:rsid w:val="0A2656D1"/>
    <w:rsid w:val="0B5F56D3"/>
    <w:rsid w:val="0B756745"/>
    <w:rsid w:val="0C260B50"/>
    <w:rsid w:val="0C59351C"/>
    <w:rsid w:val="0D66383B"/>
    <w:rsid w:val="0FAC3208"/>
    <w:rsid w:val="11317B11"/>
    <w:rsid w:val="12FB2C35"/>
    <w:rsid w:val="13C02E9B"/>
    <w:rsid w:val="14C50C9C"/>
    <w:rsid w:val="14F0383F"/>
    <w:rsid w:val="15476E2E"/>
    <w:rsid w:val="162D642C"/>
    <w:rsid w:val="19B54FD6"/>
    <w:rsid w:val="1C25106F"/>
    <w:rsid w:val="1CFD8DF6"/>
    <w:rsid w:val="1ECB04B0"/>
    <w:rsid w:val="1F02518A"/>
    <w:rsid w:val="1F461652"/>
    <w:rsid w:val="1FFF9AD9"/>
    <w:rsid w:val="20764B90"/>
    <w:rsid w:val="20BC4845"/>
    <w:rsid w:val="20D94032"/>
    <w:rsid w:val="22885DA6"/>
    <w:rsid w:val="22AD555F"/>
    <w:rsid w:val="23D7687F"/>
    <w:rsid w:val="250D3B9A"/>
    <w:rsid w:val="25592FE8"/>
    <w:rsid w:val="25783BC2"/>
    <w:rsid w:val="26CF2DB3"/>
    <w:rsid w:val="27987D44"/>
    <w:rsid w:val="2AF86ED7"/>
    <w:rsid w:val="2AFDF212"/>
    <w:rsid w:val="2B317A55"/>
    <w:rsid w:val="2B385C88"/>
    <w:rsid w:val="2B6BF484"/>
    <w:rsid w:val="2C142370"/>
    <w:rsid w:val="2C4C6634"/>
    <w:rsid w:val="2D0363AE"/>
    <w:rsid w:val="2D2E0549"/>
    <w:rsid w:val="2E9A0305"/>
    <w:rsid w:val="2F33533C"/>
    <w:rsid w:val="2FFF7DE7"/>
    <w:rsid w:val="307750E9"/>
    <w:rsid w:val="30B9249C"/>
    <w:rsid w:val="32FA0C59"/>
    <w:rsid w:val="33F748AD"/>
    <w:rsid w:val="357A2C41"/>
    <w:rsid w:val="35874596"/>
    <w:rsid w:val="35F2A362"/>
    <w:rsid w:val="36EA2AC9"/>
    <w:rsid w:val="371A51D2"/>
    <w:rsid w:val="373BBD0C"/>
    <w:rsid w:val="38D32EB4"/>
    <w:rsid w:val="39BFEDBA"/>
    <w:rsid w:val="39DBABD8"/>
    <w:rsid w:val="3AED12ED"/>
    <w:rsid w:val="3AFF6A5D"/>
    <w:rsid w:val="3BDD34D2"/>
    <w:rsid w:val="3BDDFF97"/>
    <w:rsid w:val="3BFFD43B"/>
    <w:rsid w:val="3C7BD5C9"/>
    <w:rsid w:val="3DC2196D"/>
    <w:rsid w:val="3E4D594A"/>
    <w:rsid w:val="3F0C0B14"/>
    <w:rsid w:val="3FBC08C4"/>
    <w:rsid w:val="3FBF9251"/>
    <w:rsid w:val="3FED766E"/>
    <w:rsid w:val="3FF50DFE"/>
    <w:rsid w:val="3FFEEAD9"/>
    <w:rsid w:val="3FFFE931"/>
    <w:rsid w:val="40D678BD"/>
    <w:rsid w:val="41036BCA"/>
    <w:rsid w:val="41A01FC6"/>
    <w:rsid w:val="434B6EF0"/>
    <w:rsid w:val="447B561E"/>
    <w:rsid w:val="457F07F2"/>
    <w:rsid w:val="459D126B"/>
    <w:rsid w:val="46332779"/>
    <w:rsid w:val="487E1A6D"/>
    <w:rsid w:val="49042270"/>
    <w:rsid w:val="4CC6FDBD"/>
    <w:rsid w:val="4CCC1EC1"/>
    <w:rsid w:val="4D904DD5"/>
    <w:rsid w:val="4E07F45D"/>
    <w:rsid w:val="4EF50A0C"/>
    <w:rsid w:val="4FF59AF5"/>
    <w:rsid w:val="503D00E8"/>
    <w:rsid w:val="522B7478"/>
    <w:rsid w:val="54DF6509"/>
    <w:rsid w:val="55FE10A2"/>
    <w:rsid w:val="56823DB5"/>
    <w:rsid w:val="56EF6619"/>
    <w:rsid w:val="57396EB2"/>
    <w:rsid w:val="57AF1E73"/>
    <w:rsid w:val="5AB21C33"/>
    <w:rsid w:val="5B778EC0"/>
    <w:rsid w:val="5BFD93EC"/>
    <w:rsid w:val="5CBA8FF2"/>
    <w:rsid w:val="5D5F7E21"/>
    <w:rsid w:val="5F3E3CB1"/>
    <w:rsid w:val="5F5B35E4"/>
    <w:rsid w:val="609FA7B0"/>
    <w:rsid w:val="614F0C4D"/>
    <w:rsid w:val="63C509FD"/>
    <w:rsid w:val="660022E7"/>
    <w:rsid w:val="66B00616"/>
    <w:rsid w:val="676C2A97"/>
    <w:rsid w:val="69FCE5E7"/>
    <w:rsid w:val="6A3F7D1E"/>
    <w:rsid w:val="6BCDA9CC"/>
    <w:rsid w:val="6BF32B6E"/>
    <w:rsid w:val="6C021003"/>
    <w:rsid w:val="6CDE55CC"/>
    <w:rsid w:val="6D8223FC"/>
    <w:rsid w:val="6D9F2765"/>
    <w:rsid w:val="6DB508E5"/>
    <w:rsid w:val="6DDFA6BD"/>
    <w:rsid w:val="6E2A27C9"/>
    <w:rsid w:val="6E767ACE"/>
    <w:rsid w:val="6E781687"/>
    <w:rsid w:val="6EEE3ED1"/>
    <w:rsid w:val="6EFFED40"/>
    <w:rsid w:val="6F1B2166"/>
    <w:rsid w:val="6F5FC1DE"/>
    <w:rsid w:val="6FB3E1FD"/>
    <w:rsid w:val="6FD768E4"/>
    <w:rsid w:val="6FF341F1"/>
    <w:rsid w:val="6FFEBD86"/>
    <w:rsid w:val="709D754D"/>
    <w:rsid w:val="70D45B94"/>
    <w:rsid w:val="718536A7"/>
    <w:rsid w:val="721858B5"/>
    <w:rsid w:val="722160CD"/>
    <w:rsid w:val="73FF1F09"/>
    <w:rsid w:val="73FF684B"/>
    <w:rsid w:val="740A314B"/>
    <w:rsid w:val="74A708C5"/>
    <w:rsid w:val="76DFCB7D"/>
    <w:rsid w:val="771D4D51"/>
    <w:rsid w:val="7735A28E"/>
    <w:rsid w:val="77778F6D"/>
    <w:rsid w:val="77ABFD6B"/>
    <w:rsid w:val="77B7A121"/>
    <w:rsid w:val="77C748BA"/>
    <w:rsid w:val="77DD24F1"/>
    <w:rsid w:val="77F10335"/>
    <w:rsid w:val="77F7E860"/>
    <w:rsid w:val="77FB8D34"/>
    <w:rsid w:val="797D0128"/>
    <w:rsid w:val="79EDB415"/>
    <w:rsid w:val="7ABBCDAB"/>
    <w:rsid w:val="7AFCAD25"/>
    <w:rsid w:val="7AFEB9B4"/>
    <w:rsid w:val="7B5E0C37"/>
    <w:rsid w:val="7B63F034"/>
    <w:rsid w:val="7B735637"/>
    <w:rsid w:val="7B7DE504"/>
    <w:rsid w:val="7BFEC4F8"/>
    <w:rsid w:val="7DA14F75"/>
    <w:rsid w:val="7DB57A61"/>
    <w:rsid w:val="7DC7DC1F"/>
    <w:rsid w:val="7DF95E12"/>
    <w:rsid w:val="7DFDF40F"/>
    <w:rsid w:val="7DFF9BC7"/>
    <w:rsid w:val="7EB645E3"/>
    <w:rsid w:val="7EB6B7AB"/>
    <w:rsid w:val="7EDEF702"/>
    <w:rsid w:val="7EFD6908"/>
    <w:rsid w:val="7EFF8787"/>
    <w:rsid w:val="7F1C270D"/>
    <w:rsid w:val="7F5F4807"/>
    <w:rsid w:val="7F722518"/>
    <w:rsid w:val="7F7CF90E"/>
    <w:rsid w:val="7F9E3557"/>
    <w:rsid w:val="7FBF2857"/>
    <w:rsid w:val="7FD3B1BB"/>
    <w:rsid w:val="7FE7031F"/>
    <w:rsid w:val="7FEC5D3B"/>
    <w:rsid w:val="7FEF37E2"/>
    <w:rsid w:val="7FF70813"/>
    <w:rsid w:val="7FF7B584"/>
    <w:rsid w:val="7FFDFB4B"/>
    <w:rsid w:val="7FFF1910"/>
    <w:rsid w:val="7FFF8C1D"/>
    <w:rsid w:val="7FFF92F0"/>
    <w:rsid w:val="7FFFF07C"/>
    <w:rsid w:val="9BF3195D"/>
    <w:rsid w:val="A5DB4128"/>
    <w:rsid w:val="A6E375DB"/>
    <w:rsid w:val="A6EFA809"/>
    <w:rsid w:val="A6F7CC0B"/>
    <w:rsid w:val="AABFBDFA"/>
    <w:rsid w:val="AF7DE88E"/>
    <w:rsid w:val="AFED1DC0"/>
    <w:rsid w:val="AFFBB299"/>
    <w:rsid w:val="B3ECA4C8"/>
    <w:rsid w:val="B4D7E8EA"/>
    <w:rsid w:val="B4EF3795"/>
    <w:rsid w:val="B5E79B51"/>
    <w:rsid w:val="B6E7F02A"/>
    <w:rsid w:val="B797ED78"/>
    <w:rsid w:val="BB75119C"/>
    <w:rsid w:val="BBD3B774"/>
    <w:rsid w:val="BBDF02B2"/>
    <w:rsid w:val="BCFB0575"/>
    <w:rsid w:val="BE5EC634"/>
    <w:rsid w:val="BEC77393"/>
    <w:rsid w:val="BEFECBAE"/>
    <w:rsid w:val="BF2F7DA9"/>
    <w:rsid w:val="BF7F7592"/>
    <w:rsid w:val="BFB71281"/>
    <w:rsid w:val="BFBDF2DF"/>
    <w:rsid w:val="BFE4DD88"/>
    <w:rsid w:val="BFF9117D"/>
    <w:rsid w:val="BFFF6947"/>
    <w:rsid w:val="C8FDA203"/>
    <w:rsid w:val="CEF79301"/>
    <w:rsid w:val="CEFBB93B"/>
    <w:rsid w:val="CF7C6158"/>
    <w:rsid w:val="CF9D4E98"/>
    <w:rsid w:val="CFBFEC5E"/>
    <w:rsid w:val="D65BF816"/>
    <w:rsid w:val="D73F10CF"/>
    <w:rsid w:val="D977C3BB"/>
    <w:rsid w:val="D977C9A6"/>
    <w:rsid w:val="D9FF310B"/>
    <w:rsid w:val="DBF57698"/>
    <w:rsid w:val="DBFFAB54"/>
    <w:rsid w:val="DDFF5069"/>
    <w:rsid w:val="DECF83A1"/>
    <w:rsid w:val="DEEBD176"/>
    <w:rsid w:val="DEED29CB"/>
    <w:rsid w:val="DEFF6025"/>
    <w:rsid w:val="DF4E686F"/>
    <w:rsid w:val="DF7F78BD"/>
    <w:rsid w:val="DFDFC0CD"/>
    <w:rsid w:val="DFF7F21C"/>
    <w:rsid w:val="DFFE4986"/>
    <w:rsid w:val="E3F74AB8"/>
    <w:rsid w:val="E5FD7CF6"/>
    <w:rsid w:val="E7FE6222"/>
    <w:rsid w:val="E9BB2A12"/>
    <w:rsid w:val="EDDF69E1"/>
    <w:rsid w:val="EDF76BB3"/>
    <w:rsid w:val="EEF68640"/>
    <w:rsid w:val="EFF41AC0"/>
    <w:rsid w:val="EFF76D95"/>
    <w:rsid w:val="EFFF2C87"/>
    <w:rsid w:val="EFFFA435"/>
    <w:rsid w:val="F1DF82E1"/>
    <w:rsid w:val="F1F64F55"/>
    <w:rsid w:val="F2E22473"/>
    <w:rsid w:val="F35D14F0"/>
    <w:rsid w:val="F3F4C349"/>
    <w:rsid w:val="F3F64609"/>
    <w:rsid w:val="F4E96614"/>
    <w:rsid w:val="F4F54B3B"/>
    <w:rsid w:val="F58EBBB0"/>
    <w:rsid w:val="F5CBD2AD"/>
    <w:rsid w:val="F6F3FBF3"/>
    <w:rsid w:val="F6FE0D0F"/>
    <w:rsid w:val="F9B8FDC3"/>
    <w:rsid w:val="F9BF4E89"/>
    <w:rsid w:val="FA79E738"/>
    <w:rsid w:val="FAD729CA"/>
    <w:rsid w:val="FB1B5977"/>
    <w:rsid w:val="FBF62448"/>
    <w:rsid w:val="FBF76486"/>
    <w:rsid w:val="FBFF7DC7"/>
    <w:rsid w:val="FC37AF17"/>
    <w:rsid w:val="FCDE5A6F"/>
    <w:rsid w:val="FCFE5638"/>
    <w:rsid w:val="FCFF1FE1"/>
    <w:rsid w:val="FD7C7175"/>
    <w:rsid w:val="FDD7319B"/>
    <w:rsid w:val="FDDE4FF7"/>
    <w:rsid w:val="FDF8F696"/>
    <w:rsid w:val="FE7B38A4"/>
    <w:rsid w:val="FE7EBDAF"/>
    <w:rsid w:val="FEAF5424"/>
    <w:rsid w:val="FECB8DB0"/>
    <w:rsid w:val="FECF948F"/>
    <w:rsid w:val="FEDCE487"/>
    <w:rsid w:val="FEED62B0"/>
    <w:rsid w:val="FEEFF60E"/>
    <w:rsid w:val="FEFD6F73"/>
    <w:rsid w:val="FF0F1500"/>
    <w:rsid w:val="FF5995C2"/>
    <w:rsid w:val="FF6B552C"/>
    <w:rsid w:val="FF6F74D4"/>
    <w:rsid w:val="FFB6B6EA"/>
    <w:rsid w:val="FFBB4B28"/>
    <w:rsid w:val="FFCFE300"/>
    <w:rsid w:val="FFD58A98"/>
    <w:rsid w:val="FFDD382A"/>
    <w:rsid w:val="FFDFD60A"/>
    <w:rsid w:val="FFE6F78D"/>
    <w:rsid w:val="FFEBBD1A"/>
    <w:rsid w:val="FFEF3B9A"/>
    <w:rsid w:val="FFF171B6"/>
    <w:rsid w:val="FFF33D76"/>
    <w:rsid w:val="FFF3C5BB"/>
    <w:rsid w:val="FFFA984C"/>
    <w:rsid w:val="FFFB4651"/>
    <w:rsid w:val="FFFD90B9"/>
    <w:rsid w:val="FFFF2620"/>
    <w:rsid w:val="FF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widowControl/>
      <w:tabs>
        <w:tab w:val="left" w:pos="2160"/>
      </w:tabs>
      <w:spacing w:line="480" w:lineRule="auto"/>
      <w:jc w:val="left"/>
    </w:pPr>
    <w:rPr>
      <w:rFonts w:ascii="楷体_GB2312" w:eastAsia="黑体"/>
      <w:kern w:val="0"/>
      <w:position w:val="3"/>
      <w:sz w:val="20"/>
      <w:szCs w:val="20"/>
      <w:lang w:eastAsia="en-US"/>
    </w:rPr>
  </w:style>
  <w:style w:type="paragraph" w:styleId="3">
    <w:name w:val="Body Text Indent"/>
    <w:basedOn w:val="1"/>
    <w:qFormat/>
    <w:uiPriority w:val="0"/>
    <w:pPr>
      <w:spacing w:after="120"/>
      <w:ind w:leftChars="200"/>
    </w:pPr>
    <w:rPr>
      <w:rFonts w:ascii="仿宋_GB2312"/>
      <w:szCs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6">
    <w:name w:val="toc 1"/>
    <w:basedOn w:val="1"/>
    <w:next w:val="1"/>
    <w:qFormat/>
    <w:uiPriority w:val="0"/>
  </w:style>
  <w:style w:type="paragraph" w:styleId="7">
    <w:name w:val="Body Text First Indent 2"/>
    <w:basedOn w:val="3"/>
    <w:unhideWhenUsed/>
    <w:qFormat/>
    <w:uiPriority w:val="99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标题 5（有编号）（绿盟科技）"/>
    <w:next w:val="1"/>
    <w:qFormat/>
    <w:uiPriority w:val="99"/>
    <w:pPr>
      <w:keepNext/>
      <w:keepLines/>
      <w:widowControl w:val="0"/>
      <w:spacing w:before="280" w:after="156" w:line="377" w:lineRule="auto"/>
      <w:jc w:val="left"/>
      <w:outlineLvl w:val="4"/>
    </w:pPr>
    <w:rPr>
      <w:rFonts w:ascii="Arial" w:hAnsi="Arial" w:eastAsia="黑体" w:cs="Times New Roman"/>
      <w:b/>
      <w:kern w:val="2"/>
      <w:sz w:val="24"/>
      <w:szCs w:val="28"/>
      <w:lang w:val="en-US" w:eastAsia="zh-CN" w:bidi="ar-SA"/>
    </w:rPr>
  </w:style>
  <w:style w:type="paragraph" w:customStyle="1" w:styleId="12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2130</Words>
  <Characters>2239</Characters>
  <Lines>0</Lines>
  <Paragraphs>0</Paragraphs>
  <TotalTime>6</TotalTime>
  <ScaleCrop>false</ScaleCrop>
  <LinksUpToDate>false</LinksUpToDate>
  <CharactersWithSpaces>2269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2020-07-12T16:13:00Z</dcterms:created>
  <dc:creator>Administrator</dc:creator>
  <cp:lastModifiedBy>WPS_1511431328</cp:lastModifiedBy>
  <cp:lastPrinted>2016-02-13T19:32:00Z</cp:lastPrinted>
  <dcterms:modified xsi:type="dcterms:W3CDTF">2024-11-18T11:37:42Z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FD65ACE9ECD42879F7879466AF52A2C4</vt:lpwstr>
  </property>
</Properties>
</file>