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8" w:lineRule="exact"/>
        <w:ind w:left="0" w:leftChars="0"/>
        <w:textAlignment w:val="auto"/>
        <w:rPr>
          <w:rFonts w:hint="eastAsia" w:ascii="黑体" w:hAnsi="黑体" w:eastAsia="黑体" w:cs="黑体"/>
          <w:highlight w:val="none"/>
          <w:lang w:val="en-US" w:eastAsia="zh-CN"/>
        </w:rPr>
      </w:pPr>
      <w:r>
        <w:rPr>
          <w:rFonts w:hint="eastAsia" w:ascii="黑体" w:hAnsi="黑体" w:eastAsia="黑体" w:cs="黑体"/>
          <w:highlight w:val="none"/>
        </w:rPr>
        <w:t>附件</w:t>
      </w:r>
      <w:r>
        <w:rPr>
          <w:rFonts w:hint="eastAsia" w:ascii="黑体" w:hAnsi="黑体" w:eastAsia="黑体" w:cs="黑体"/>
          <w:highlight w:val="none"/>
          <w:lang w:val="en-US" w:eastAsia="zh-CN"/>
        </w:rPr>
        <w:t>5</w:t>
      </w:r>
    </w:p>
    <w:p>
      <w:pPr>
        <w:pStyle w:val="14"/>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eastAsia="方正小标宋简体" w:cs="方正小标宋简体"/>
          <w:b w:val="0"/>
          <w:bCs w:val="0"/>
          <w:sz w:val="44"/>
          <w:szCs w:val="44"/>
          <w:lang w:val="en-US" w:eastAsia="zh-CN"/>
        </w:rPr>
      </w:pPr>
    </w:p>
    <w:p>
      <w:pPr>
        <w:spacing w:line="560" w:lineRule="exact"/>
        <w:jc w:val="center"/>
        <w:rPr>
          <w:rFonts w:hint="eastAsia" w:ascii="方正小标宋_GBK" w:eastAsia="方正小标宋_GBK" w:cs="Times New Roman"/>
          <w:sz w:val="44"/>
          <w:szCs w:val="44"/>
          <w:lang w:val="en-US" w:eastAsia="zh-CN"/>
        </w:rPr>
      </w:pPr>
      <w:r>
        <w:rPr>
          <w:rFonts w:hint="eastAsia" w:ascii="方正小标宋_GBK" w:eastAsia="方正小标宋_GBK" w:cs="Times New Roman"/>
          <w:sz w:val="44"/>
          <w:szCs w:val="44"/>
          <w:lang w:val="en-US" w:eastAsia="zh-CN"/>
        </w:rPr>
        <w:t>黑水县洛多乡人民政府</w:t>
      </w:r>
    </w:p>
    <w:p>
      <w:pPr>
        <w:spacing w:line="560" w:lineRule="exact"/>
        <w:jc w:val="center"/>
        <w:rPr>
          <w:rFonts w:hint="eastAsia"/>
          <w:lang w:val="en-US" w:eastAsia="zh-CN"/>
        </w:rPr>
      </w:pPr>
      <w:r>
        <w:rPr>
          <w:rFonts w:hint="eastAsia" w:ascii="方正小标宋_GBK" w:hAnsi="方正小标宋_GBK" w:eastAsia="方正小标宋_GBK" w:cs="方正小标宋_GBK"/>
          <w:sz w:val="44"/>
          <w:szCs w:val="44"/>
          <w:lang w:val="en-US" w:eastAsia="zh-CN"/>
        </w:rPr>
        <w:t>洛多乡石古子村集体经济建设牦牛采购项目</w:t>
      </w:r>
      <w:r>
        <w:rPr>
          <w:rFonts w:hint="eastAsia" w:ascii="方正小标宋_GBK" w:eastAsia="方正小标宋_GBK" w:cs="Times New Roman"/>
          <w:sz w:val="44"/>
          <w:szCs w:val="44"/>
          <w:lang w:val="en-US" w:eastAsia="zh-CN"/>
        </w:rPr>
        <w:t>自评报告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落实党的十九大和《中共中央、国务院关于实施乡村振兴战略的意见》（2018年中央1号文件）的精神，坚持把解决好“三农”问题作为全党工作重中之重，坚持农业农村优先发展，按照“产业兴旺、生态宜居、乡风文明、治理有效、生活富裕”的20字总要求，建立健全城乡融合发展体制机制和政策体系，加快推进农业农村现代化。乡村振兴战略是党在新时代建设现代化强国的重要战略构想，为近6亿中国农村人口擘画了宏伟而美好的蓝图。黑水县始终保持发展生态农业产业专注定力不动摇，围绕脱贫攻坚目标，以连片扶贫开发、生态效益农业发展为抓手，瞄准贫困村、贫困人口，加快推进连片贫困地区脱贫致富和乡村振兴步伐，提升贫困地区自我发展能力，发展农业优势主导产业，促进生态农业基地建设规模化、集约化、高效化，强力助推农民增收致富，实现产业扶贫、精准脱贫。</w:t>
      </w:r>
    </w:p>
    <w:p>
      <w:pPr>
        <w:keepNext w:val="0"/>
        <w:keepLines w:val="0"/>
        <w:pageBreakBefore w:val="0"/>
        <w:numPr>
          <w:ilvl w:val="0"/>
          <w:numId w:val="1"/>
        </w:numPr>
        <w:kinsoku/>
        <w:wordWrap/>
        <w:overflowPunct/>
        <w:topLinePunct w:val="0"/>
        <w:autoSpaceDE/>
        <w:autoSpaceDN/>
        <w:bidi w:val="0"/>
        <w:adjustRightInd w:val="0"/>
        <w:snapToGrid w:val="0"/>
        <w:spacing w:line="578" w:lineRule="exact"/>
        <w:ind w:left="0" w:leftChars="0" w:firstLine="643" w:firstLineChars="200"/>
        <w:textAlignment w:val="auto"/>
        <w:rPr>
          <w:rFonts w:hint="eastAsia" w:ascii="楷体_GB2312" w:hAnsi="宋体" w:eastAsia="楷体_GB2312" w:cs="Times New Roman"/>
          <w:b/>
          <w:color w:val="auto"/>
          <w:sz w:val="32"/>
          <w:szCs w:val="32"/>
          <w:highlight w:val="none"/>
          <w:u w:val="none"/>
          <w:lang w:val="en-US" w:eastAsia="zh-CN"/>
        </w:rPr>
      </w:pP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坚持</w:t>
      </w:r>
      <w:r>
        <w:rPr>
          <w:rFonts w:hint="eastAsia" w:ascii="仿宋_GB2312" w:hAnsi="仿宋_GB2312" w:eastAsia="仿宋_GB2312" w:cs="仿宋_GB2312"/>
          <w:color w:val="000000"/>
          <w:sz w:val="32"/>
          <w:szCs w:val="32"/>
        </w:rPr>
        <w:t>配套设施与产业发展并重，脱贫与奔康并举，扶贫与扶智并行，按照行业技术标准、单位投资概算科学规划项目。坚持持续稳定发展、保障脱贫增收的原则分类实施，做到实施一片、见效一片，发挥园区示范带动作用，提高项目建设的经济效益和社会效益，促进项目区群众增收。</w:t>
      </w:r>
    </w:p>
    <w:p>
      <w:pPr>
        <w:keepNext w:val="0"/>
        <w:keepLines w:val="0"/>
        <w:pageBreakBefore w:val="0"/>
        <w:widowControl/>
        <w:numPr>
          <w:ilvl w:val="0"/>
          <w:numId w:val="1"/>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2023年年初预算</w:t>
      </w:r>
      <w:r>
        <w:rPr>
          <w:rFonts w:hint="eastAsia" w:ascii="仿宋_GB2312" w:hAnsi="仿宋_GB2312" w:cs="仿宋_GB2312"/>
          <w:bCs/>
          <w:sz w:val="32"/>
          <w:szCs w:val="32"/>
          <w:highlight w:val="none"/>
          <w:lang w:val="en-US" w:eastAsia="zh-CN"/>
        </w:rPr>
        <w:t>0万元，调整后预算数4.91万元，预算执行数4.91万元。</w:t>
      </w:r>
    </w:p>
    <w:p>
      <w:pPr>
        <w:keepNext w:val="0"/>
        <w:keepLines w:val="0"/>
        <w:pageBreakBefore w:val="0"/>
        <w:numPr>
          <w:ilvl w:val="0"/>
          <w:numId w:val="1"/>
        </w:numPr>
        <w:kinsoku/>
        <w:wordWrap/>
        <w:overflowPunct/>
        <w:topLinePunct w:val="0"/>
        <w:autoSpaceDE/>
        <w:autoSpaceDN/>
        <w:bidi w:val="0"/>
        <w:adjustRightInd w:val="0"/>
        <w:snapToGrid w:val="0"/>
        <w:spacing w:line="578" w:lineRule="exact"/>
        <w:ind w:left="0" w:leftChars="0" w:firstLine="643"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项目绩效目标设置。</w:t>
      </w:r>
    </w:p>
    <w:p>
      <w:pPr>
        <w:spacing w:line="560" w:lineRule="exact"/>
        <w:ind w:firstLine="640" w:firstLineChars="200"/>
        <w:rPr>
          <w:rFonts w:hint="default"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color w:val="000000"/>
          <w:kern w:val="2"/>
          <w:sz w:val="32"/>
          <w:szCs w:val="32"/>
          <w:lang w:val="en-US" w:eastAsia="zh-CN"/>
        </w:rPr>
        <w:t>经济的发展对现状的农业基础设施提出了更高的要求，本项目建设能够实施完全能解决了项目区的农业基础薄弱的问题，促进黑水县相关村组经济的高速发展</w:t>
      </w:r>
      <w:r>
        <w:rPr>
          <w:rFonts w:hint="eastAsia" w:ascii="Times New Roman" w:hAnsi="Times New Roman" w:cs="Times New Roman"/>
          <w:kern w:val="0"/>
          <w:szCs w:val="28"/>
          <w:lang w:val="en-US" w:eastAsia="zh-CN"/>
        </w:rPr>
        <w:t>。</w:t>
      </w:r>
    </w:p>
    <w:tbl>
      <w:tblPr>
        <w:tblStyle w:val="10"/>
        <w:tblW w:w="8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1579"/>
        <w:gridCol w:w="1362"/>
        <w:gridCol w:w="1741"/>
        <w:gridCol w:w="397"/>
        <w:gridCol w:w="838"/>
        <w:gridCol w:w="846"/>
        <w:gridCol w:w="837"/>
        <w:gridCol w:w="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2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产出指标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数量指标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等线" w:hAnsi="等线" w:eastAsia="等线" w:cs="等线"/>
                <w:i w:val="0"/>
                <w:color w:val="000000"/>
                <w:kern w:val="0"/>
                <w:sz w:val="18"/>
                <w:szCs w:val="18"/>
                <w:u w:val="none"/>
                <w:lang w:val="en-US" w:eastAsia="zh-CN" w:bidi="ar"/>
              </w:rPr>
              <w:t>购买牦牛26头</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等线" w:hAnsi="等线" w:eastAsia="等线" w:cs="等线"/>
                <w:i w:val="0"/>
                <w:color w:val="000000"/>
                <w:kern w:val="0"/>
                <w:sz w:val="18"/>
                <w:szCs w:val="18"/>
                <w:u w:val="none"/>
                <w:lang w:val="en-US" w:eastAsia="zh-CN" w:bidi="ar"/>
              </w:rPr>
              <w:t>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头</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等线" w:hAnsi="等线" w:eastAsia="等线" w:cs="等线"/>
                <w:i w:val="0"/>
                <w:color w:val="000000"/>
                <w:kern w:val="0"/>
                <w:sz w:val="18"/>
                <w:szCs w:val="18"/>
                <w:u w:val="none"/>
                <w:lang w:val="en-US" w:eastAsia="zh-CN" w:bidi="ar"/>
              </w:rPr>
              <w:t>26</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2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产出指标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时效指标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采购时间</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hint="eastAsia" w:ascii="等线" w:hAnsi="等线" w:eastAsia="等线" w:cs="等线"/>
                <w:i w:val="0"/>
                <w:color w:val="000000"/>
                <w:kern w:val="0"/>
                <w:sz w:val="18"/>
                <w:szCs w:val="18"/>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月</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等线" w:hAnsi="等线" w:eastAsia="等线" w:cs="等线"/>
                <w:i w:val="0"/>
                <w:color w:val="000000"/>
                <w:kern w:val="0"/>
                <w:sz w:val="18"/>
                <w:szCs w:val="18"/>
                <w:u w:val="none"/>
                <w:lang w:val="en-US" w:eastAsia="zh-CN" w:bidi="ar"/>
              </w:rPr>
              <w:t>12</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2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效益指标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经济效益指标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集体经济收入增加</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hint="eastAsia" w:ascii="等线" w:hAnsi="等线" w:eastAsia="等线" w:cs="等线"/>
                <w:i w:val="0"/>
                <w:color w:val="000000"/>
                <w:kern w:val="0"/>
                <w:sz w:val="18"/>
                <w:szCs w:val="18"/>
                <w:u w:val="none"/>
                <w:lang w:val="en-US" w:eastAsia="zh-CN" w:bidi="ar"/>
              </w:rPr>
              <w:t>5000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元/年</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等线" w:hAnsi="等线" w:eastAsia="等线" w:cs="等线"/>
                <w:i w:val="0"/>
                <w:color w:val="000000"/>
                <w:kern w:val="0"/>
                <w:sz w:val="18"/>
                <w:szCs w:val="18"/>
                <w:u w:val="none"/>
                <w:lang w:val="en-US" w:eastAsia="zh-CN" w:bidi="ar"/>
              </w:rPr>
              <w:t>5000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2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满意度指标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帮扶对象满意度指标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收益群众满意度</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hint="eastAsia" w:ascii="等线" w:hAnsi="等线" w:eastAsia="等线" w:cs="等线"/>
                <w:i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等线" w:hAnsi="等线" w:eastAsia="等线" w:cs="等线"/>
                <w:i w:val="0"/>
                <w:color w:val="000000"/>
                <w:kern w:val="0"/>
                <w:sz w:val="18"/>
                <w:szCs w:val="18"/>
                <w:u w:val="none"/>
                <w:lang w:val="en-US" w:eastAsia="zh-CN" w:bidi="ar"/>
              </w:rPr>
              <w:t>100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10</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pStyle w:val="8"/>
        <w:numPr>
          <w:ilvl w:val="0"/>
          <w:numId w:val="0"/>
        </w:numPr>
        <w:spacing w:line="360" w:lineRule="auto"/>
        <w:ind w:firstLine="640" w:firstLineChars="200"/>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该项目的建设是实现黑水县由传统农业向现代农业的转变；该项目的建设是黑水县实施西部大开发的具体行动；该项目的建设有利于加强环境保护工作、实现可持续发展；本项目的建设无论从政策方面，还是从黑水县目前的社会经济发展方面都是可行的，特别是对黑水县的长远发展有着深远的意义，因此本项目的实施十分必要。</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1.长效机制建立情况。项目实施单位是否已建立项目实施管理制度等。</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2.项目实施程序严密性。建设项目的招投标资料是否完整、真实，有无弄虚作假套取财政资金等问题。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4.信息的公开透明度。项目资金管理单位的公开公示情况。</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5.财务管理和会计核算规范性。财务核算是否符合《中华人民共和国会计法》《会计基础工作规范》等要求、是否符合基本建设财务管理和会计制度规定。</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6.项目实施单位绩效自评情况。项目实施单位是否严格按照预算绩效管理规定开展绩效自评。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textAlignment w:val="auto"/>
        <w:outlineLvl w:val="9"/>
        <w:rPr>
          <w:rFonts w:hint="default" w:cs="Times New Roman"/>
          <w:szCs w:val="32"/>
          <w:lang w:val="en-US" w:eastAsia="zh-CN"/>
        </w:rPr>
      </w:pPr>
      <w:r>
        <w:rPr>
          <w:rFonts w:hint="eastAsia" w:ascii="楷体_GB2312" w:hAnsi="宋体" w:eastAsia="楷体_GB2312"/>
          <w:b/>
          <w:color w:val="auto"/>
          <w:sz w:val="32"/>
          <w:szCs w:val="32"/>
          <w:highlight w:val="none"/>
          <w:u w:val="none"/>
          <w:lang w:val="zh-CN"/>
        </w:rPr>
        <w:t>（三）评价选点。</w:t>
      </w:r>
      <w:r>
        <w:rPr>
          <w:rFonts w:hint="eastAsia" w:cs="Times New Roman"/>
          <w:szCs w:val="32"/>
          <w:lang w:val="en-US" w:eastAsia="zh-CN"/>
        </w:rPr>
        <w:t>石古子村</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Times New Roman" w:hAnsi="Times New Roman" w:cs="Times New Roman"/>
          <w:szCs w:val="32"/>
          <w:lang w:val="zh-CN" w:eastAsia="zh-CN"/>
        </w:rPr>
      </w:pPr>
      <w:r>
        <w:rPr>
          <w:rFonts w:hint="eastAsia" w:ascii="Times New Roman" w:hAnsi="Times New Roman" w:cs="Times New Roman"/>
          <w:szCs w:val="32"/>
          <w:lang w:val="en-US" w:eastAsia="zh-CN"/>
        </w:rPr>
        <w:t>1.现场咨询。</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eastAsia="仿宋_GB2312" w:cs="Times New Roman"/>
          <w:szCs w:val="32"/>
          <w:lang w:eastAsia="zh-CN"/>
        </w:rPr>
      </w:pPr>
      <w:r>
        <w:rPr>
          <w:rFonts w:hint="eastAsia" w:ascii="Times New Roman" w:hAnsi="Times New Roman" w:cs="Times New Roman"/>
          <w:szCs w:val="32"/>
          <w:lang w:val="en-US" w:eastAsia="zh-CN"/>
        </w:rPr>
        <w:t>2.实施单位自评，形成完整自评资料。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Times New Roman"/>
          <w:bCs/>
          <w:lang w:eastAsia="zh-CN"/>
        </w:rPr>
      </w:pPr>
      <w:r>
        <w:rPr>
          <w:rFonts w:hint="eastAsia" w:ascii="楷体_GB2312" w:hAnsi="宋体" w:eastAsia="楷体_GB2312"/>
          <w:b/>
          <w:color w:val="auto"/>
          <w:sz w:val="32"/>
          <w:szCs w:val="32"/>
          <w:highlight w:val="none"/>
          <w:u w:val="none"/>
          <w:lang w:val="zh-CN"/>
        </w:rPr>
        <w:t>（五）评价组织。</w:t>
      </w:r>
      <w:r>
        <w:rPr>
          <w:rFonts w:hint="eastAsia" w:eastAsia="仿宋_GB2312" w:cs="Times New Roman"/>
          <w:szCs w:val="32"/>
        </w:rPr>
        <w:t>评价组人员由相关业务股室和项目单位代表组成，评价小组以检查账目、资料、电话核实等形式开展了现场评价。</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54</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54</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640" w:leftChars="200" w:firstLine="0" w:firstLineChars="0"/>
        <w:textAlignment w:val="auto"/>
        <w:outlineLvl w:val="9"/>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1.</w:t>
      </w:r>
      <w:r>
        <w:rPr>
          <w:rFonts w:hint="eastAsia" w:ascii="楷体_GB2312" w:hAnsi="楷体_GB2312" w:eastAsia="楷体_GB2312" w:cs="楷体_GB2312"/>
          <w:color w:val="auto"/>
          <w:szCs w:val="32"/>
          <w:lang w:eastAsia="zh-CN"/>
        </w:rPr>
        <w:t>项目决策。指标分值</w:t>
      </w:r>
      <w:r>
        <w:rPr>
          <w:rFonts w:hint="eastAsia" w:ascii="楷体_GB2312" w:hAnsi="楷体_GB2312" w:eastAsia="楷体_GB2312" w:cs="楷体_GB2312"/>
          <w:color w:val="auto"/>
          <w:szCs w:val="32"/>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cs="Times New Roman"/>
          <w:color w:val="auto"/>
          <w:szCs w:val="32"/>
          <w:lang w:val="en-US" w:eastAsia="zh-CN"/>
        </w:rPr>
      </w:pPr>
      <w:r>
        <w:rPr>
          <w:rFonts w:hint="eastAsia" w:ascii="Times New Roman" w:hAnsi="Times New Roman" w:cs="Times New Roman"/>
          <w:color w:val="auto"/>
          <w:szCs w:val="32"/>
          <w:lang w:eastAsia="zh-CN"/>
        </w:rPr>
        <w:t>决策程序</w:t>
      </w:r>
      <w:r>
        <w:rPr>
          <w:rFonts w:hint="eastAsia" w:cs="Times New Roman"/>
          <w:color w:val="auto"/>
          <w:szCs w:val="32"/>
          <w:lang w:eastAsia="zh-CN"/>
        </w:rPr>
        <w:t>：</w:t>
      </w:r>
      <w:r>
        <w:rPr>
          <w:rFonts w:hint="eastAsia" w:ascii="Times New Roman" w:hAnsi="Times New Roman" w:cs="Times New Roman"/>
          <w:color w:val="auto"/>
          <w:szCs w:val="32"/>
          <w:lang w:eastAsia="zh-CN"/>
        </w:rPr>
        <w:t>项目设立、调整延续等方面符合资金管理基本规范和决策程序要求</w:t>
      </w:r>
      <w:r>
        <w:rPr>
          <w:rFonts w:hint="eastAsia" w:cs="Times New Roman"/>
          <w:color w:val="auto"/>
          <w:szCs w:val="32"/>
          <w:lang w:eastAsia="zh-CN"/>
        </w:rPr>
        <w:t>。指标分值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cs="Times New Roman"/>
          <w:color w:val="auto"/>
          <w:szCs w:val="32"/>
          <w:lang w:val="en-US" w:eastAsia="zh-CN"/>
        </w:rPr>
      </w:pPr>
      <w:r>
        <w:rPr>
          <w:rFonts w:hint="eastAsia" w:ascii="Times New Roman" w:hAnsi="Times New Roman" w:cs="Times New Roman"/>
          <w:color w:val="auto"/>
          <w:szCs w:val="32"/>
          <w:lang w:eastAsia="zh-CN"/>
        </w:rPr>
        <w:t>规划论证</w:t>
      </w:r>
      <w:r>
        <w:rPr>
          <w:rFonts w:hint="eastAsia" w:cs="Times New Roman"/>
          <w:color w:val="auto"/>
          <w:szCs w:val="32"/>
          <w:lang w:eastAsia="zh-CN"/>
        </w:rPr>
        <w:t>：</w:t>
      </w:r>
      <w:r>
        <w:rPr>
          <w:rFonts w:hint="eastAsia" w:ascii="Times New Roman" w:hAnsi="Times New Roman" w:cs="Times New Roman"/>
          <w:color w:val="auto"/>
          <w:szCs w:val="32"/>
          <w:lang w:eastAsia="zh-CN"/>
        </w:rPr>
        <w:t>项目规划论证符合中省要求，项目绩效目标设置科学合理，项目资金与项目总体规划、相关行业事业发展相匹配，聚焦重大任务、重点领域、重点环节和重点项目</w:t>
      </w:r>
      <w:r>
        <w:rPr>
          <w:rFonts w:hint="eastAsia" w:cs="Times New Roman"/>
          <w:color w:val="auto"/>
          <w:szCs w:val="32"/>
          <w:lang w:eastAsia="zh-CN"/>
        </w:rPr>
        <w:t>。指标分值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资金投向</w:t>
      </w:r>
      <w:r>
        <w:rPr>
          <w:rFonts w:hint="eastAsia" w:cs="Times New Roman"/>
          <w:color w:val="auto"/>
          <w:szCs w:val="32"/>
          <w:lang w:eastAsia="zh-CN"/>
        </w:rPr>
        <w:t>：项目资金是与项目总体规划、相关行业事业发展相匹配，聚焦重大任务、重点领域、重点环节和重点项目。体现“集中财力办大事”原则，避免“撒胡椒面”。指标分值</w:t>
      </w:r>
      <w:r>
        <w:rPr>
          <w:rFonts w:hint="eastAsia" w:cs="Times New Roman"/>
          <w:color w:val="auto"/>
          <w:szCs w:val="32"/>
          <w:lang w:val="en-US" w:eastAsia="zh-CN"/>
        </w:rPr>
        <w:t>6分，自评得分6分。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2.</w:t>
      </w:r>
      <w:r>
        <w:rPr>
          <w:rFonts w:hint="eastAsia" w:ascii="楷体_GB2312" w:hAnsi="楷体_GB2312" w:eastAsia="楷体_GB2312" w:cs="楷体_GB2312"/>
          <w:color w:val="auto"/>
          <w:szCs w:val="32"/>
          <w:lang w:eastAsia="zh-CN"/>
        </w:rPr>
        <w:t>项目管理。指标分值</w:t>
      </w:r>
      <w:r>
        <w:rPr>
          <w:rFonts w:hint="eastAsia" w:ascii="楷体_GB2312" w:hAnsi="楷体_GB2312" w:eastAsia="楷体_GB2312" w:cs="楷体_GB2312"/>
          <w:color w:val="auto"/>
          <w:szCs w:val="32"/>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eastAsia="zh-CN"/>
        </w:rPr>
      </w:pPr>
      <w:r>
        <w:rPr>
          <w:rFonts w:hint="eastAsia" w:ascii="Times New Roman" w:hAnsi="Times New Roman" w:cs="Times New Roman"/>
          <w:color w:val="auto"/>
          <w:szCs w:val="32"/>
          <w:lang w:val="en-US" w:eastAsia="zh-CN"/>
        </w:rPr>
        <w:t>制度办法</w:t>
      </w:r>
      <w:r>
        <w:rPr>
          <w:rFonts w:hint="eastAsia" w:cs="Times New Roman"/>
          <w:color w:val="auto"/>
          <w:szCs w:val="32"/>
          <w:lang w:val="en-US" w:eastAsia="zh-CN"/>
        </w:rPr>
        <w:t>：</w:t>
      </w:r>
      <w:r>
        <w:rPr>
          <w:rFonts w:hint="eastAsia" w:ascii="Times New Roman" w:hAnsi="Times New Roman" w:cs="Times New Roman"/>
          <w:color w:val="auto"/>
          <w:szCs w:val="32"/>
          <w:lang w:val="en-US" w:eastAsia="zh-CN"/>
        </w:rPr>
        <w:t>项目制度办法体系健全、要素完备</w:t>
      </w:r>
      <w:r>
        <w:rPr>
          <w:rFonts w:hint="eastAsia" w:cs="Times New Roman"/>
          <w:color w:val="auto"/>
          <w:szCs w:val="32"/>
          <w:lang w:val="en-US" w:eastAsia="zh-CN"/>
        </w:rPr>
        <w:t>。资金管理办法等管理制度体系健全完善，不存在管理制度缺失、管理办法过期情况。</w:t>
      </w:r>
      <w:r>
        <w:rPr>
          <w:rFonts w:hint="eastAsia" w:cs="Times New Roman"/>
          <w:color w:val="auto"/>
          <w:szCs w:val="32"/>
          <w:lang w:eastAsia="zh-CN"/>
        </w:rPr>
        <w:t>指标分值</w:t>
      </w:r>
      <w:r>
        <w:rPr>
          <w:rFonts w:hint="eastAsia" w:cs="Times New Roman"/>
          <w:color w:val="auto"/>
          <w:szCs w:val="32"/>
          <w:lang w:val="en-US" w:eastAsia="zh-CN"/>
        </w:rPr>
        <w:t>2分，自评得分2分。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eastAsia="zh-CN"/>
        </w:rPr>
      </w:pPr>
      <w:r>
        <w:rPr>
          <w:rFonts w:hint="eastAsia" w:cs="Times New Roman"/>
          <w:color w:val="auto"/>
          <w:szCs w:val="32"/>
          <w:lang w:val="en-US" w:eastAsia="zh-CN"/>
        </w:rPr>
        <w:t>分配管理：</w:t>
      </w:r>
      <w:r>
        <w:rPr>
          <w:rFonts w:hint="eastAsia" w:ascii="Times New Roman" w:hAnsi="Times New Roman" w:cs="Times New Roman"/>
          <w:color w:val="auto"/>
          <w:szCs w:val="32"/>
          <w:lang w:val="en-US" w:eastAsia="zh-CN"/>
        </w:rPr>
        <w:t>项目资金分配因素选取、权重设置、区域分布，项目管理、审批符合管理要求，管资金、项目、政策管绩效，项目绩效监管按要求开展，对下指导有力有效。</w:t>
      </w:r>
      <w:r>
        <w:rPr>
          <w:rFonts w:hint="eastAsia" w:cs="Times New Roman"/>
          <w:color w:val="auto"/>
          <w:szCs w:val="32"/>
          <w:lang w:eastAsia="zh-CN"/>
        </w:rPr>
        <w:t>指标分值</w:t>
      </w:r>
      <w:r>
        <w:rPr>
          <w:rFonts w:hint="eastAsia" w:cs="Times New Roman"/>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lang w:eastAsia="zh-CN"/>
        </w:rPr>
        <w:t>绩效监管</w:t>
      </w:r>
      <w:r>
        <w:rPr>
          <w:rFonts w:hint="eastAsia" w:ascii="楷体_GB2312" w:hAnsi="楷体_GB2312" w:eastAsia="楷体_GB2312" w:cs="楷体_GB2312"/>
          <w:color w:val="auto"/>
          <w:szCs w:val="32"/>
          <w:lang w:val="en-US" w:eastAsia="zh-CN"/>
        </w:rPr>
        <w:t>:</w:t>
      </w:r>
      <w:r>
        <w:rPr>
          <w:rFonts w:hint="eastAsia" w:ascii="Times New Roman" w:hAnsi="Times New Roman" w:cs="Times New Roman"/>
          <w:color w:val="auto"/>
          <w:szCs w:val="32"/>
          <w:lang w:val="en-US" w:eastAsia="zh-CN"/>
        </w:rPr>
        <w:t>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w:t>
      </w:r>
      <w:r>
        <w:rPr>
          <w:rFonts w:hint="eastAsia" w:cs="Times New Roman"/>
          <w:color w:val="auto"/>
          <w:szCs w:val="32"/>
          <w:lang w:eastAsia="zh-CN"/>
        </w:rPr>
        <w:t>指标分值</w:t>
      </w:r>
      <w:r>
        <w:rPr>
          <w:rFonts w:hint="eastAsia" w:cs="Times New Roman"/>
          <w:color w:val="auto"/>
          <w:szCs w:val="32"/>
          <w:lang w:val="en-US" w:eastAsia="zh-CN"/>
        </w:rPr>
        <w:t>6分，自评得分6分。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3.项目实施。指标分值9分，自评得分9分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cs="Times New Roman"/>
          <w:color w:val="auto"/>
          <w:szCs w:val="32"/>
          <w:lang w:val="en-US" w:eastAsia="zh-CN"/>
        </w:rPr>
      </w:pPr>
      <w:r>
        <w:rPr>
          <w:rFonts w:hint="eastAsia" w:ascii="楷体_GB2312" w:hAnsi="楷体_GB2312" w:eastAsia="楷体_GB2312" w:cs="楷体_GB2312"/>
          <w:color w:val="auto"/>
          <w:szCs w:val="32"/>
          <w:lang w:val="en-US" w:eastAsia="zh-CN"/>
        </w:rPr>
        <w:t>预算执行:</w:t>
      </w:r>
      <w:r>
        <w:rPr>
          <w:rFonts w:hint="eastAsia" w:ascii="Times New Roman" w:hAnsi="Times New Roman" w:cs="Times New Roman"/>
          <w:color w:val="auto"/>
          <w:szCs w:val="32"/>
          <w:lang w:val="en-US" w:eastAsia="zh-CN"/>
        </w:rPr>
        <w:t>项目预算资金</w:t>
      </w:r>
      <w:r>
        <w:rPr>
          <w:rFonts w:hint="eastAsia" w:cs="Times New Roman"/>
          <w:color w:val="auto"/>
          <w:szCs w:val="32"/>
          <w:lang w:val="en-US" w:eastAsia="zh-CN"/>
        </w:rPr>
        <w:t>94.85</w:t>
      </w:r>
      <w:r>
        <w:rPr>
          <w:rFonts w:hint="eastAsia" w:ascii="Times New Roman" w:hAnsi="Times New Roman" w:cs="Times New Roman"/>
          <w:color w:val="auto"/>
          <w:szCs w:val="32"/>
          <w:lang w:val="en-US" w:eastAsia="zh-CN"/>
        </w:rPr>
        <w:t>万元，支付</w:t>
      </w:r>
      <w:r>
        <w:rPr>
          <w:rFonts w:hint="eastAsia" w:cs="Times New Roman"/>
          <w:color w:val="auto"/>
          <w:szCs w:val="32"/>
          <w:lang w:val="en-US" w:eastAsia="zh-CN"/>
        </w:rPr>
        <w:t>94.85</w:t>
      </w:r>
      <w:r>
        <w:rPr>
          <w:rFonts w:hint="eastAsia" w:ascii="Times New Roman" w:hAnsi="Times New Roman" w:cs="Times New Roman"/>
          <w:color w:val="auto"/>
          <w:szCs w:val="32"/>
          <w:lang w:val="en-US" w:eastAsia="zh-CN"/>
        </w:rPr>
        <w:t>万元。</w:t>
      </w:r>
      <w:r>
        <w:rPr>
          <w:rFonts w:hint="eastAsia" w:cs="Times New Roman"/>
          <w:color w:val="auto"/>
          <w:szCs w:val="32"/>
          <w:lang w:val="en-US" w:eastAsia="zh-CN"/>
        </w:rPr>
        <w:t>指</w:t>
      </w:r>
      <w:r>
        <w:rPr>
          <w:rFonts w:hint="eastAsia" w:cs="Times New Roman"/>
          <w:color w:val="auto"/>
          <w:szCs w:val="32"/>
          <w:lang w:eastAsia="zh-CN"/>
        </w:rPr>
        <w:t>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cs="Times New Roman"/>
          <w:color w:val="auto"/>
          <w:szCs w:val="32"/>
          <w:lang w:val="en-US" w:eastAsia="zh-CN"/>
        </w:rPr>
      </w:pPr>
      <w:r>
        <w:rPr>
          <w:rFonts w:hint="default" w:ascii="楷体_GB2312" w:hAnsi="楷体_GB2312" w:eastAsia="楷体_GB2312" w:cs="楷体_GB2312"/>
          <w:color w:val="auto"/>
          <w:szCs w:val="32"/>
          <w:lang w:val="en-US" w:eastAsia="zh-CN"/>
        </w:rPr>
        <w:t>资金使用</w:t>
      </w:r>
      <w:r>
        <w:rPr>
          <w:rFonts w:hint="eastAsia" w:ascii="楷体_GB2312" w:hAnsi="楷体_GB2312" w:eastAsia="楷体_GB2312" w:cs="楷体_GB2312"/>
          <w:color w:val="auto"/>
          <w:szCs w:val="32"/>
          <w:lang w:val="en-US" w:eastAsia="zh-CN"/>
        </w:rPr>
        <w:t>:项</w:t>
      </w:r>
      <w:r>
        <w:rPr>
          <w:rFonts w:hint="eastAsia" w:cs="Times New Roman"/>
          <w:color w:val="auto"/>
          <w:szCs w:val="32"/>
          <w:lang w:val="en-US" w:eastAsia="zh-CN"/>
        </w:rPr>
        <w:t>目资金使用、拨付符合国家财经法规、财务管理制度及有关专项资金管理制度办法规定和审批程序，不存在超范围、超标准、超进度使用专项资金，不存在资金损失浪费、长期沉淀、截留、挤占、挪用、虚列支出等情况。</w:t>
      </w:r>
      <w:r>
        <w:rPr>
          <w:rFonts w:hint="eastAsia" w:cs="Times New Roman"/>
          <w:color w:val="auto"/>
          <w:szCs w:val="32"/>
          <w:lang w:eastAsia="zh-CN"/>
        </w:rPr>
        <w:t>指标分值</w:t>
      </w:r>
      <w:r>
        <w:rPr>
          <w:rFonts w:hint="eastAsia" w:cs="Times New Roman"/>
          <w:color w:val="auto"/>
          <w:szCs w:val="32"/>
          <w:lang w:val="en-US" w:eastAsia="zh-CN"/>
        </w:rPr>
        <w:t>3分，自评得分3分。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4.项目结果。指标分值9分，自评得分9分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cs="Times New Roman"/>
          <w:color w:val="auto"/>
          <w:szCs w:val="32"/>
          <w:lang w:val="en-US" w:eastAsia="zh-CN"/>
        </w:rPr>
      </w:pPr>
      <w:r>
        <w:rPr>
          <w:rFonts w:hint="eastAsia" w:ascii="Times New Roman" w:hAnsi="Times New Roman" w:cs="Times New Roman"/>
          <w:color w:val="auto"/>
          <w:szCs w:val="32"/>
          <w:lang w:val="en-US" w:eastAsia="zh-CN"/>
        </w:rPr>
        <w:t>目标完成</w:t>
      </w:r>
      <w:r>
        <w:rPr>
          <w:rFonts w:hint="eastAsia" w:cs="Times New Roman"/>
          <w:color w:val="auto"/>
          <w:szCs w:val="32"/>
          <w:lang w:val="en-US" w:eastAsia="zh-CN"/>
        </w:rPr>
        <w:t>：</w:t>
      </w:r>
      <w:r>
        <w:rPr>
          <w:rFonts w:hint="eastAsia" w:ascii="Times New Roman" w:hAnsi="Times New Roman" w:cs="Times New Roman"/>
          <w:color w:val="auto"/>
          <w:szCs w:val="32"/>
          <w:lang w:val="en-US" w:eastAsia="zh-CN"/>
        </w:rPr>
        <w:t>资金项目内容与具体实施内容相符的、申报目标是合理可行。项目运行成本、管理效率、履职效能、社会效应、可持续发展能力和服务对象满意度等方面均取得良好成果，预算绩效实现全覆盖。</w:t>
      </w:r>
      <w:r>
        <w:rPr>
          <w:rFonts w:hint="eastAsia" w:cs="Times New Roman"/>
          <w:color w:val="auto"/>
          <w:szCs w:val="32"/>
          <w:lang w:val="en-US" w:eastAsia="zh-CN"/>
        </w:rPr>
        <w:t>截止2023年底完成项目资金拨付。指</w:t>
      </w:r>
      <w:r>
        <w:rPr>
          <w:rFonts w:hint="eastAsia" w:cs="Times New Roman"/>
          <w:color w:val="auto"/>
          <w:szCs w:val="32"/>
          <w:lang w:eastAsia="zh-CN"/>
        </w:rPr>
        <w:t>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cs="Times New Roman"/>
          <w:color w:val="auto"/>
          <w:szCs w:val="32"/>
          <w:lang w:val="en-US" w:eastAsia="zh-CN"/>
        </w:rPr>
      </w:pPr>
      <w:r>
        <w:rPr>
          <w:rFonts w:hint="eastAsia" w:cs="Times New Roman"/>
          <w:color w:val="auto"/>
          <w:szCs w:val="32"/>
          <w:lang w:val="en-US" w:eastAsia="zh-CN"/>
        </w:rPr>
        <w:t>完成时效：资金项目按照目标任务已于2023年底完成。</w:t>
      </w:r>
      <w:r>
        <w:rPr>
          <w:rFonts w:hint="eastAsia" w:cs="Times New Roman"/>
          <w:color w:val="auto"/>
          <w:szCs w:val="32"/>
          <w:lang w:eastAsia="zh-CN"/>
        </w:rPr>
        <w:t>指标分值</w:t>
      </w:r>
      <w:r>
        <w:rPr>
          <w:rFonts w:hint="eastAsia" w:cs="Times New Roman"/>
          <w:color w:val="auto"/>
          <w:szCs w:val="32"/>
          <w:lang w:val="en-US" w:eastAsia="zh-CN"/>
        </w:rPr>
        <w:t>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楷体_GB2312" w:hAnsi="楷体_GB2312" w:eastAsia="楷体_GB2312" w:cs="楷体_GB2312"/>
          <w:color w:val="auto"/>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30</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30</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cs="Times New Roman"/>
          <w:color w:val="auto"/>
          <w:szCs w:val="32"/>
          <w:lang w:val="en-US" w:eastAsia="zh-CN"/>
        </w:rPr>
      </w:pPr>
      <w:r>
        <w:rPr>
          <w:rFonts w:hint="eastAsia" w:ascii="Times New Roman" w:hAnsi="Times New Roman" w:cs="Times New Roman"/>
          <w:color w:val="auto"/>
          <w:szCs w:val="32"/>
          <w:lang w:val="en-US" w:eastAsia="zh-CN"/>
        </w:rPr>
        <w:t>项目验收</w:t>
      </w:r>
      <w:r>
        <w:rPr>
          <w:rFonts w:hint="eastAsia" w:cs="Times New Roman"/>
          <w:color w:val="auto"/>
          <w:szCs w:val="32"/>
          <w:lang w:val="en-US" w:eastAsia="zh-CN"/>
        </w:rPr>
        <w:t>：该项目已完成项目验收，出具项目验收报告。</w:t>
      </w:r>
      <w:r>
        <w:rPr>
          <w:rFonts w:hint="eastAsia" w:cs="Times New Roman"/>
          <w:color w:val="auto"/>
          <w:szCs w:val="32"/>
          <w:lang w:eastAsia="zh-CN"/>
        </w:rPr>
        <w:t>指标分值</w:t>
      </w:r>
      <w:r>
        <w:rPr>
          <w:rFonts w:hint="eastAsia" w:cs="Times New Roman"/>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cs="Times New Roman"/>
          <w:color w:val="auto"/>
          <w:szCs w:val="32"/>
          <w:lang w:val="zh-CN" w:eastAsia="zh-CN"/>
        </w:rPr>
      </w:pPr>
      <w:r>
        <w:rPr>
          <w:rFonts w:hint="eastAsia" w:ascii="Times New Roman" w:hAnsi="Times New Roman" w:cs="Times New Roman"/>
          <w:color w:val="auto"/>
          <w:szCs w:val="32"/>
          <w:lang w:val="en-US" w:eastAsia="zh-CN"/>
        </w:rPr>
        <w:t>项功能实现</w:t>
      </w:r>
      <w:r>
        <w:rPr>
          <w:rFonts w:hint="eastAsia" w:cs="Times New Roman"/>
          <w:color w:val="auto"/>
          <w:szCs w:val="32"/>
          <w:lang w:val="en-US" w:eastAsia="zh-CN"/>
        </w:rPr>
        <w:t>：</w:t>
      </w:r>
      <w:r>
        <w:rPr>
          <w:rFonts w:hint="eastAsia" w:ascii="Times New Roman" w:hAnsi="Times New Roman" w:cs="Times New Roman"/>
          <w:color w:val="auto"/>
          <w:szCs w:val="32"/>
          <w:lang w:val="en-US" w:eastAsia="zh-CN"/>
        </w:rPr>
        <w:t>目资金分配均衡公平，资金实际支持对象符合管理要求，符合支持对象范围，资金实际补贴标准符合资金管理办法规定的补助标准，及时按标准兑现，资金涉及服务对象满意度不低于90%，</w:t>
      </w:r>
      <w:r>
        <w:rPr>
          <w:rFonts w:hint="eastAsia" w:cs="Times New Roman"/>
          <w:color w:val="auto"/>
          <w:szCs w:val="32"/>
          <w:lang w:val="zh-CN" w:eastAsia="zh-CN"/>
        </w:rPr>
        <w:t>项目用途合规性、程序合规性、标准合规性。</w:t>
      </w:r>
      <w:r>
        <w:rPr>
          <w:rFonts w:hint="eastAsia" w:cs="Times New Roman"/>
          <w:color w:val="auto"/>
          <w:szCs w:val="32"/>
          <w:lang w:eastAsia="zh-CN"/>
        </w:rPr>
        <w:t>指标分值</w:t>
      </w:r>
      <w:r>
        <w:rPr>
          <w:rFonts w:hint="eastAsia" w:cs="Times New Roman"/>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default" w:cs="Times New Roman"/>
          <w:color w:val="auto"/>
          <w:szCs w:val="32"/>
          <w:lang w:val="en-US" w:eastAsia="zh-CN"/>
        </w:rPr>
      </w:pPr>
      <w:r>
        <w:rPr>
          <w:rFonts w:hint="eastAsia" w:cs="Times New Roman"/>
          <w:color w:val="auto"/>
          <w:szCs w:val="32"/>
          <w:lang w:val="en-US" w:eastAsia="zh-CN"/>
        </w:rPr>
        <w:t>后续管护:建立明确的责任制度，确保每个环节都有专人负责。通过宣传和教育活动提高公众对项目管护的认识和参与度,以提高管理效率和质量。确保项目的长期效益和持续运行，提高项目的整体价值和社会的整体福利。</w:t>
      </w:r>
      <w:r>
        <w:rPr>
          <w:rFonts w:hint="eastAsia" w:cs="Times New Roman"/>
          <w:color w:val="auto"/>
          <w:szCs w:val="32"/>
          <w:lang w:eastAsia="zh-CN"/>
        </w:rPr>
        <w:t>指标分值</w:t>
      </w:r>
      <w:r>
        <w:rPr>
          <w:rFonts w:hint="eastAsia" w:cs="Times New Roman"/>
          <w:color w:val="auto"/>
          <w:szCs w:val="32"/>
          <w:lang w:val="en-US" w:eastAsia="zh-CN"/>
        </w:rPr>
        <w:t>10分，自评得分10分。</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3" w:firstLineChars="20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16</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16</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我单位在规定内做好洛多乡石古子村集体经济建设项目牦牛</w:t>
      </w:r>
      <w:r>
        <w:rPr>
          <w:rFonts w:hint="eastAsia" w:cs="Times New Roman"/>
          <w:color w:val="auto"/>
          <w:szCs w:val="32"/>
          <w:lang w:val="en-US" w:eastAsia="zh-CN"/>
        </w:rPr>
        <w:t>采购项目</w:t>
      </w:r>
      <w:r>
        <w:rPr>
          <w:rFonts w:hint="eastAsia" w:ascii="Times New Roman" w:hAnsi="Times New Roman" w:cs="Times New Roman"/>
          <w:color w:val="auto"/>
          <w:szCs w:val="32"/>
          <w:lang w:val="en-US" w:eastAsia="zh-CN"/>
        </w:rPr>
        <w:t>个性化绩效评价指标具有特定的针对性，能够更好地反映其特定业务领域的表现，提高部门的整体绩效水平。</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水质达标率</w:t>
      </w:r>
      <w:r>
        <w:rPr>
          <w:rFonts w:hint="eastAsia" w:cs="Times New Roman"/>
          <w:color w:val="auto"/>
          <w:szCs w:val="32"/>
          <w:lang w:val="en-US" w:eastAsia="zh-CN"/>
        </w:rPr>
        <w:t>:通过项目实施,提高农村水质管理效率和质量。</w:t>
      </w:r>
      <w:r>
        <w:rPr>
          <w:rFonts w:hint="eastAsia" w:cs="Times New Roman"/>
          <w:color w:val="auto"/>
          <w:szCs w:val="32"/>
          <w:lang w:eastAsia="zh-CN"/>
        </w:rPr>
        <w:t>指标分值</w:t>
      </w:r>
      <w:r>
        <w:rPr>
          <w:rFonts w:hint="eastAsia" w:cs="Times New Roman"/>
          <w:color w:val="auto"/>
          <w:szCs w:val="32"/>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cs="Times New Roman"/>
          <w:color w:val="auto"/>
          <w:szCs w:val="32"/>
          <w:lang w:val="en-US" w:eastAsia="zh-CN"/>
        </w:rPr>
      </w:pPr>
      <w:r>
        <w:rPr>
          <w:rFonts w:hint="eastAsia" w:cs="Times New Roman"/>
          <w:color w:val="auto"/>
          <w:szCs w:val="32"/>
          <w:lang w:val="en-US" w:eastAsia="zh-CN"/>
        </w:rPr>
        <w:t>项目公示:按照公开要求，在门户网站中决算公开内容进行公示。</w:t>
      </w:r>
      <w:r>
        <w:rPr>
          <w:rFonts w:hint="eastAsia" w:cs="Times New Roman"/>
          <w:color w:val="auto"/>
          <w:szCs w:val="32"/>
          <w:lang w:eastAsia="zh-CN"/>
        </w:rPr>
        <w:t>指标分值</w:t>
      </w:r>
      <w:r>
        <w:rPr>
          <w:rFonts w:hint="eastAsia" w:cs="Times New Roman"/>
          <w:color w:val="auto"/>
          <w:szCs w:val="32"/>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lang w:val="en-US" w:eastAsia="zh-CN"/>
        </w:rPr>
      </w:pPr>
      <w:r>
        <w:rPr>
          <w:rFonts w:hint="default" w:cs="Times New Roman"/>
          <w:color w:val="auto"/>
          <w:szCs w:val="32"/>
          <w:lang w:val="en-US" w:eastAsia="zh-CN"/>
        </w:rPr>
        <w:t>项目作用期</w:t>
      </w:r>
      <w:r>
        <w:rPr>
          <w:rFonts w:hint="eastAsia" w:cs="Times New Roman"/>
          <w:color w:val="auto"/>
          <w:szCs w:val="32"/>
          <w:lang w:val="en-US" w:eastAsia="zh-CN"/>
        </w:rPr>
        <w:t>：通过项目实施，进一步提升安全饮水项目工作的力度。按照项目管理要求，保障项目使用年限。</w:t>
      </w:r>
      <w:r>
        <w:rPr>
          <w:rFonts w:hint="eastAsia" w:cs="Times New Roman"/>
          <w:color w:val="auto"/>
          <w:szCs w:val="32"/>
          <w:lang w:eastAsia="zh-CN"/>
        </w:rPr>
        <w:t>指标分值</w:t>
      </w:r>
      <w:r>
        <w:rPr>
          <w:rFonts w:hint="eastAsia" w:cs="Times New Roman"/>
          <w:color w:val="auto"/>
          <w:szCs w:val="32"/>
          <w:lang w:val="en-US" w:eastAsia="zh-CN"/>
        </w:rPr>
        <w:t>6分，自评得分6分。</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通过汇总、整理、分析洛多乡洛多乡石古子村集体经济建设项目牦牛采购项目绩效评价指标体系，绩效目标基本实现，自评得分为100分。</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bookmarkStart w:id="0" w:name="_Hlk110546638"/>
      <w:r>
        <w:rPr>
          <w:rFonts w:hint="eastAsia" w:ascii="仿宋_GB2312" w:hAnsi="仿宋_GB2312" w:cs="仿宋_GB2312"/>
          <w:b w:val="0"/>
          <w:bCs w:val="0"/>
          <w:kern w:val="0"/>
          <w:position w:val="0"/>
          <w:sz w:val="32"/>
          <w:szCs w:val="32"/>
          <w:highlight w:val="none"/>
          <w:lang w:val="en-US" w:eastAsia="zh-CN" w:bidi="ar-SA"/>
        </w:rPr>
        <w:t>无</w:t>
      </w:r>
    </w:p>
    <w:bookmarkEnd w:id="0"/>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附表：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eastAsia" w:cs="Times New Roman"/>
          <w:color w:val="000000"/>
          <w:kern w:val="0"/>
          <w:szCs w:val="32"/>
          <w:highlight w:val="none"/>
          <w:shd w:val="clear" w:color="auto" w:fill="FFFFFF"/>
          <w:lang w:val="en-US" w:eastAsia="zh-CN"/>
        </w:rPr>
        <w:t>1</w:t>
      </w:r>
      <w:r>
        <w:rPr>
          <w:rFonts w:hint="eastAsia" w:ascii="Times New Roman" w:hAnsi="Times New Roman" w:cs="Times New Roman"/>
          <w:color w:val="000000"/>
          <w:kern w:val="0"/>
          <w:szCs w:val="32"/>
          <w:highlight w:val="none"/>
          <w:shd w:val="clear" w:color="auto" w:fill="FFFFFF"/>
          <w:lang w:val="en-US" w:eastAsia="zh-CN"/>
        </w:rPr>
        <w:t>.专项预算项目绩效目标完成情况自评表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洛多乡石古子村集体经济建设项目牦牛采购项目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洛多乡人民政府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项目类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5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665"/>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购买牦牛26头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26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40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等线" w:hAnsi="等线" w:eastAsia="等线" w:cs="等线"/>
                <w:i w:val="0"/>
                <w:color w:val="000000"/>
                <w:kern w:val="0"/>
                <w:sz w:val="18"/>
                <w:szCs w:val="18"/>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采购时间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等线" w:hAnsi="等线" w:eastAsia="等线" w:cs="等线"/>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经济效益指标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集体经济收入增加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5000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元/年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30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等线" w:hAnsi="等线" w:eastAsia="等线" w:cs="等线"/>
                <w:i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帮扶对象满意度指标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收益群众满意度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等线" w:hAnsi="等线" w:eastAsia="等线" w:cs="等线"/>
                <w:i w:val="0"/>
                <w:color w:val="000000"/>
                <w:kern w:val="0"/>
                <w:sz w:val="18"/>
                <w:szCs w:val="18"/>
                <w:u w:val="none"/>
                <w:lang w:val="en-US" w:eastAsia="zh-CN" w:bidi="ar"/>
              </w:rPr>
              <w:t>100</w:t>
            </w:r>
          </w:p>
        </w:tc>
      </w:tr>
    </w:tbl>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bookmarkStart w:id="1" w:name="_GoBack"/>
      <w:bookmarkEnd w:id="1"/>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8871B7-F0F3-4963-8891-736AB91BD4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3E96047-1282-4C5C-9610-9BFA59F30817}"/>
  </w:font>
  <w:font w:name="楷体_GB2312">
    <w:panose1 w:val="02010609030101010101"/>
    <w:charset w:val="86"/>
    <w:family w:val="modern"/>
    <w:pitch w:val="default"/>
    <w:sig w:usb0="00000001" w:usb1="080E0000" w:usb2="00000000" w:usb3="00000000" w:csb0="00040000" w:csb1="00000000"/>
    <w:embedRegular r:id="rId3" w:fontKey="{E897D899-CCD9-40D8-941B-00DEC91E0D74}"/>
  </w:font>
  <w:font w:name="??">
    <w:altName w:val="Segoe Print"/>
    <w:panose1 w:val="00000000000000000000"/>
    <w:charset w:val="00"/>
    <w:family w:val="roman"/>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12" w:usb3="00000000" w:csb0="00040001" w:csb1="00000000"/>
    <w:embedRegular r:id="rId4" w:fontKey="{9AE6480A-CADD-47E2-9F70-CDF4F1B8184B}"/>
  </w:font>
  <w:font w:name="方正小标宋_GBK">
    <w:panose1 w:val="03000509000000000000"/>
    <w:charset w:val="86"/>
    <w:family w:val="auto"/>
    <w:pitch w:val="default"/>
    <w:sig w:usb0="00000001" w:usb1="080E0000" w:usb2="00000000" w:usb3="00000000" w:csb0="00040000" w:csb1="00000000"/>
    <w:embedRegular r:id="rId5" w:fontKey="{72C55F62-AAC7-48E0-87C1-EA307721C6F8}"/>
  </w:font>
  <w:font w:name="等线">
    <w:panose1 w:val="02010600030101010101"/>
    <w:charset w:val="86"/>
    <w:family w:val="auto"/>
    <w:pitch w:val="default"/>
    <w:sig w:usb0="A00002BF" w:usb1="38CF7CFA" w:usb2="00000016" w:usb3="00000000" w:csb0="0004000F" w:csb1="00000000"/>
    <w:embedRegular r:id="rId6" w:fontKey="{0BEBAFB3-EBF8-40EF-8171-C92CC7E7C5E9}"/>
  </w:font>
  <w:font w:name="微软雅黑">
    <w:panose1 w:val="020B0503020204020204"/>
    <w:charset w:val="86"/>
    <w:family w:val="auto"/>
    <w:pitch w:val="default"/>
    <w:sig w:usb0="80000287" w:usb1="2ACF3C50" w:usb2="00000016" w:usb3="00000000" w:csb0="0004001F" w:csb1="00000000"/>
    <w:embedRegular r:id="rId7" w:fontKey="{CF541E88-648E-487C-AB4C-0BF36206E056}"/>
  </w:font>
  <w:font w:name="Wingdings 2">
    <w:altName w:val="Wingdings"/>
    <w:panose1 w:val="05020102010507070707"/>
    <w:charset w:val="00"/>
    <w:family w:val="auto"/>
    <w:pitch w:val="default"/>
    <w:sig w:usb0="00000000" w:usb1="00000000" w:usb2="00000000" w:usb3="00000000" w:csb0="80000000" w:csb1="00000000"/>
    <w:embedRegular r:id="rId8" w:fontKey="{F53081DE-15BE-479D-A735-17FBF5FAFBC5}"/>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F1FE72"/>
    <w:multiLevelType w:val="singleLevel"/>
    <w:tmpl w:val="C0F1FE72"/>
    <w:lvl w:ilvl="0" w:tentative="0">
      <w:start w:val="2"/>
      <w:numFmt w:val="chineseCounting"/>
      <w:suff w:val="nothing"/>
      <w:lvlText w:val="（%1）"/>
      <w:lvlJc w:val="left"/>
      <w:rPr>
        <w:rFonts w:hint="eastAsia"/>
      </w:rPr>
    </w:lvl>
  </w:abstractNum>
  <w:abstractNum w:abstractNumId="1">
    <w:nsid w:val="026C8BD5"/>
    <w:multiLevelType w:val="singleLevel"/>
    <w:tmpl w:val="026C8BD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NjhjNDNiN2RjOWRkY2QxZGViYzI0NTBlYjA3NDAifQ=="/>
  </w:docVars>
  <w:rsids>
    <w:rsidRoot w:val="771D4D51"/>
    <w:rsid w:val="00CF3120"/>
    <w:rsid w:val="02421D02"/>
    <w:rsid w:val="02ED4929"/>
    <w:rsid w:val="06F127CA"/>
    <w:rsid w:val="09BB0D18"/>
    <w:rsid w:val="09E27849"/>
    <w:rsid w:val="0A2656D1"/>
    <w:rsid w:val="0B5F56D3"/>
    <w:rsid w:val="0B756745"/>
    <w:rsid w:val="0C260B50"/>
    <w:rsid w:val="0C59351C"/>
    <w:rsid w:val="0D66383B"/>
    <w:rsid w:val="0E3959B5"/>
    <w:rsid w:val="0FAC3208"/>
    <w:rsid w:val="11317B11"/>
    <w:rsid w:val="12FB2C35"/>
    <w:rsid w:val="13053004"/>
    <w:rsid w:val="132D72E0"/>
    <w:rsid w:val="13C02E9B"/>
    <w:rsid w:val="14C50C9C"/>
    <w:rsid w:val="14F0383F"/>
    <w:rsid w:val="15476E2E"/>
    <w:rsid w:val="162D642C"/>
    <w:rsid w:val="19B54FD6"/>
    <w:rsid w:val="1A743142"/>
    <w:rsid w:val="1AEA48DA"/>
    <w:rsid w:val="1C25106F"/>
    <w:rsid w:val="1CFD8DF6"/>
    <w:rsid w:val="1E0821D6"/>
    <w:rsid w:val="1E363CB5"/>
    <w:rsid w:val="1ECB04B0"/>
    <w:rsid w:val="1F02518A"/>
    <w:rsid w:val="1F461652"/>
    <w:rsid w:val="1FFF9AD9"/>
    <w:rsid w:val="20764B90"/>
    <w:rsid w:val="20B51BE8"/>
    <w:rsid w:val="20BC4845"/>
    <w:rsid w:val="22885DA6"/>
    <w:rsid w:val="22AD555F"/>
    <w:rsid w:val="23470DD3"/>
    <w:rsid w:val="25592FE8"/>
    <w:rsid w:val="25783BC2"/>
    <w:rsid w:val="26B836F3"/>
    <w:rsid w:val="26CF2DB3"/>
    <w:rsid w:val="27987D44"/>
    <w:rsid w:val="2AF86ED7"/>
    <w:rsid w:val="2AFDF212"/>
    <w:rsid w:val="2B317A55"/>
    <w:rsid w:val="2B385C88"/>
    <w:rsid w:val="2B6BF484"/>
    <w:rsid w:val="2C142370"/>
    <w:rsid w:val="2C4C6634"/>
    <w:rsid w:val="2CD77367"/>
    <w:rsid w:val="2D0363AE"/>
    <w:rsid w:val="2D2E0549"/>
    <w:rsid w:val="2D8F379E"/>
    <w:rsid w:val="2E9A0305"/>
    <w:rsid w:val="2EC35C05"/>
    <w:rsid w:val="2F6534D3"/>
    <w:rsid w:val="2FFF7DE7"/>
    <w:rsid w:val="307750E9"/>
    <w:rsid w:val="30B9249C"/>
    <w:rsid w:val="325112B7"/>
    <w:rsid w:val="32C47F3D"/>
    <w:rsid w:val="32FA0C59"/>
    <w:rsid w:val="33F748AD"/>
    <w:rsid w:val="34497927"/>
    <w:rsid w:val="34DD7669"/>
    <w:rsid w:val="357A2C41"/>
    <w:rsid w:val="35874596"/>
    <w:rsid w:val="35F2A362"/>
    <w:rsid w:val="363418C5"/>
    <w:rsid w:val="36EA2AC9"/>
    <w:rsid w:val="371A51D2"/>
    <w:rsid w:val="373BBD0C"/>
    <w:rsid w:val="38812BE2"/>
    <w:rsid w:val="38D32EB4"/>
    <w:rsid w:val="39BFEDBA"/>
    <w:rsid w:val="39DBABD8"/>
    <w:rsid w:val="3AED12ED"/>
    <w:rsid w:val="3AFF6A5D"/>
    <w:rsid w:val="3BDD34D2"/>
    <w:rsid w:val="3BDDFF97"/>
    <w:rsid w:val="3BFFD43B"/>
    <w:rsid w:val="3C7BD5C9"/>
    <w:rsid w:val="3DC2196D"/>
    <w:rsid w:val="3E4D594A"/>
    <w:rsid w:val="3F0C0B14"/>
    <w:rsid w:val="3FBC08C4"/>
    <w:rsid w:val="3FBF9251"/>
    <w:rsid w:val="3FED766E"/>
    <w:rsid w:val="3FF50DFE"/>
    <w:rsid w:val="3FFEEAD9"/>
    <w:rsid w:val="3FFFE931"/>
    <w:rsid w:val="40D678BD"/>
    <w:rsid w:val="41A01FC6"/>
    <w:rsid w:val="431E7EA8"/>
    <w:rsid w:val="434B6EF0"/>
    <w:rsid w:val="447B561E"/>
    <w:rsid w:val="457F07F2"/>
    <w:rsid w:val="459D126B"/>
    <w:rsid w:val="48337ECB"/>
    <w:rsid w:val="487E1A6D"/>
    <w:rsid w:val="49042270"/>
    <w:rsid w:val="49295900"/>
    <w:rsid w:val="49927773"/>
    <w:rsid w:val="4B4A03F0"/>
    <w:rsid w:val="4CC6FDBD"/>
    <w:rsid w:val="4CCC1EC1"/>
    <w:rsid w:val="4D904DD5"/>
    <w:rsid w:val="4E07F45D"/>
    <w:rsid w:val="4EF50A0C"/>
    <w:rsid w:val="4FF59AF5"/>
    <w:rsid w:val="503D00E8"/>
    <w:rsid w:val="52B4142D"/>
    <w:rsid w:val="54876471"/>
    <w:rsid w:val="54DF6509"/>
    <w:rsid w:val="552E03B1"/>
    <w:rsid w:val="55FE10A2"/>
    <w:rsid w:val="56823DB5"/>
    <w:rsid w:val="56EF6619"/>
    <w:rsid w:val="57396EB2"/>
    <w:rsid w:val="57AF1E73"/>
    <w:rsid w:val="57E94E70"/>
    <w:rsid w:val="599B767B"/>
    <w:rsid w:val="5A2D03FB"/>
    <w:rsid w:val="5A6B19B6"/>
    <w:rsid w:val="5AB21C33"/>
    <w:rsid w:val="5B778EC0"/>
    <w:rsid w:val="5BFD93EC"/>
    <w:rsid w:val="5CBA8FF2"/>
    <w:rsid w:val="5D2E62B6"/>
    <w:rsid w:val="5D5F7E21"/>
    <w:rsid w:val="5F5B35E4"/>
    <w:rsid w:val="609FA7B0"/>
    <w:rsid w:val="614F0C4D"/>
    <w:rsid w:val="63AD57AE"/>
    <w:rsid w:val="660022E7"/>
    <w:rsid w:val="66730236"/>
    <w:rsid w:val="66B00616"/>
    <w:rsid w:val="676C2A97"/>
    <w:rsid w:val="69FCE5E7"/>
    <w:rsid w:val="6A3F7D1E"/>
    <w:rsid w:val="6B95409A"/>
    <w:rsid w:val="6BCDA9CC"/>
    <w:rsid w:val="6BF32B6E"/>
    <w:rsid w:val="6C021003"/>
    <w:rsid w:val="6CDE55CC"/>
    <w:rsid w:val="6D8223FC"/>
    <w:rsid w:val="6D9F2765"/>
    <w:rsid w:val="6DB508E5"/>
    <w:rsid w:val="6DDFA6BD"/>
    <w:rsid w:val="6E2A27C9"/>
    <w:rsid w:val="6E767ACE"/>
    <w:rsid w:val="6E781687"/>
    <w:rsid w:val="6EEE3ED1"/>
    <w:rsid w:val="6EFFED40"/>
    <w:rsid w:val="6F1B2166"/>
    <w:rsid w:val="6F5FC1DE"/>
    <w:rsid w:val="6FB3E1FD"/>
    <w:rsid w:val="6FD768E4"/>
    <w:rsid w:val="6FF341F1"/>
    <w:rsid w:val="6FFEBD86"/>
    <w:rsid w:val="709D754D"/>
    <w:rsid w:val="714E7E00"/>
    <w:rsid w:val="718536A7"/>
    <w:rsid w:val="721858B5"/>
    <w:rsid w:val="722160CD"/>
    <w:rsid w:val="725B321B"/>
    <w:rsid w:val="73FF1F09"/>
    <w:rsid w:val="73FF684B"/>
    <w:rsid w:val="740A314B"/>
    <w:rsid w:val="74A708C5"/>
    <w:rsid w:val="76DFCB7D"/>
    <w:rsid w:val="771D4D51"/>
    <w:rsid w:val="7735A28E"/>
    <w:rsid w:val="77778F6D"/>
    <w:rsid w:val="77ABFD6B"/>
    <w:rsid w:val="77B7A121"/>
    <w:rsid w:val="77C748BA"/>
    <w:rsid w:val="77DD24F1"/>
    <w:rsid w:val="77F10335"/>
    <w:rsid w:val="77F7E860"/>
    <w:rsid w:val="77FB8D34"/>
    <w:rsid w:val="797D0128"/>
    <w:rsid w:val="79EDB415"/>
    <w:rsid w:val="7ABBCDAB"/>
    <w:rsid w:val="7ACE2E5F"/>
    <w:rsid w:val="7AFCAD25"/>
    <w:rsid w:val="7AFEB9B4"/>
    <w:rsid w:val="7B5E0C37"/>
    <w:rsid w:val="7B63F034"/>
    <w:rsid w:val="7B735637"/>
    <w:rsid w:val="7B7DE504"/>
    <w:rsid w:val="7BFEC4F8"/>
    <w:rsid w:val="7C3C40BE"/>
    <w:rsid w:val="7DA14F75"/>
    <w:rsid w:val="7DB57A61"/>
    <w:rsid w:val="7DC7DC1F"/>
    <w:rsid w:val="7DF95E12"/>
    <w:rsid w:val="7DFDF40F"/>
    <w:rsid w:val="7DFF9BC7"/>
    <w:rsid w:val="7EB645E3"/>
    <w:rsid w:val="7EB6B7AB"/>
    <w:rsid w:val="7EDEF702"/>
    <w:rsid w:val="7EFD6908"/>
    <w:rsid w:val="7EFF8787"/>
    <w:rsid w:val="7F1C270D"/>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E4DD88"/>
    <w:rsid w:val="BFF9117D"/>
    <w:rsid w:val="BFFF6947"/>
    <w:rsid w:val="C8FDA203"/>
    <w:rsid w:val="CEF79301"/>
    <w:rsid w:val="CEFBB93B"/>
    <w:rsid w:val="CF7C6158"/>
    <w:rsid w:val="CF9D4E98"/>
    <w:rsid w:val="CFBFEC5E"/>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99"/>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0"/>
    <w:pPr>
      <w:spacing w:after="120"/>
      <w:ind w:leftChars="200"/>
    </w:pPr>
    <w:rPr>
      <w:rFonts w:ascii="仿宋_GB2312"/>
      <w:szCs w:val="32"/>
    </w:rPr>
  </w:style>
  <w:style w:type="paragraph" w:styleId="5">
    <w:name w:val="footer"/>
    <w:basedOn w:val="1"/>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7">
    <w:name w:val="toc 1"/>
    <w:basedOn w:val="1"/>
    <w:next w:val="1"/>
    <w:qFormat/>
    <w:uiPriority w:val="0"/>
  </w:style>
  <w:style w:type="paragraph" w:styleId="8">
    <w:name w:val="table of figures"/>
    <w:basedOn w:val="1"/>
    <w:next w:val="1"/>
    <w:semiHidden/>
    <w:qFormat/>
    <w:uiPriority w:val="0"/>
    <w:pPr>
      <w:ind w:leftChars="200" w:hanging="200" w:hangingChars="200"/>
    </w:p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2126</Words>
  <Characters>2196</Characters>
  <Lines>0</Lines>
  <Paragraphs>0</Paragraphs>
  <TotalTime>0</TotalTime>
  <ScaleCrop>false</ScaleCrop>
  <LinksUpToDate>false</LinksUpToDate>
  <CharactersWithSpaces>2226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2020-07-12T08:13:00Z</dcterms:created>
  <dc:creator>Administrator</dc:creator>
  <cp:lastModifiedBy>Administrator</cp:lastModifiedBy>
  <cp:lastPrinted>2016-02-13T11:32:00Z</cp:lastPrinted>
  <dcterms:modified xsi:type="dcterms:W3CDTF">2024-08-19T04:09:01Z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FD65ACE9ECD42879F7879466AF52A2C4</vt:lpwstr>
  </property>
</Properties>
</file>