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/>
        <w:textAlignment w:val="auto"/>
        <w:rPr>
          <w:rFonts w:hint="eastAsia" w:ascii="黑体" w:eastAsia="黑体" w:cs="黑体"/>
          <w:highlight w:val="none"/>
          <w:lang w:val="en-US" w:eastAsia="zh-CN"/>
        </w:rPr>
      </w:pPr>
      <w:r>
        <w:rPr>
          <w:rFonts w:hint="eastAsia" w:ascii="黑体" w:eastAsia="黑体" w:cs="黑体"/>
          <w:highlight w:val="none"/>
        </w:rPr>
        <w:t>附件</w:t>
      </w:r>
      <w:r>
        <w:rPr>
          <w:rFonts w:hint="eastAsia" w:ascii="黑体" w:eastAsia="黑体" w:cs="黑体"/>
          <w:highlight w:val="none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黑水县洛多乡人民政府</w:t>
      </w:r>
    </w:p>
    <w:p>
      <w:pPr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洛多乡嘎茸村红毛五加皮种植基地加固提升项目</w:t>
      </w: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自评报告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/>
        <w:jc w:val="center"/>
        <w:textAlignment w:val="auto"/>
        <w:rPr>
          <w:rFonts w:ascii="宋体"/>
          <w:color w:val="auto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eastAsia="黑体"/>
          <w:highlight w:val="none"/>
          <w:lang w:val="zh-CN"/>
        </w:rPr>
      </w:pPr>
      <w:r>
        <w:rPr>
          <w:rFonts w:hint="eastAsia" w:ascii="黑体" w:eastAsia="黑体"/>
          <w:highlight w:val="none"/>
        </w:rPr>
        <w:t>一、</w:t>
      </w:r>
      <w:r>
        <w:rPr>
          <w:rFonts w:hint="eastAsia" w:ascii="黑体" w:eastAsia="黑体"/>
          <w:highlight w:val="none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（一）设立背景及基本情况。</w:t>
      </w:r>
    </w:p>
    <w:p>
      <w:pPr>
        <w:ind w:firstLine="64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为深入贯彻落实党的十九大和《中共中央、国务院关于实施乡村振兴战略的意见》（2018年中央1号文件）的精神，坚持把解决好“三农”问题作为全党工作重中之重，坚持农业农村优先发展，按照“产业兴旺、生态宜居、乡风文明、治理有效、生活富裕”的20字总要求，建立健全城乡融合发展体制机制和政策体系，加快推进农业农村现代化。乡村振兴战略是党在新时代建设现代化强国的重要战略构想，为近6亿中国农村人口擘画了宏伟而美好的蓝图。黑水县始终保持发展生态农业产业专注定力不动摇，围绕脱贫攻坚目标，以连片扶贫开发、生态效益农业发展为抓手，瞄准贫困村、贫困人口，加快推进连片贫困地区脱贫致富和乡村振兴步伐，提升贫困地区自我发展能力，发展农业优势主导产业，促进生态农业基地建设规模化、集约化、高效化，强力助推农民增收致富，实现产业扶贫、精准脱贫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2" w:firstLineChars="200"/>
        <w:textAlignment w:val="auto"/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实施目的及支持方向</w:t>
      </w:r>
      <w:r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"/>
        <w:spacing w:line="360" w:lineRule="auto"/>
        <w:ind w:left="640" w:firstLine="640" w:firstLineChars="200"/>
        <w:rPr>
          <w:rFonts w:hint="eastAsia" w:ascii="仿宋_GB2312" w:cs="仿宋_GB2312"/>
          <w:color w:val="000000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/>
        </w:rPr>
        <w:t>该项目的建设是实现黑水县由传统农业向现代农业的转变；该项目的建设是黑水县实施西部大开发的具体行动；该项目的建设有利于加强环境保护工作、实现可持续发展；本项目的建设无论从政策方面，还是从黑水县目前的社会经济发展方面都是可行的，特别是对黑水县的长远发展有着深远的意义，因此本项目的实施十分必要。本次农业园区田间作业道建设项目可提高农业生产作业效率，保障农产品的运输条件便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2" w:firstLineChars="200"/>
        <w:contextualSpacing/>
        <w:jc w:val="left"/>
        <w:textAlignment w:val="auto"/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预算安排及分配管理</w:t>
      </w:r>
      <w:r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highlight w:val="none"/>
          <w:lang w:val="en-US" w:eastAsia="zh-CN"/>
        </w:rPr>
        <w:t>2023年年初预算</w:t>
      </w:r>
      <w:r>
        <w:rPr>
          <w:rFonts w:hint="eastAsia" w:ascii="仿宋_GB2312" w:cs="仿宋_GB2312"/>
          <w:bCs/>
          <w:sz w:val="32"/>
          <w:szCs w:val="32"/>
          <w:highlight w:val="none"/>
          <w:lang w:val="en-US" w:eastAsia="zh-CN"/>
        </w:rPr>
        <w:t>0万元，调整后预算数</w:t>
      </w:r>
      <w:r>
        <w:rPr>
          <w:rFonts w:ascii="仿宋_GB2312" w:cs="仿宋_GB2312"/>
          <w:bCs/>
          <w:sz w:val="32"/>
          <w:szCs w:val="32"/>
          <w:highlight w:val="none"/>
          <w:lang w:val="en-US" w:eastAsia="zh-CN"/>
        </w:rPr>
        <w:t>21.01</w:t>
      </w:r>
      <w:r>
        <w:rPr>
          <w:rFonts w:hint="eastAsia" w:ascii="仿宋_GB2312" w:cs="仿宋_GB2312"/>
          <w:bCs/>
          <w:sz w:val="32"/>
          <w:szCs w:val="32"/>
          <w:highlight w:val="none"/>
          <w:lang w:val="en-US" w:eastAsia="zh-CN"/>
        </w:rPr>
        <w:t>万元，预算执行数</w:t>
      </w:r>
      <w:r>
        <w:rPr>
          <w:rFonts w:ascii="仿宋_GB2312" w:cs="仿宋_GB2312"/>
          <w:bCs/>
          <w:sz w:val="32"/>
          <w:szCs w:val="32"/>
          <w:highlight w:val="none"/>
          <w:lang w:val="en-US" w:eastAsia="zh-CN"/>
        </w:rPr>
        <w:t>21.01</w:t>
      </w:r>
      <w:r>
        <w:rPr>
          <w:rFonts w:hint="eastAsia" w:ascii="仿宋_GB2312" w:cs="仿宋_GB2312"/>
          <w:bCs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2" w:firstLineChars="200"/>
        <w:textAlignment w:val="auto"/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项目绩效目标设置。</w:t>
      </w:r>
    </w:p>
    <w:p>
      <w:pPr>
        <w:tabs>
          <w:tab w:val="left" w:pos="2805"/>
        </w:tabs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主要建设内容包含：1、遮荫棚11座，面积5778㎡；2、遮荫棚土地平整约6000㎡（业主自建）；3、30m³蓄水池1口；4、生根池1口；5、闸阀井8口，配套闸阀共计14套（闸阀井由业主自建）；6、输水主管350m(De200 1.0Mpa)；7、温室维修240m</w:t>
      </w:r>
      <w:r>
        <w:rPr>
          <w:rFonts w:hint="eastAsia" w:asci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vertAlign w:val="baseline"/>
          <w:lang w:val="en-US" w:eastAsia="zh-CN"/>
        </w:rPr>
        <w:t>；8、苗木购买及种植；9、微喷头1mm-1500*1800mm购安（）由业主自建）；10、其他附属设施工程。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asci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tbl>
      <w:tblPr>
        <w:tblStyle w:val="12"/>
        <w:tblW w:w="8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834"/>
        <w:gridCol w:w="1329"/>
        <w:gridCol w:w="2071"/>
        <w:gridCol w:w="711"/>
        <w:gridCol w:w="587"/>
        <w:gridCol w:w="711"/>
        <w:gridCol w:w="587"/>
        <w:gridCol w:w="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绩效指标（90分）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一级指标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二级指标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三级指标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指标性质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指标值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度量单位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完成值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产出指标</w:t>
            </w:r>
          </w:p>
        </w:tc>
        <w:tc>
          <w:tcPr>
            <w:tcW w:w="13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数量指标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涉及村个数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＝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个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微软雅黑" w:eastAsia="微软雅黑" w:cs="Arial"/>
                <w:b w:val="0"/>
                <w:i/>
                <w:color w:val="000000"/>
                <w:sz w:val="16"/>
                <w:lang w:eastAsia="zh-CN"/>
              </w:rPr>
            </w:pPr>
            <w:r>
              <w:rPr>
                <w:rFonts w:hint="eastAsia" w:ascii="微软雅黑" w:eastAsia="微软雅黑" w:cs="Arial"/>
                <w:b w:val="0"/>
                <w:i/>
                <w:color w:val="000000"/>
                <w:sz w:val="16"/>
                <w:lang w:val="en-US" w:eastAsia="zh-CN"/>
              </w:rPr>
              <w:t>1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hint="eastAsia" w:ascii="宋体" w:eastAsia="宋体" w:cs="Arial"/>
                <w:color w:val="000000"/>
                <w:sz w:val="18"/>
                <w:lang w:val="en-US" w:eastAsia="zh-CN"/>
              </w:rPr>
              <w:t>遮荫棚11座，面积5778㎡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≥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5778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平方米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 w:val="0"/>
                <w:i/>
                <w:color w:val="000000"/>
                <w:sz w:val="16"/>
              </w:rPr>
            </w:pPr>
            <w:r>
              <w:rPr>
                <w:rFonts w:ascii="微软雅黑" w:eastAsia="微软雅黑" w:cs="Arial"/>
                <w:b w:val="0"/>
                <w:i/>
                <w:color w:val="000000"/>
                <w:sz w:val="16"/>
              </w:rPr>
              <w:t>5778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质量指标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项目合格率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＝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100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%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 w:val="0"/>
                <w:i/>
                <w:color w:val="000000"/>
                <w:sz w:val="16"/>
              </w:rPr>
            </w:pPr>
            <w:r>
              <w:rPr>
                <w:rFonts w:ascii="微软雅黑" w:eastAsia="微软雅黑" w:cs="Arial"/>
                <w:b w:val="0"/>
                <w:i/>
                <w:color w:val="000000"/>
                <w:sz w:val="16"/>
              </w:rPr>
              <w:t>100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时效指标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完工时间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≤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11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月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 w:val="0"/>
                <w:i/>
                <w:color w:val="000000"/>
                <w:sz w:val="16"/>
              </w:rPr>
            </w:pPr>
            <w:r>
              <w:rPr>
                <w:rFonts w:ascii="微软雅黑" w:eastAsia="微软雅黑" w:cs="Arial"/>
                <w:b w:val="0"/>
                <w:i/>
                <w:color w:val="000000"/>
                <w:sz w:val="16"/>
              </w:rPr>
              <w:t>11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效益指标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社会效益指标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提高各村基础设施建设履职积极性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定性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</w:rPr>
            </w:pP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良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满意度指标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服务对象满意度指标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群众满意度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≥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90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%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90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成本指标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经济成本指标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工程总金额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=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21.01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万元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21.01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eastAsia="宋体" w:cs="Arial"/>
                <w:color w:val="000000"/>
                <w:sz w:val="18"/>
              </w:rPr>
              <w:t>10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bidi w:val="0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黑体" w:eastAsia="黑体"/>
          <w:highlight w:val="none"/>
          <w:lang w:eastAsia="zh-CN"/>
        </w:rPr>
      </w:pPr>
      <w:r>
        <w:rPr>
          <w:rFonts w:hint="eastAsia" w:ascii="黑体" w:eastAsia="黑体"/>
          <w:highlight w:val="none"/>
        </w:rPr>
        <w:t>二、</w:t>
      </w:r>
      <w:r>
        <w:rPr>
          <w:rFonts w:hint="eastAsia" w:ascii="黑体" w:eastAsia="黑体"/>
          <w:highlight w:val="none"/>
          <w:lang w:eastAsia="zh-CN"/>
        </w:rPr>
        <w:t>评价实施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eastAsia="仿宋_GB2312" w:cs="Times New Roman"/>
          <w:szCs w:val="32"/>
        </w:rPr>
        <w:t>通过绩效评价，及时发现项目实施中存在的薄弱环节，总结推广好的经验和做法，进一步规范项目管理。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2" w:firstLineChars="200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  <w:lang w:val="zh-CN"/>
        </w:rPr>
        <w:t>预设问题及评价重点。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1.长效机制建立情况。项目实施单位是否已建立项目实施管理制度等。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2.项目实施程序严密性。建设项目的招投标资料是否完整、真实，有无弄虚作假套取财政资金等问题。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3.资金拨付和使用的合规性。是否按国库集中支付规定办理资金拨付手续；是否不按时拨付，造成滞留资金积压；资金是否专款专用，是否随意变更项目内容及地点；是否遵守《现金管理暂行条例》规定；是否有挤古、挪用、截留等违纪违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4.信息的公开透明度。项目资金管理单位的公开公示情况。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5.财务管理和会计核算规范性。财务核算是否符合《中华人民共和国会计法》《会计基础工作规范》等要求、是否符合基本建设财务管理和会计制度规定。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6.项目实施单位绩效自评情况。项目实施单位是否严格按照预算绩效管理规定开展绩效自评。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0" w:leftChars="200"/>
        <w:textAlignment w:val="auto"/>
        <w:outlineLvl w:val="9"/>
        <w:rPr>
          <w:rFonts w:hint="eastAsia" w:cs="Times New Roman"/>
          <w:szCs w:val="32"/>
          <w:lang w:val="zh-CN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  <w:lang w:val="zh-CN"/>
        </w:rPr>
        <w:t>（三）评价选点。</w:t>
      </w:r>
      <w:r>
        <w:rPr>
          <w:rFonts w:hint="eastAsia" w:cs="Times New Roman"/>
          <w:szCs w:val="32"/>
          <w:lang w:val="zh-CN" w:eastAsia="zh-CN"/>
        </w:rPr>
        <w:t>全乡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2" w:firstLineChars="200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  <w:lang w:val="zh-CN"/>
        </w:rPr>
        <w:t>（四）评价方法。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textAlignment w:val="auto"/>
        <w:outlineLvl w:val="9"/>
        <w:rPr>
          <w:rFonts w:hint="eastAsia" w:ascii="Times New Roman" w:hAnsi="Times New Roman" w:cs="Times New Roman"/>
          <w:szCs w:val="32"/>
          <w:lang w:val="zh-CN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1.现场咨询。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2.实施单位自评，形成完整自评资料。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bCs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  <w:lang w:val="zh-CN"/>
        </w:rPr>
        <w:t>（五）评价组织。</w:t>
      </w:r>
      <w:r>
        <w:rPr>
          <w:rFonts w:hint="eastAsia" w:eastAsia="仿宋_GB2312" w:cs="Times New Roman"/>
          <w:szCs w:val="32"/>
        </w:rPr>
        <w:t>评价组人员由相关业务股室和项目单位代表组成，评价小组以检查账目、资料、电话核实等形式开展了现场评价。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>三、</w:t>
      </w:r>
      <w:r>
        <w:rPr>
          <w:rFonts w:hint="eastAsia" w:ascii="黑体" w:eastAsia="黑体"/>
          <w:color w:val="auto"/>
          <w:sz w:val="32"/>
          <w:szCs w:val="32"/>
          <w:highlight w:val="none"/>
          <w:u w:val="none"/>
          <w:lang w:eastAsia="zh-CN"/>
        </w:rPr>
        <w:t>绩效分析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（一）</w:t>
      </w:r>
      <w:r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通用指标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 w:firstLine="0"/>
        <w:textAlignment w:val="auto"/>
        <w:outlineLvl w:val="9"/>
        <w:rPr>
          <w:rFonts w:hint="eastAsia" w:asci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szCs w:val="32"/>
          <w:lang w:val="en-US" w:eastAsia="zh-CN"/>
        </w:rPr>
        <w:t>1.</w:t>
      </w:r>
      <w:r>
        <w:rPr>
          <w:rFonts w:hint="eastAsia" w:ascii="楷体_GB2312" w:eastAsia="楷体_GB2312" w:cs="楷体_GB2312"/>
          <w:color w:val="auto"/>
          <w:szCs w:val="32"/>
          <w:lang w:eastAsia="zh-CN"/>
        </w:rPr>
        <w:t>项目决策。指标分值</w:t>
      </w:r>
      <w:r>
        <w:rPr>
          <w:rFonts w:hint="eastAsia" w:asci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决策程序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项目设立、调整延续等方面符合资金管理基本规范和决策程序要求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规划论证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项目规划论证符合中省要求，项目绩效目标设置科学合理，项目资金与项目总体规划、相关行业事业发展相匹配，聚焦重大任务、重点领域、重点环节和重点项目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资金投向</w:t>
      </w:r>
      <w:r>
        <w:rPr>
          <w:rFonts w:hint="eastAsia" w:cs="Times New Roman"/>
          <w:color w:val="auto"/>
          <w:szCs w:val="32"/>
          <w:lang w:eastAsia="zh-CN"/>
        </w:rPr>
        <w:t>：项目资金是与项目总体规划、相关行业事业发展相匹配，聚焦重大任务、重点领域、重点环节和重点项目。体现“集中财力办大事”原则，避免“撒胡椒面”。指标分值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hint="eastAsia" w:asci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szCs w:val="32"/>
          <w:lang w:val="en-US" w:eastAsia="zh-CN"/>
        </w:rPr>
        <w:t>2.</w:t>
      </w:r>
      <w:r>
        <w:rPr>
          <w:rFonts w:hint="eastAsia" w:ascii="楷体_GB2312" w:eastAsia="楷体_GB2312" w:cs="楷体_GB2312"/>
          <w:color w:val="auto"/>
          <w:szCs w:val="32"/>
          <w:lang w:eastAsia="zh-CN"/>
        </w:rPr>
        <w:t>项目管理。指标分值</w:t>
      </w:r>
      <w:r>
        <w:rPr>
          <w:rFonts w:hint="eastAsia" w:asci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制度办法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项目制度办法体系健全、要素完备</w:t>
      </w:r>
      <w:r>
        <w:rPr>
          <w:rFonts w:hint="eastAsia" w:cs="Times New Roman"/>
          <w:color w:val="auto"/>
          <w:szCs w:val="32"/>
          <w:lang w:val="en-US" w:eastAsia="zh-CN"/>
        </w:rPr>
        <w:t>。资金管理办法等管理制度体系健全完善，不存在管理制度缺失、管理办法过期情况。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分配管理：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项目资金分配因素选取、权重设置、区域分布，项目管理、审批符合管理要求，管资金、项目、政策管绩效，项目绩效监管按要求开展，对下指导有力有效。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eastAsia="楷体_GB2312" w:cs="楷体_GB2312"/>
          <w:color w:val="auto"/>
          <w:szCs w:val="32"/>
          <w:lang w:eastAsia="zh-CN"/>
        </w:rPr>
        <w:t>绩效监管</w:t>
      </w:r>
      <w:r>
        <w:rPr>
          <w:rFonts w:hint="eastAsia" w:ascii="楷体_GB2312" w:eastAsia="楷体_GB2312" w:cs="楷体_GB2312"/>
          <w:color w:val="auto"/>
          <w:szCs w:val="32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明确要求“事前评估”、“事中监控”、“事后评价”，层层把控，对相关人员进行绩效业务培训，使人人“懂理念、会分析”。并严抓项目决策是否科学的“牛鼻子”，力求项目决策科学。让项目“目标科学、全面”才能“拎得清”，“跟踪及时、严格”才能“管得准”，避免偏离轨道造成的损耗成本、影响质量、效率低下。“花钱必问效，无效必问责”，该局将绩效理念融入预算编制、执行、监督全过程，抓好项目效益是否提升的“落脚点”，发挥绩效评价导向作用，通过奖优惩劣，确保被评价单位把每一笔钱都用在刀刃上、紧要处，力求项目效益提升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hint="eastAsia" w:asci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szCs w:val="32"/>
          <w:lang w:val="en-US" w:eastAsia="zh-CN"/>
        </w:rPr>
        <w:t>3.项目实施。指标分值9分，自评得分</w:t>
      </w:r>
      <w:r>
        <w:rPr>
          <w:rFonts w:ascii="楷体_GB2312" w:eastAsia="楷体_GB2312" w:cs="楷体_GB2312"/>
          <w:color w:val="auto"/>
          <w:szCs w:val="32"/>
          <w:lang w:val="en-US" w:eastAsia="zh-CN"/>
        </w:rPr>
        <w:t>8</w:t>
      </w:r>
      <w:r>
        <w:rPr>
          <w:rFonts w:hint="eastAsia" w:ascii="楷体_GB2312" w:eastAsia="楷体_GB2312" w:cs="楷体_GB2312"/>
          <w:color w:val="auto"/>
          <w:szCs w:val="32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预算执行: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项目预算资金</w:t>
      </w:r>
      <w:r>
        <w:rPr>
          <w:rFonts w:ascii="Times New Roman" w:hAnsi="Times New Roman" w:cs="Times New Roman"/>
          <w:color w:val="auto"/>
          <w:szCs w:val="32"/>
          <w:lang w:val="en-US" w:eastAsia="zh-CN"/>
        </w:rPr>
        <w:t>21.01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万元，支付</w:t>
      </w:r>
      <w:r>
        <w:rPr>
          <w:rFonts w:ascii="Times New Roman" w:hAnsi="Times New Roman" w:cs="Times New Roman"/>
          <w:color w:val="auto"/>
          <w:szCs w:val="32"/>
          <w:lang w:val="en-US" w:eastAsia="zh-CN"/>
        </w:rPr>
        <w:t>21.01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万元。</w:t>
      </w:r>
      <w:r>
        <w:rPr>
          <w:rFonts w:hint="eastAsia" w:cs="Times New Roman"/>
          <w:color w:val="auto"/>
          <w:szCs w:val="32"/>
          <w:lang w:val="en-US" w:eastAsia="zh-CN"/>
        </w:rPr>
        <w:t>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ascii="楷体_GB2312" w:eastAsia="楷体_GB2312" w:cs="楷体_GB2312"/>
          <w:color w:val="auto"/>
          <w:szCs w:val="32"/>
          <w:lang w:val="en-US" w:eastAsia="zh-CN"/>
        </w:rPr>
        <w:t>资金使用</w:t>
      </w:r>
      <w:r>
        <w:rPr>
          <w:rFonts w:hint="eastAsia" w:ascii="楷体_GB2312" w:eastAsia="楷体_GB2312" w:cs="楷体_GB2312"/>
          <w:color w:val="auto"/>
          <w:szCs w:val="32"/>
          <w:lang w:val="en-US" w:eastAsia="zh-CN"/>
        </w:rPr>
        <w:t>:项</w:t>
      </w:r>
      <w:r>
        <w:rPr>
          <w:rFonts w:hint="eastAsia" w:cs="Times New Roman"/>
          <w:color w:val="auto"/>
          <w:szCs w:val="32"/>
          <w:lang w:val="en-US" w:eastAsia="zh-CN"/>
        </w:rPr>
        <w:t>目资金使用、拨付符合国家财经法规、财务管理制度及有关专项资金管理制度办法规定和审批程序，不存在超范围、超标准、超进度使用专项资金，不存在资金损失浪费、长期沉淀、截留、挤占、挪用、虚列支出等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hint="eastAsia" w:asci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szCs w:val="32"/>
          <w:lang w:val="en-US" w:eastAsia="zh-CN"/>
        </w:rPr>
        <w:t>4.项目结果。指标分值9分，自评得分9分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目标完成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资金项目内容与具体实施内容相符的、申报目标是合理可行。项目运行成本、管理效率、履职效能、社会效应、可持续发展能力和服务对象满意度等方面均取得良好成果，预算绩效实现全覆盖。</w:t>
      </w:r>
      <w:r>
        <w:rPr>
          <w:rFonts w:hint="eastAsia" w:cs="Times New Roman"/>
          <w:color w:val="auto"/>
          <w:szCs w:val="32"/>
          <w:lang w:val="en-US" w:eastAsia="zh-CN"/>
        </w:rPr>
        <w:t>截止2023年底完成项目资金拨付。指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完成时效：资金项目按照目标任务已于2023年底完成。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eastAsia" w:ascii="楷体_GB2312" w:eastAsia="楷体_GB2312" w:cs="楷体_GB2312"/>
          <w:color w:val="auto"/>
          <w:szCs w:val="32"/>
          <w:lang w:val="zh-CN" w:eastAsia="zh-CN"/>
        </w:rPr>
      </w:pPr>
      <w:r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（二）</w:t>
      </w:r>
      <w:r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专用指标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项目验收</w:t>
      </w:r>
      <w:r>
        <w:rPr>
          <w:rFonts w:hint="eastAsia" w:cs="Times New Roman"/>
          <w:color w:val="auto"/>
          <w:szCs w:val="32"/>
          <w:lang w:val="en-US" w:eastAsia="zh-CN"/>
        </w:rPr>
        <w:t>：该项目已完成项目验收，出具项目验收报告。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</w:t>
      </w:r>
      <w:r>
        <w:rPr>
          <w:rFonts w:hint="eastAsia" w:cs="Times New Roman"/>
          <w:color w:val="auto"/>
          <w:szCs w:val="32"/>
          <w:lang w:val="en-US" w:eastAsia="zh-CN"/>
        </w:rPr>
        <w:t>目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功能实现</w:t>
      </w:r>
      <w:r>
        <w:rPr>
          <w:rFonts w:hint="eastAsia" w:cs="Times New Roman"/>
          <w:color w:val="auto"/>
          <w:szCs w:val="32"/>
          <w:lang w:val="en-US" w:eastAsia="zh-CN"/>
        </w:rPr>
        <w:t>：项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目资金分配均衡公平，资金实际支持对象符合管理要求，符合支持对象范围，资金实际补贴标准符合资金管理办法规定的补助标准，及时按标准兑现，资金涉及服务对象满意度不低于90%，</w:t>
      </w:r>
      <w:r>
        <w:rPr>
          <w:rFonts w:hint="eastAsia" w:cs="Times New Roman"/>
          <w:color w:val="auto"/>
          <w:szCs w:val="32"/>
          <w:lang w:val="zh-CN" w:eastAsia="zh-CN"/>
        </w:rPr>
        <w:t>项目用途合规性、程序合规性、标准合规性。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后续管护:建立明确的责任制度，确保每个环节都有专人负责。通过宣传和教育活动提高公众对项目管护的认识和参与度,以提高管理效率和质量。确保项目的长期效益和持续运行，提高项目的整体价值和社会的整体福利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2" w:firstLineChars="200"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个性指标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我单位在规定内做好</w:t>
      </w:r>
      <w:r>
        <w:rPr>
          <w:rFonts w:hint="eastAsia" w:cs="宋体"/>
          <w:lang w:eastAsia="zh-CN" w:bidi="ar-SA"/>
        </w:rPr>
        <w:t>洛</w:t>
      </w:r>
      <w:r>
        <w:rPr>
          <w:rFonts w:hint="eastAsia"/>
          <w:lang w:bidi="ar-SA"/>
        </w:rPr>
        <w:t>多乡嘎茸村红毛五加皮种植基地加固提升项目</w:t>
      </w:r>
      <w:r>
        <w:rPr>
          <w:rFonts w:hint="eastAsia" w:cs="Times New Roman"/>
          <w:color w:val="auto"/>
          <w:szCs w:val="32"/>
          <w:lang w:val="en-US" w:eastAsia="zh-CN"/>
        </w:rPr>
        <w:t>经费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个性化绩效评价指标具有特定的针对性，能够更好地反映其特定业务领域的表现，可以增强</w:t>
      </w:r>
      <w:r>
        <w:rPr>
          <w:rFonts w:hint="eastAsia" w:cs="Times New Roman"/>
          <w:color w:val="auto"/>
          <w:szCs w:val="32"/>
          <w:lang w:val="en-US" w:eastAsia="zh-CN"/>
        </w:rPr>
        <w:t>各村乡村振兴建设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。提高部门的整体绩效水平。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提升产业发展能力</w:t>
      </w:r>
      <w:r>
        <w:rPr>
          <w:rFonts w:hint="eastAsia" w:cs="Times New Roman"/>
          <w:color w:val="auto"/>
          <w:szCs w:val="32"/>
          <w:lang w:val="en-US" w:eastAsia="zh-CN"/>
        </w:rPr>
        <w:t>:通过工作开展，进</w:t>
      </w:r>
      <w:bookmarkStart w:id="1" w:name="_GoBack"/>
      <w:bookmarkEnd w:id="1"/>
      <w:r>
        <w:rPr>
          <w:rFonts w:hint="eastAsia" w:cs="Times New Roman"/>
          <w:color w:val="auto"/>
          <w:szCs w:val="32"/>
          <w:lang w:val="en-US" w:eastAsia="zh-CN"/>
        </w:rPr>
        <w:t>一步提升各村产业发展，增强村民积极性和参与度,以提高村两委管理效率和质量。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项目公示:按照公开要求，在三务公开中进行公示。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cs="Times New Roman"/>
          <w:color w:val="auto"/>
          <w:szCs w:val="32"/>
          <w:lang w:val="en-US" w:eastAsia="zh-CN"/>
        </w:rPr>
        <w:t>增加村民收入</w:t>
      </w:r>
      <w:r>
        <w:rPr>
          <w:rFonts w:hint="eastAsia" w:cs="Times New Roman"/>
          <w:color w:val="auto"/>
          <w:szCs w:val="32"/>
          <w:lang w:val="en-US" w:eastAsia="zh-CN"/>
        </w:rPr>
        <w:t>：通过项目实施，进一步提升村民收入。推进各村建设，以及体现人民性、维护人民利益等方面。推动各村高质量发展。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>、评价结论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通过汇总、整理、分析</w:t>
      </w: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lang w:val="en-US" w:eastAsia="zh-CN" w:bidi="ar-SA"/>
        </w:rPr>
        <w:t>洛多乡</w:t>
      </w:r>
      <w:r>
        <w:rPr>
          <w:rFonts w:hint="eastAsia" w:ascii="仿宋_GB2312" w:eastAsia="仿宋_GB2312" w:cs="仿宋_GB2312"/>
          <w:position w:val="0"/>
          <w:sz w:val="32"/>
          <w:szCs w:val="32"/>
        </w:rPr>
        <w:t>嘎茸村红毛五加皮种植基地加固提升项目经费</w:t>
      </w: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绩效评价指标体系，绩效目标基本实现，自评得分为</w:t>
      </w:r>
      <w:r>
        <w:rPr>
          <w:rFonts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99</w:t>
      </w: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分。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黑体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cs="Times New Roman"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ascii="黑体" w:eastAsia="黑体" w:cs="Times New Roman"/>
          <w:color w:val="auto"/>
          <w:sz w:val="32"/>
          <w:szCs w:val="32"/>
          <w:highlight w:val="none"/>
          <w:u w:val="none"/>
          <w:lang w:eastAsia="zh-CN"/>
        </w:rPr>
        <w:t>存在主要问题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黑体" w:cs="黑体"/>
          <w:b w:val="0"/>
          <w:bCs w:val="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黑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黑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  <w:t>六、改进建议</w:t>
      </w:r>
    </w:p>
    <w:p>
      <w:pPr>
        <w:tabs>
          <w:tab w:val="left" w:pos="1911"/>
        </w:tabs>
        <w:jc w:val="left"/>
        <w:rPr>
          <w:rFonts w:hint="eastAsia" w:asci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 xml:space="preserve"> </w:t>
      </w:r>
      <w:r>
        <w:rPr>
          <w:rFonts w:hint="eastAsia" w:asci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   </w:t>
      </w:r>
      <w:bookmarkStart w:id="0" w:name="_Hlk110546638"/>
      <w:r>
        <w:rPr>
          <w:rFonts w:hint="eastAsia" w:asci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78" w:lineRule="exact"/>
        <w:ind w:left="0" w:firstLine="640" w:firstLineChars="20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附表：专项预算项目绩效目标完成情况自评表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br w:type="page"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 w:firstLine="0" w:firstLineChars="0"/>
        <w:rPr>
          <w:rFonts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  <w:t>附表2</w:t>
      </w:r>
    </w:p>
    <w:tbl>
      <w:tblPr>
        <w:tblStyle w:val="12"/>
        <w:tblW w:w="10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81"/>
        <w:gridCol w:w="1250"/>
        <w:gridCol w:w="1312"/>
        <w:gridCol w:w="1127"/>
        <w:gridCol w:w="971"/>
        <w:gridCol w:w="1061"/>
        <w:gridCol w:w="938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专项预算项目绩效目标完成情况自评表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  <w:t>洛多乡嘎茸村红毛五加皮种植基地加固提升项目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预算单位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洛多乡人民政府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 概况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中长期规划（名称、文号，仅指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常年项目）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资金管理办法（名称、文号）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绩效分配方式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£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因素法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£项目法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£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据实据效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£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因素法与项目法相结合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立项依据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使用范围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申报（补助）条件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项目起止年限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年度资金总额：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其中：财政拨款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21.01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其他资金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right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总体 目标</w:t>
            </w: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绩效 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二级指标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权重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惠及贫困村个数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Arial"/>
                <w:b w:val="0"/>
                <w:i/>
                <w:color w:val="000000"/>
                <w:sz w:val="16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五个村捐赠资金为288255.33元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8625.83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项目完工率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保障群众生产生活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Arial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rPr>
          <w:rFonts w:ascii="黑体" w:eastAsia="黑体" w:cs="黑体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313" cy="26476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29.3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FESLHYAAAAAwEAAA8AAAAAAAAAAQAgAAAAOAAAAGRycy9k&#10;b3ducmV2LnhtbFBLAQIUABQAAAAIAIdO4kBWf0/y7AEAAK4DAAAOAAAAAAAAAAEAIAAAAD0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1FE72"/>
    <w:multiLevelType w:val="singleLevel"/>
    <w:tmpl w:val="C0F1FE72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026C8BD5"/>
    <w:multiLevelType w:val="singleLevel"/>
    <w:tmpl w:val="026C8BD5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WQzNjhjNDNiN2RjOWRkY2QxZGViYzI0NTBlYjA3NDAifQ=="/>
  </w:docVars>
  <w:rsids>
    <w:rsidRoot w:val="00000000"/>
    <w:rsid w:val="6D84713E"/>
    <w:rsid w:val="7EE5F871"/>
    <w:rsid w:val="BF33A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6">
    <w:name w:val="Body Text"/>
    <w:basedOn w:val="1"/>
    <w:qFormat/>
    <w:uiPriority w:val="0"/>
    <w:pPr>
      <w:widowControl/>
      <w:tabs>
        <w:tab w:val="left" w:pos="2160"/>
      </w:tabs>
      <w:spacing w:line="480" w:lineRule="auto"/>
      <w:jc w:val="left"/>
    </w:pPr>
    <w:rPr>
      <w:rFonts w:ascii="楷体_GB2312" w:hAnsi="楷体_GB2312" w:eastAsia="黑体"/>
      <w:kern w:val="0"/>
      <w:position w:val="3"/>
      <w:sz w:val="20"/>
      <w:szCs w:val="20"/>
    </w:r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First Indent 2"/>
    <w:basedOn w:val="7"/>
    <w:qFormat/>
    <w:uiPriority w:val="0"/>
    <w:pPr>
      <w:ind w:firstLine="200" w:firstLineChars="200"/>
    </w:pPr>
  </w:style>
  <w:style w:type="paragraph" w:customStyle="1" w:styleId="14">
    <w:name w:val="标题 5（有编号）（绿盟科技）"/>
    <w:next w:val="1"/>
    <w:qFormat/>
    <w:uiPriority w:val="0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3614</Words>
  <Characters>3786</Characters>
  <Lines>348</Lines>
  <Paragraphs>204</Paragraphs>
  <TotalTime>3</TotalTime>
  <ScaleCrop>false</ScaleCrop>
  <LinksUpToDate>false</LinksUpToDate>
  <CharactersWithSpaces>3817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2020-07-12T16:13:00Z</dcterms:created>
  <dc:creator>Administrator</dc:creator>
  <cp:lastModifiedBy>WPS_1511431328</cp:lastModifiedBy>
  <cp:lastPrinted>2016-02-13T19:32:00Z</cp:lastPrinted>
  <dcterms:modified xsi:type="dcterms:W3CDTF">2024-11-18T17:00:36Z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FD65ACE9ECD42879F7879466AF52A2C4</vt:lpwstr>
  </property>
</Properties>
</file>