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</w:rPr>
        <w:t>附件</w:t>
      </w:r>
      <w:r>
        <w:rPr>
          <w:rFonts w:hint="eastAsia" w:ascii="黑体" w:hAnsi="黑体" w:eastAsia="黑体" w:cs="黑体"/>
          <w:highlight w:val="none"/>
          <w:lang w:val="en-US" w:eastAsia="zh-CN"/>
        </w:rPr>
        <w:t>5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洛多乡干部周转房建设占用房屋征收费专项预算项目绩效评价报告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highlight w:val="none"/>
          <w:lang w:val="zh-CN"/>
        </w:rPr>
      </w:pPr>
      <w:r>
        <w:rPr>
          <w:rFonts w:hint="eastAsia" w:ascii="黑体" w:hAnsi="宋体" w:eastAsia="黑体"/>
          <w:highlight w:val="none"/>
        </w:rPr>
        <w:t>一、</w:t>
      </w:r>
      <w:r>
        <w:rPr>
          <w:rFonts w:hint="eastAsia" w:ascii="黑体" w:hAnsi="宋体" w:eastAsia="黑体"/>
          <w:highlight w:val="none"/>
          <w:lang w:val="zh-CN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outlineLvl w:val="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ind w:firstLine="640" w:firstLineChars="200"/>
        <w:rPr>
          <w:rFonts w:hint="eastAsia" w:ascii="仿宋_GB2312" w:eastAsia="仿宋"/>
          <w:sz w:val="32"/>
          <w:szCs w:val="32"/>
          <w:lang w:eastAsia="zh-CN"/>
        </w:rPr>
      </w:pPr>
      <w:r>
        <w:rPr>
          <w:rFonts w:hint="eastAsia"/>
        </w:rPr>
        <w:t>随着基层干部队伍规模扩大和工作强度提升，洛多乡现有办公及生活用房已无法满足干部日常工作和生活需求，住房紧张、配套设施陈旧等问题突出。为落实乡村振兴战略中关于保障基层干部工作生活条件的政策要求，切实改善干部居住环境，提升基层工作效能，我乡决定启动干部周转房建设项目。项目建设需对规划范围内的房屋及附属物进行征收，为工程顺利推进奠定基础。本次项目重点对洛多乡若苏古村村民古古基1户房屋及附属物进行征收，征收面积82.72平方米，用于干部周转房建设用地。征收完成后，将启动周转房建设，规划建设集住宿、办公、生活配套于一体的综合性用房，解决基层干部住房难题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根据房屋征收测量结果（面积82.72平方米），按照石木房屋500元/平方米的补偿标准，原预算征拆赔偿费用为41360元。经与被征收户协商，最终确定补贴资金总额为40000元，纳入乡级财政专项预算。资金分配遵循“公平合理、协商一致”原则，以房屋实际测量面积和政府核定补偿标准为基础，同时综合考虑被征收户家庭情况、房屋使用年限及市场同类补偿标准，通过协商达成一致，确保补偿方案既符合政策要求，又兼顾群众利益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。</w:t>
      </w:r>
    </w:p>
    <w:p>
      <w:pPr>
        <w:adjustRightInd w:val="0"/>
        <w:snapToGrid w:val="0"/>
        <w:spacing w:line="520" w:lineRule="exact"/>
        <w:ind w:firstLine="640" w:firstLineChars="20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年初预算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0.00万元，调整后预算数4.00万元，预算执行数4.00万元。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项目绩效目标设置。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黑水县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洛多乡干部周转房建设占用房屋征收费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  <w:t>与具体实施内容相符的、申报目标是合理可行。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tbl>
      <w:tblPr>
        <w:tblStyle w:val="8"/>
        <w:tblW w:w="8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237"/>
        <w:gridCol w:w="1095"/>
        <w:gridCol w:w="2625"/>
        <w:gridCol w:w="720"/>
        <w:gridCol w:w="689"/>
        <w:gridCol w:w="601"/>
        <w:gridCol w:w="525"/>
        <w:gridCol w:w="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2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9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赔偿涉及金额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赔偿涉及户数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赔偿涉及面积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82.72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82.72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赔偿款拨付率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保障干部职工周转房项目按时完工率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2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赔偿对象满意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5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14" w:type="dxa"/>
            <w:gridSpan w:val="8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5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sz w:val="32"/>
          <w:szCs w:val="32"/>
          <w:highlight w:val="none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outlineLvl w:val="9"/>
        <w:rPr>
          <w:rFonts w:hint="eastAsia" w:ascii="黑体" w:hAnsi="宋体" w:eastAsia="黑体"/>
          <w:highlight w:val="none"/>
          <w:lang w:eastAsia="zh-CN"/>
        </w:rPr>
      </w:pPr>
      <w:r>
        <w:rPr>
          <w:rFonts w:hint="eastAsia" w:ascii="黑体" w:hAnsi="宋体" w:eastAsia="黑体"/>
          <w:highlight w:val="none"/>
        </w:rPr>
        <w:t>二、</w:t>
      </w:r>
      <w:r>
        <w:rPr>
          <w:rFonts w:hint="eastAsia" w:ascii="黑体" w:hAnsi="宋体" w:eastAsia="黑体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eastAsia="仿宋_GB2312" w:cs="Times New Roman"/>
          <w:szCs w:val="32"/>
        </w:rPr>
        <w:t>通过绩效评价，及时发现项目实施中存在的薄弱环节，总结推广好的经验和做法，进一步规范项目管理。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</w:t>
      </w:r>
      <w:r>
        <w:rPr>
          <w:rFonts w:hint="eastAsia" w:cs="Times New Roman"/>
          <w:szCs w:val="32"/>
          <w:lang w:val="zh-CN"/>
        </w:rPr>
        <w:t>占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szCs w:val="32"/>
          <w:lang w:val="zh-CN"/>
        </w:rPr>
        <w:t>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Chars="20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洛多乡若苏古村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（四）评价方法。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szCs w:val="32"/>
          <w:lang w:val="zh-CN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1.现场咨询。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eastAsia="仿宋_GB2312" w:cs="Times New Roman"/>
          <w:szCs w:val="32"/>
          <w:lang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2.实施单位自评，形成完整自评资料。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eastAsia="仿宋_GB2312" w:cs="Times New Roman"/>
          <w:bCs/>
          <w:lang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  <w:r>
        <w:rPr>
          <w:rFonts w:hint="eastAsia" w:eastAsia="仿宋_GB2312" w:cs="Times New Roman"/>
          <w:szCs w:val="32"/>
        </w:rPr>
        <w:t>评价组人员由相关业务股室和项目单位代表组成，评价小组以检查账目、资料、电话核实等形式开展了现场评价。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项目设立、调整延续等方面符合资金管理基本规范和决策程序要求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项目规划论证符合</w:t>
      </w:r>
      <w:r>
        <w:rPr>
          <w:rFonts w:hint="eastAsia" w:cs="Times New Roman"/>
          <w:color w:val="auto"/>
          <w:szCs w:val="32"/>
          <w:lang w:eastAsia="zh-CN"/>
        </w:rPr>
        <w:t>中央、省委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要求，项目绩效目标设置科学合理，项目资金与项目总体规划、相关行业事业发展相匹配，聚焦重大任务、重点领域、重点环节和重点项目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：项目资金是与项目总体规划、相关行业事业发展相匹配，聚焦重大任务、重点领域、重点环节和重点项目。体现集中力量办大事原则，避免“撒胡椒面”。指标分值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制度办法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项目制度办法体系健全、要素完备</w:t>
      </w:r>
      <w:r>
        <w:rPr>
          <w:rFonts w:hint="eastAsia" w:cs="Times New Roman"/>
          <w:color w:val="auto"/>
          <w:szCs w:val="32"/>
          <w:lang w:val="en-US" w:eastAsia="zh-CN"/>
        </w:rPr>
        <w:t>。资金管理办法等管理制度体系健全完善，不存在管理制度缺失、管理办法过期情况。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分配管理：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项目资金分配因素选取、权重设置、区域分布，项目管理、审批符合管理要求，管资金、项目、政策管绩效，项目绩效监管按要求开展，对下指导有力有效。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绩效监管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3.项目实施。指标分值9分，自评得分8分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预算执行:项目预算资金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42.06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万元，支付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42.06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万元。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Cs w:val="32"/>
          <w:lang w:val="en-US" w:eastAsia="zh-CN"/>
        </w:rPr>
        <w:t>资金使用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:项</w:t>
      </w:r>
      <w:r>
        <w:rPr>
          <w:rFonts w:hint="eastAsia" w:cs="Times New Roman"/>
          <w:color w:val="auto"/>
          <w:szCs w:val="32"/>
          <w:lang w:val="en-US" w:eastAsia="zh-CN"/>
        </w:rPr>
        <w:t>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目标完成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资金项目内容与具体实施内容相符的、申报目标是合理可行。项目运行成本、管理效率、履职效能、社会效应、可持续发展能力和服务对象满意度等方面均取得良好成果，预算绩效实现全覆盖。</w:t>
      </w:r>
      <w:r>
        <w:rPr>
          <w:rFonts w:hint="eastAsia" w:cs="Times New Roman"/>
          <w:color w:val="auto"/>
          <w:szCs w:val="32"/>
          <w:lang w:val="en-US" w:eastAsia="zh-CN"/>
        </w:rPr>
        <w:t>截止2024年底完成项目资金拨付。指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完成时效：资金项目按照目标任务已于2024年底完成。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项目验收</w:t>
      </w:r>
      <w:r>
        <w:rPr>
          <w:rFonts w:hint="eastAsia" w:cs="Times New Roman"/>
          <w:color w:val="auto"/>
          <w:szCs w:val="32"/>
          <w:lang w:val="en-US" w:eastAsia="zh-CN"/>
        </w:rPr>
        <w:t>：该项目已完成项目验收，出具项目验收报告。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项功能实现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目资金分配均衡公平，资金实际支持对象符合管理要求，符合支持对象范围，资金实际补贴标准符合资金管理办法规定的补助标准，及时按标准兑现，资金涉及服务对象满意度不低于90%，</w:t>
      </w:r>
      <w:r>
        <w:rPr>
          <w:rFonts w:hint="eastAsia" w:cs="Times New Roman"/>
          <w:color w:val="auto"/>
          <w:szCs w:val="32"/>
          <w:lang w:val="zh-CN" w:eastAsia="zh-CN"/>
        </w:rPr>
        <w:t>项目用途合规性、程序合规性、标准合规性。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后续管护:建立明确的责任制度，确保每个环节都有专人负责。通过宣传和教育活动提高公众对项目管护的认识和参与度,以提高管理效率和质量。确保项目的长期效益和持续运行，提高项目的整体价值和社会的整体福利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我单位在规定内做好</w:t>
      </w:r>
      <w:r>
        <w:rPr>
          <w:rFonts w:hint="eastAsia" w:cs="Times New Roman"/>
          <w:color w:val="auto"/>
          <w:szCs w:val="32"/>
          <w:lang w:val="en-US" w:eastAsia="zh-CN"/>
        </w:rPr>
        <w:t>村级公共运行维护费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个性化绩效评价指标具有特定的针对性，能够更好地反映其特定业务领域的表现，可以增强</w:t>
      </w:r>
      <w:r>
        <w:rPr>
          <w:rFonts w:hint="eastAsia" w:cs="Times New Roman"/>
          <w:color w:val="auto"/>
          <w:szCs w:val="32"/>
          <w:lang w:val="en-US" w:eastAsia="zh-CN"/>
        </w:rPr>
        <w:t>村干部工作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的积极性和工作热情。提高部门的整体绩效水平。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严格按照相关标准进行赔偿</w:t>
      </w:r>
      <w:r>
        <w:rPr>
          <w:rFonts w:hint="eastAsia" w:cs="Times New Roman"/>
          <w:color w:val="auto"/>
          <w:szCs w:val="32"/>
          <w:lang w:val="en-US" w:eastAsia="zh-CN"/>
        </w:rPr>
        <w:t>：按照县委、县政府的征占赔偿标准，与若苏古村村民古古基进行协商，按照石木房屋500元/平方米的标准，测量结果为长9.4米，宽8.8米，面积82.72平方米，需征拆赔偿费用41360.00元，与农户协商后确定补贴资金共计40000.00元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8分，自评得分8分。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群众满意度：工作过程中，群众对此项工作的满意程度。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8分，自评得分8分。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通过汇总、整理、分析村级公共运行维护费项目绩效评价指标体系，绩效目标基本实现，自评得分为100分。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黑体" w:cs="黑体"/>
          <w:b w:val="0"/>
          <w:bCs w:val="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tabs>
          <w:tab w:val="left" w:pos="1911"/>
        </w:tabs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 xml:space="preserve">   </w:t>
      </w:r>
      <w:bookmarkStart w:id="0" w:name="_Hlk110546638"/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附表：1.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预算绩效自评打分表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2.专项预算绩效自评实地踏勘点位清单表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专项预算项目绩效目标完成情况自评表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预算绩效自评打分表</w:t>
      </w:r>
    </w:p>
    <w:tbl>
      <w:tblPr>
        <w:tblStyle w:val="8"/>
        <w:tblW w:w="109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65"/>
        <w:gridCol w:w="825"/>
        <w:gridCol w:w="1656"/>
        <w:gridCol w:w="720"/>
        <w:gridCol w:w="5015"/>
        <w:gridCol w:w="732"/>
        <w:gridCol w:w="4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686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绩效评价指标</w:t>
            </w:r>
          </w:p>
        </w:tc>
        <w:tc>
          <w:tcPr>
            <w:tcW w:w="5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（54分）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项目决策程序是否严密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规划论证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项目规划论证是否符合中央、省委要求，项目绩效目标设置是否科学合理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资金投向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项目资金是否与项目总体规划、相关行业事业发展相匹配，是否聚焦重大任务、重点领域、重点环节和重点项目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制度办法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项目制度办法是否体系健全、要素完备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分配管理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项目资金分配因素选取、权重设置、区域分布，项目管理、审批是否符合管理要求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绩效监管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预算执行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项目资金财政拨付、单位执行和地方配套到位情况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资金使用拨付、项目实施是否符合规定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项目结果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项目是否完成预期目标，实施结果是否与绩效目标相匹配，反映目标实现程度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完成时效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项目实际完成时间与计划完成时间的比较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产业发展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项目实施是否与省委省政府支持重点、产业支持政策符合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项目实施对相关企业（机构）成长性的促进作用，主要反映支持对象创新创造创业能力情况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项目实施对相关企业（机构）主营业务收入、净利润、税收、产量等方面增长情况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民生保障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区域均衡性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项目资金分配体现的均衡公平情况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对象精准性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资金实际支持对象是否符合管理要求，是否符合支持对象范围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标准合理性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资金实际补贴标准是否符合资金管理办法规定的补助标准，是否及时按标准兑现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资金涉及相关受益群体、支持对象的满意度调查访谈情况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工程进度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资金拨付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建成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项目验收是否及时合格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功能实现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项目经济社会功能是否实现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后续管护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项目后续维护是否实现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行政运转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是否按规定用途、适用范围进行本地区专项资金分配</w:t>
            </w:r>
          </w:p>
        </w:tc>
        <w:tc>
          <w:tcPr>
            <w:tcW w:w="7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程序合规性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资金管理程序是否符合专项资金管理要求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标准合规性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资金分配标准是否符合专项资金管理要求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个性指标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（16分）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严格按照相关标准进行赔偿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8</w:t>
            </w:r>
          </w:p>
        </w:tc>
        <w:tc>
          <w:tcPr>
            <w:tcW w:w="5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根据项目个性自行设定部分指标，反映该项指标执行完成情况。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8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Lines="0" w:afterLine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8</w:t>
            </w:r>
          </w:p>
        </w:tc>
        <w:tc>
          <w:tcPr>
            <w:tcW w:w="5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8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扣分项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部门配合度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5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专项预算绩效自评实地踏勘点位清单表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（例表）</w:t>
      </w:r>
    </w:p>
    <w:tbl>
      <w:tblPr>
        <w:tblStyle w:val="9"/>
        <w:tblW w:w="7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5956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实地踏勘点位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洛多乡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……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备注：项目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实地踏勘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点位包括市（州）本级、县（市、区）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本级及有关项目、单位、公司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</w:t>
      </w:r>
      <w:r>
        <w:rPr>
          <w:rFonts w:hint="eastAsia" w:asci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3</w:t>
      </w:r>
    </w:p>
    <w:tbl>
      <w:tblPr>
        <w:tblStyle w:val="8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3889"/>
        <w:gridCol w:w="848"/>
        <w:gridCol w:w="600"/>
        <w:gridCol w:w="600"/>
        <w:gridCol w:w="615"/>
        <w:gridCol w:w="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多乡干部周转房建设占用房屋征收费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洛多乡人民政府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8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项目类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2024年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66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33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  <w:p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32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此次征拆赔偿只涉及黑水县洛多乡若苏古村村民古古基1户，按照石木房屋500元/平方米的标准，测量结果为长9.4米，宽8.8米，面积82.72平方米，需征拆赔偿费用41360.00元，与农户协商后确定补贴资金共计40000.00元。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绩效指标（90分）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二级指标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三级指标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指标性质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指标值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度量单位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完成值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权重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效益指标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数量指标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时效指标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赔偿涉及金额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＝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万元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赔偿涉及户数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＝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户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赔偿涉及面积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＝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82.72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平方米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82.72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赔偿款拨付率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%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可持续发展指标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保障干部职工周转房项目按时完工率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%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满意度指标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服务对象满意度指标</w:t>
            </w:r>
          </w:p>
        </w:tc>
        <w:tc>
          <w:tcPr>
            <w:tcW w:w="3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赔偿对象满意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≥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%</w:t>
            </w:r>
          </w:p>
        </w:tc>
        <w:tc>
          <w:tcPr>
            <w:tcW w:w="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</w:tr>
    </w:tbl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FE72"/>
    <w:multiLevelType w:val="singleLevel"/>
    <w:tmpl w:val="C0F1FE7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26C8BD5"/>
    <w:multiLevelType w:val="singleLevel"/>
    <w:tmpl w:val="026C8BD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jhjNDNiN2RjOWRkY2QxZGViYzI0NTBlYjA3NDAifQ=="/>
  </w:docVars>
  <w:rsids>
    <w:rsidRoot w:val="00172A27"/>
    <w:rsid w:val="02ED4929"/>
    <w:rsid w:val="06F127CA"/>
    <w:rsid w:val="09BB0D18"/>
    <w:rsid w:val="09E27849"/>
    <w:rsid w:val="0A2656D1"/>
    <w:rsid w:val="0B5F56D3"/>
    <w:rsid w:val="0B756745"/>
    <w:rsid w:val="0C260B50"/>
    <w:rsid w:val="0C59351C"/>
    <w:rsid w:val="0C774B3A"/>
    <w:rsid w:val="0D66383B"/>
    <w:rsid w:val="0FAC3208"/>
    <w:rsid w:val="11317B11"/>
    <w:rsid w:val="12FB2C35"/>
    <w:rsid w:val="13C02E9B"/>
    <w:rsid w:val="14C50C9C"/>
    <w:rsid w:val="14F0383F"/>
    <w:rsid w:val="15476E2E"/>
    <w:rsid w:val="162D642C"/>
    <w:rsid w:val="165348F8"/>
    <w:rsid w:val="19B54FD6"/>
    <w:rsid w:val="1C25106F"/>
    <w:rsid w:val="1CFD8DF6"/>
    <w:rsid w:val="1ECB04B0"/>
    <w:rsid w:val="1F02518A"/>
    <w:rsid w:val="1F461652"/>
    <w:rsid w:val="1FFF9AD9"/>
    <w:rsid w:val="20764B90"/>
    <w:rsid w:val="20BC4845"/>
    <w:rsid w:val="20D94032"/>
    <w:rsid w:val="22885DA6"/>
    <w:rsid w:val="22AD555F"/>
    <w:rsid w:val="23D7687F"/>
    <w:rsid w:val="250D3B9A"/>
    <w:rsid w:val="25592FE8"/>
    <w:rsid w:val="25783BC2"/>
    <w:rsid w:val="260B1CAE"/>
    <w:rsid w:val="26CF2DB3"/>
    <w:rsid w:val="27987D44"/>
    <w:rsid w:val="2AF86ED7"/>
    <w:rsid w:val="2AFDF212"/>
    <w:rsid w:val="2B317A55"/>
    <w:rsid w:val="2B385C88"/>
    <w:rsid w:val="2B6BF484"/>
    <w:rsid w:val="2C142370"/>
    <w:rsid w:val="2C4C6634"/>
    <w:rsid w:val="2C5715FF"/>
    <w:rsid w:val="2D0363AE"/>
    <w:rsid w:val="2D2E0549"/>
    <w:rsid w:val="2E9A0305"/>
    <w:rsid w:val="2F33533C"/>
    <w:rsid w:val="2FFF7DE7"/>
    <w:rsid w:val="307750E9"/>
    <w:rsid w:val="30B9249C"/>
    <w:rsid w:val="32FA0C59"/>
    <w:rsid w:val="33F748AD"/>
    <w:rsid w:val="357A2C41"/>
    <w:rsid w:val="35874596"/>
    <w:rsid w:val="35F2A362"/>
    <w:rsid w:val="36EA2AC9"/>
    <w:rsid w:val="371A51D2"/>
    <w:rsid w:val="373BBD0C"/>
    <w:rsid w:val="38D32EB4"/>
    <w:rsid w:val="39BFEDBA"/>
    <w:rsid w:val="39DBABD8"/>
    <w:rsid w:val="3AED12ED"/>
    <w:rsid w:val="3AFF6A5D"/>
    <w:rsid w:val="3BDD34D2"/>
    <w:rsid w:val="3BDDFF97"/>
    <w:rsid w:val="3BFFD43B"/>
    <w:rsid w:val="3C7BD5C9"/>
    <w:rsid w:val="3DC2196D"/>
    <w:rsid w:val="3E4D594A"/>
    <w:rsid w:val="3F0C0B14"/>
    <w:rsid w:val="3FBC08C4"/>
    <w:rsid w:val="3FBF9251"/>
    <w:rsid w:val="3FED766E"/>
    <w:rsid w:val="3FF50DFE"/>
    <w:rsid w:val="3FFEEAD9"/>
    <w:rsid w:val="3FFFE931"/>
    <w:rsid w:val="40D678BD"/>
    <w:rsid w:val="41036BCA"/>
    <w:rsid w:val="41A01FC6"/>
    <w:rsid w:val="434B6EF0"/>
    <w:rsid w:val="447B561E"/>
    <w:rsid w:val="457F07F2"/>
    <w:rsid w:val="459D126B"/>
    <w:rsid w:val="46332779"/>
    <w:rsid w:val="487E1A6D"/>
    <w:rsid w:val="49042270"/>
    <w:rsid w:val="4CC6FDBD"/>
    <w:rsid w:val="4CCC1EC1"/>
    <w:rsid w:val="4D904DD5"/>
    <w:rsid w:val="4E07F45D"/>
    <w:rsid w:val="4EF50A0C"/>
    <w:rsid w:val="4FF59AF5"/>
    <w:rsid w:val="503D00E8"/>
    <w:rsid w:val="522B7478"/>
    <w:rsid w:val="54DF6509"/>
    <w:rsid w:val="55FE10A2"/>
    <w:rsid w:val="56823DB5"/>
    <w:rsid w:val="56EF6619"/>
    <w:rsid w:val="57396EB2"/>
    <w:rsid w:val="57AF1E73"/>
    <w:rsid w:val="59A62677"/>
    <w:rsid w:val="5AB21C33"/>
    <w:rsid w:val="5B778EC0"/>
    <w:rsid w:val="5BFD93EC"/>
    <w:rsid w:val="5CBA8FF2"/>
    <w:rsid w:val="5D5F7E21"/>
    <w:rsid w:val="5D9E0D68"/>
    <w:rsid w:val="5F5B35E4"/>
    <w:rsid w:val="609FA7B0"/>
    <w:rsid w:val="614F0C4D"/>
    <w:rsid w:val="63C509FD"/>
    <w:rsid w:val="660022E7"/>
    <w:rsid w:val="66B00616"/>
    <w:rsid w:val="676C2A97"/>
    <w:rsid w:val="69FCE5E7"/>
    <w:rsid w:val="6A3F7D1E"/>
    <w:rsid w:val="6BCDA9CC"/>
    <w:rsid w:val="6BF32B6E"/>
    <w:rsid w:val="6C021003"/>
    <w:rsid w:val="6CDE55CC"/>
    <w:rsid w:val="6D8223FC"/>
    <w:rsid w:val="6D9F2765"/>
    <w:rsid w:val="6DB508E5"/>
    <w:rsid w:val="6DDFA6BD"/>
    <w:rsid w:val="6E2A27C9"/>
    <w:rsid w:val="6E767ACE"/>
    <w:rsid w:val="6E781687"/>
    <w:rsid w:val="6EEE3ED1"/>
    <w:rsid w:val="6EFFED40"/>
    <w:rsid w:val="6F1B2166"/>
    <w:rsid w:val="6F5FC1DE"/>
    <w:rsid w:val="6FB3E1FD"/>
    <w:rsid w:val="6FD768E4"/>
    <w:rsid w:val="6FF341F1"/>
    <w:rsid w:val="6FFEBD86"/>
    <w:rsid w:val="709D754D"/>
    <w:rsid w:val="70D45B94"/>
    <w:rsid w:val="718536A7"/>
    <w:rsid w:val="721858B5"/>
    <w:rsid w:val="722160CD"/>
    <w:rsid w:val="73FF1F09"/>
    <w:rsid w:val="73FF684B"/>
    <w:rsid w:val="740A314B"/>
    <w:rsid w:val="74A708C5"/>
    <w:rsid w:val="75ED5404"/>
    <w:rsid w:val="76DFCB7D"/>
    <w:rsid w:val="771D4D51"/>
    <w:rsid w:val="7735A28E"/>
    <w:rsid w:val="77778F6D"/>
    <w:rsid w:val="77ABFD6B"/>
    <w:rsid w:val="77B1ED4A"/>
    <w:rsid w:val="77B7A121"/>
    <w:rsid w:val="77C748BA"/>
    <w:rsid w:val="77DD24F1"/>
    <w:rsid w:val="77F10335"/>
    <w:rsid w:val="77F7E860"/>
    <w:rsid w:val="77FB8D34"/>
    <w:rsid w:val="797D0128"/>
    <w:rsid w:val="79EDB415"/>
    <w:rsid w:val="7ABBCDAB"/>
    <w:rsid w:val="7AFCAD25"/>
    <w:rsid w:val="7AFEB9B4"/>
    <w:rsid w:val="7B5E0C37"/>
    <w:rsid w:val="7B63F034"/>
    <w:rsid w:val="7B735637"/>
    <w:rsid w:val="7B7DE504"/>
    <w:rsid w:val="7BFEC4F8"/>
    <w:rsid w:val="7CD90ACB"/>
    <w:rsid w:val="7DA14F75"/>
    <w:rsid w:val="7DB57A61"/>
    <w:rsid w:val="7DC7DC1F"/>
    <w:rsid w:val="7DF95E12"/>
    <w:rsid w:val="7DFDF40F"/>
    <w:rsid w:val="7DFF9BC7"/>
    <w:rsid w:val="7EB645E3"/>
    <w:rsid w:val="7EB6B7AB"/>
    <w:rsid w:val="7EDEF702"/>
    <w:rsid w:val="7EFD6908"/>
    <w:rsid w:val="7EFF8787"/>
    <w:rsid w:val="7F1C270D"/>
    <w:rsid w:val="7F5F4807"/>
    <w:rsid w:val="7F722518"/>
    <w:rsid w:val="7F7CF90E"/>
    <w:rsid w:val="7F9E3557"/>
    <w:rsid w:val="7FBF2857"/>
    <w:rsid w:val="7FD3B1BB"/>
    <w:rsid w:val="7FE7031F"/>
    <w:rsid w:val="7FEC5D3B"/>
    <w:rsid w:val="7FEF37E2"/>
    <w:rsid w:val="7FF70813"/>
    <w:rsid w:val="7FF7B584"/>
    <w:rsid w:val="7FFDFB4B"/>
    <w:rsid w:val="7FFF1910"/>
    <w:rsid w:val="7FFF8C1D"/>
    <w:rsid w:val="7FFF92F0"/>
    <w:rsid w:val="7FFFF07C"/>
    <w:rsid w:val="9BF3195D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DDF69E1"/>
    <w:rsid w:val="EDF76BB3"/>
    <w:rsid w:val="EEF68640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F62448"/>
    <w:rsid w:val="FBF76486"/>
    <w:rsid w:val="FBFF7DC7"/>
    <w:rsid w:val="FC37AF17"/>
    <w:rsid w:val="FCDE5A6F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5F7988"/>
    <w:rsid w:val="FF6B552C"/>
    <w:rsid w:val="FF6F74D4"/>
    <w:rsid w:val="FFBB4B28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3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toc 1"/>
    <w:basedOn w:val="1"/>
    <w:next w:val="1"/>
    <w:qFormat/>
    <w:uiPriority w:val="0"/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2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4476</Words>
  <Characters>4704</Characters>
  <Lines>0</Lines>
  <Paragraphs>0</Paragraphs>
  <TotalTime>6</TotalTime>
  <ScaleCrop>false</ScaleCrop>
  <LinksUpToDate>false</LinksUpToDate>
  <CharactersWithSpaces>4733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2016-02-13T19:32:00Z</cp:lastPrinted>
  <dcterms:modified xsi:type="dcterms:W3CDTF">2025-11-28T16:51:16Z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FD65ACE9ECD42879F7879466AF52A2C4</vt:lpwstr>
  </property>
  <property fmtid="{D5CDD505-2E9C-101B-9397-08002B2CF9AE}" pid="4" name="KSOTemplateDocerSaveRecord">
    <vt:lpwstr>eyJoZGlkIjoiZTUyNTE0YzAzM2RkNWYwNmZkOTQ5NzcyMGU0YjZjNzgiLCJ1c2VySWQiOiI0MjM2Mzk5OTQifQ==</vt:lpwstr>
  </property>
</Properties>
</file>