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ind w:left="0" w:leftChars="0"/>
        <w:textAlignment w:val="auto"/>
        <w:rPr>
          <w:rFonts w:hint="eastAsia" w:ascii="黑体" w:hAnsi="黑体" w:eastAsia="黑体" w:cs="黑体"/>
          <w:highlight w:val="none"/>
          <w:lang w:val="en-US" w:eastAsia="zh-CN"/>
        </w:rPr>
      </w:pPr>
      <w:r>
        <w:rPr>
          <w:rFonts w:hint="eastAsia" w:ascii="黑体" w:hAnsi="黑体" w:eastAsia="黑体" w:cs="黑体"/>
          <w:highlight w:val="none"/>
        </w:rPr>
        <w:t>附件</w:t>
      </w:r>
      <w:r>
        <w:rPr>
          <w:rFonts w:hint="eastAsia" w:ascii="黑体" w:hAnsi="黑体" w:eastAsia="黑体" w:cs="黑体"/>
          <w:highlight w:val="none"/>
          <w:lang w:val="en-US" w:eastAsia="zh-CN"/>
        </w:rPr>
        <w:t>7</w:t>
      </w:r>
    </w:p>
    <w:p>
      <w:pPr>
        <w:pStyle w:val="7"/>
        <w:keepNext w:val="0"/>
        <w:keepLines w:val="0"/>
        <w:pageBreakBefore w:val="0"/>
        <w:widowControl w:val="0"/>
        <w:kinsoku/>
        <w:wordWrap/>
        <w:overflowPunct/>
        <w:topLinePunct w:val="0"/>
        <w:autoSpaceDE/>
        <w:autoSpaceDN/>
        <w:bidi w:val="0"/>
        <w:spacing w:line="560"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pPr>
        <w:pStyle w:val="7"/>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_GBK" w:hAnsi="方正小标宋_GBK" w:eastAsia="方正小标宋_GBK" w:cs="方正小标宋_GBK"/>
          <w:kern w:val="0"/>
          <w:sz w:val="44"/>
          <w:szCs w:val="44"/>
          <w:lang w:val="en-US" w:eastAsia="zh-CN"/>
        </w:rPr>
      </w:pPr>
      <w:r>
        <w:rPr>
          <w:rFonts w:hint="eastAsia" w:ascii="方正小标宋_GBK" w:hAnsi="方正小标宋_GBK" w:eastAsia="方正小标宋_GBK" w:cs="方正小标宋_GBK"/>
          <w:kern w:val="0"/>
          <w:sz w:val="44"/>
          <w:szCs w:val="44"/>
          <w:lang w:val="en-US" w:eastAsia="zh-CN"/>
        </w:rPr>
        <w:t>洛多乡2024年度避险转移经费项目</w:t>
      </w:r>
    </w:p>
    <w:p>
      <w:pPr>
        <w:pStyle w:val="7"/>
        <w:keepNext w:val="0"/>
        <w:keepLines w:val="0"/>
        <w:pageBreakBefore w:val="0"/>
        <w:widowControl w:val="0"/>
        <w:kinsoku/>
        <w:wordWrap/>
        <w:overflowPunct/>
        <w:topLinePunct w:val="0"/>
        <w:autoSpaceDE/>
        <w:autoSpaceDN/>
        <w:bidi w:val="0"/>
        <w:spacing w:line="560" w:lineRule="exact"/>
        <w:ind w:left="0" w:leftChars="0"/>
        <w:jc w:val="center"/>
        <w:textAlignment w:val="auto"/>
        <w:rPr>
          <w:rFonts w:hint="eastAsia" w:ascii="方正小标宋_GBK" w:hAnsi="方正小标宋_GBK" w:eastAsia="方正小标宋_GBK" w:cs="方正小标宋_GBK"/>
          <w:color w:val="auto"/>
          <w:kern w:val="2"/>
          <w:sz w:val="44"/>
          <w:szCs w:val="44"/>
          <w:highlight w:val="none"/>
          <w:lang w:val="en-US" w:eastAsia="zh-CN"/>
        </w:rPr>
      </w:pPr>
      <w:r>
        <w:rPr>
          <w:rFonts w:hint="eastAsia" w:ascii="方正小标宋_GBK" w:hAnsi="方正小标宋_GBK" w:eastAsia="方正小标宋_GBK" w:cs="方正小标宋_GBK"/>
          <w:kern w:val="0"/>
          <w:sz w:val="44"/>
          <w:szCs w:val="44"/>
        </w:rPr>
        <w:t>支出绩效评价报告</w:t>
      </w:r>
    </w:p>
    <w:p>
      <w:pPr>
        <w:pStyle w:val="7"/>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numPr>
          <w:ilvl w:val="0"/>
          <w:numId w:val="1"/>
        </w:numPr>
        <w:kinsoku/>
        <w:wordWrap/>
        <w:overflowPunct/>
        <w:topLinePunct w:val="0"/>
        <w:autoSpaceDE/>
        <w:autoSpaceDN/>
        <w:bidi w:val="0"/>
        <w:spacing w:line="560" w:lineRule="exact"/>
        <w:ind w:left="0" w:leftChars="0" w:firstLine="640" w:firstLineChars="200"/>
        <w:jc w:val="both"/>
        <w:textAlignment w:val="auto"/>
        <w:rPr>
          <w:rFonts w:hint="eastAsia" w:ascii="黑体" w:eastAsia="黑体" w:cs="黑体"/>
          <w:sz w:val="32"/>
          <w:szCs w:val="32"/>
        </w:rPr>
      </w:pPr>
      <w:r>
        <w:rPr>
          <w:rFonts w:hint="eastAsia" w:ascii="黑体" w:eastAsia="黑体" w:cs="黑体"/>
          <w:sz w:val="32"/>
          <w:szCs w:val="32"/>
        </w:rPr>
        <w:t>项目概况</w:t>
      </w:r>
    </w:p>
    <w:p>
      <w:pPr>
        <w:keepNext w:val="0"/>
        <w:keepLines w:val="0"/>
        <w:pageBreakBefore w:val="0"/>
        <w:widowControl w:val="0"/>
        <w:kinsoku/>
        <w:wordWrap/>
        <w:overflowPunct/>
        <w:topLinePunct w:val="0"/>
        <w:autoSpaceDE/>
        <w:autoSpaceDN/>
        <w:bidi w:val="0"/>
        <w:spacing w:line="560" w:lineRule="exact"/>
        <w:ind w:left="0" w:leftChars="0" w:firstLine="642" w:firstLineChars="200"/>
        <w:jc w:val="both"/>
        <w:textAlignment w:val="auto"/>
        <w:rPr>
          <w:rFonts w:hint="eastAsia" w:ascii="仿宋_GB2312" w:eastAsia="仿宋_GB2312" w:cs="仿宋_GB2312"/>
          <w:sz w:val="32"/>
          <w:szCs w:val="32"/>
          <w:lang w:val="zh-CN" w:eastAsia="zh-CN"/>
        </w:rPr>
      </w:pPr>
      <w:r>
        <w:rPr>
          <w:rFonts w:hint="eastAsia" w:ascii="楷体_GB2312" w:eastAsia="楷体_GB2312"/>
          <w:b/>
          <w:sz w:val="32"/>
          <w:szCs w:val="32"/>
          <w:highlight w:val="none"/>
          <w:shd w:val="clear" w:color="auto" w:fill="auto"/>
          <w:lang w:val="zh-CN"/>
        </w:rPr>
        <w:t>（一）设立背景及基本情况</w:t>
      </w:r>
    </w:p>
    <w:p>
      <w:pPr>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ascii="仿宋_GB2312" w:eastAsia="仿宋_GB2312" w:cs="仿宋_GB2312"/>
          <w:sz w:val="32"/>
          <w:szCs w:val="32"/>
        </w:rPr>
      </w:pPr>
      <w:r>
        <w:rPr>
          <w:rFonts w:hint="eastAsia" w:ascii="仿宋_GB2312" w:hAnsi="仿宋_GB2312" w:eastAsia="仿宋_GB2312" w:cs="仿宋_GB2312"/>
          <w:sz w:val="32"/>
          <w:szCs w:val="32"/>
          <w:lang w:val="en-US" w:eastAsia="zh-CN"/>
        </w:rPr>
        <w:t>根据县委、县政府全力做好防汛救灾财政保障工作要求，</w:t>
      </w:r>
      <w:r>
        <w:rPr>
          <w:rFonts w:hint="eastAsia" w:ascii="仿宋_GB2312" w:hAnsi="仿宋_GB2312" w:cs="仿宋_GB2312"/>
          <w:sz w:val="32"/>
          <w:szCs w:val="32"/>
          <w:lang w:eastAsia="zh-CN"/>
        </w:rPr>
        <w:t>县财政将</w:t>
      </w:r>
      <w:r>
        <w:rPr>
          <w:rFonts w:hint="eastAsia" w:ascii="仿宋_GB2312" w:hAnsi="仿宋_GB2312" w:eastAsia="仿宋_GB2312" w:cs="仿宋_GB2312"/>
          <w:sz w:val="32"/>
          <w:szCs w:val="32"/>
        </w:rPr>
        <w:t>资金统筹安排</w:t>
      </w:r>
      <w:r>
        <w:rPr>
          <w:rFonts w:hint="eastAsia" w:ascii="仿宋_GB2312" w:hAnsi="仿宋_GB2312" w:eastAsia="仿宋_GB2312" w:cs="仿宋_GB2312"/>
          <w:sz w:val="32"/>
          <w:szCs w:val="32"/>
          <w:lang w:val="en-US" w:eastAsia="zh-CN"/>
        </w:rPr>
        <w:t>至</w:t>
      </w:r>
      <w:r>
        <w:rPr>
          <w:rFonts w:hint="eastAsia" w:ascii="仿宋_GB2312" w:hAnsi="仿宋_GB2312" w:eastAsia="仿宋_GB2312" w:cs="仿宋_GB2312"/>
          <w:sz w:val="32"/>
          <w:szCs w:val="32"/>
          <w:lang w:val="en-US" w:eastAsia="zh-CN" w:bidi="ar-SA"/>
        </w:rPr>
        <w:t>各乡镇人民政府</w:t>
      </w:r>
      <w:r>
        <w:rPr>
          <w:rFonts w:hint="eastAsia" w:ascii="仿宋_GB2312" w:hAnsi="仿宋_GB2312" w:eastAsia="仿宋_GB2312" w:cs="仿宋_GB2312"/>
          <w:sz w:val="32"/>
          <w:szCs w:val="32"/>
        </w:rPr>
        <w:t>用于</w:t>
      </w:r>
      <w:r>
        <w:rPr>
          <w:rFonts w:hint="eastAsia" w:ascii="仿宋_GB2312" w:hAnsi="仿宋_GB2312" w:cs="仿宋_GB2312"/>
          <w:sz w:val="32"/>
          <w:szCs w:val="32"/>
          <w:lang w:val="en-US" w:eastAsia="zh-CN" w:bidi="ar-SA"/>
        </w:rPr>
        <w:t>汛期各村百姓避险转移生活补助</w:t>
      </w:r>
      <w:r>
        <w:rPr>
          <w:rFonts w:hint="eastAsia" w:ascii="仿宋_GB2312" w:hAnsi="仿宋_GB2312" w:eastAsia="仿宋_GB2312" w:cs="仿宋_GB2312"/>
          <w:sz w:val="32"/>
          <w:szCs w:val="32"/>
        </w:rPr>
        <w:t>支出</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lang w:val="en-US" w:eastAsia="zh-CN"/>
        </w:rPr>
        <w:t>结合</w:t>
      </w:r>
      <w:r>
        <w:rPr>
          <w:rFonts w:hint="eastAsia" w:ascii="仿宋_GB2312" w:hAnsi="仿宋_GB2312" w:cs="仿宋_GB2312"/>
          <w:sz w:val="32"/>
          <w:szCs w:val="32"/>
          <w:lang w:val="en-US" w:eastAsia="zh-CN"/>
        </w:rPr>
        <w:t>我乡2024年</w:t>
      </w:r>
      <w:r>
        <w:rPr>
          <w:rFonts w:hint="eastAsia" w:ascii="仿宋_GB2312" w:hAnsi="仿宋_GB2312" w:eastAsia="仿宋_GB2312" w:cs="仿宋_GB2312"/>
          <w:sz w:val="32"/>
          <w:szCs w:val="32"/>
          <w:lang w:eastAsia="zh-CN"/>
        </w:rPr>
        <w:t>防汛</w:t>
      </w:r>
      <w:r>
        <w:rPr>
          <w:rFonts w:hint="eastAsia" w:ascii="仿宋_GB2312" w:hAnsi="仿宋_GB2312" w:cs="仿宋_GB2312"/>
          <w:sz w:val="32"/>
          <w:szCs w:val="32"/>
          <w:lang w:val="en-US" w:eastAsia="zh-CN"/>
        </w:rPr>
        <w:t>避险转移</w:t>
      </w:r>
      <w:r>
        <w:rPr>
          <w:rFonts w:hint="eastAsia" w:ascii="仿宋_GB2312" w:hAnsi="仿宋_GB2312" w:eastAsia="仿宋_GB2312" w:cs="仿宋_GB2312"/>
          <w:sz w:val="32"/>
          <w:szCs w:val="32"/>
          <w:lang w:eastAsia="zh-CN"/>
        </w:rPr>
        <w:t>工作实际，</w:t>
      </w:r>
      <w:r>
        <w:rPr>
          <w:rFonts w:hint="eastAsia" w:ascii="仿宋_GB2312" w:eastAsia="仿宋_GB2312" w:cs="仿宋_GB2312"/>
          <w:sz w:val="32"/>
          <w:szCs w:val="32"/>
        </w:rPr>
        <w:t>该项目</w:t>
      </w:r>
      <w:r>
        <w:rPr>
          <w:rFonts w:hint="eastAsia" w:ascii="仿宋_GB2312" w:cs="仿宋_GB2312"/>
          <w:sz w:val="32"/>
          <w:szCs w:val="32"/>
          <w:lang w:eastAsia="zh-CN"/>
        </w:rPr>
        <w:t>设立</w:t>
      </w:r>
      <w:r>
        <w:rPr>
          <w:rFonts w:hint="eastAsia" w:ascii="仿宋_GB2312" w:eastAsia="仿宋_GB2312" w:cs="仿宋_GB2312"/>
          <w:sz w:val="32"/>
          <w:szCs w:val="32"/>
        </w:rPr>
        <w:t>均符合资金管理办法等相关规定。</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楷体_GB2312" w:eastAsia="楷体_GB2312" w:cs="仿宋_GB2312"/>
          <w:b/>
          <w:sz w:val="32"/>
          <w:szCs w:val="32"/>
          <w:highlight w:val="none"/>
          <w:shd w:val="clear" w:color="auto" w:fill="auto"/>
          <w:lang w:val="zh-CN" w:eastAsia="zh-CN"/>
        </w:rPr>
      </w:pPr>
      <w:r>
        <w:rPr>
          <w:rFonts w:hint="eastAsia" w:ascii="楷体_GB2312" w:eastAsia="楷体_GB2312" w:cs="仿宋_GB2312"/>
          <w:b/>
          <w:sz w:val="32"/>
          <w:szCs w:val="32"/>
          <w:highlight w:val="none"/>
          <w:shd w:val="clear" w:color="auto" w:fill="auto"/>
          <w:lang w:val="zh-CN"/>
        </w:rPr>
        <w:t>（二）</w:t>
      </w:r>
      <w:r>
        <w:rPr>
          <w:rFonts w:hint="eastAsia" w:ascii="楷体_GB2312" w:eastAsia="楷体_GB2312" w:cs="仿宋_GB2312"/>
          <w:b/>
          <w:sz w:val="32"/>
          <w:szCs w:val="32"/>
          <w:highlight w:val="none"/>
          <w:shd w:val="clear" w:color="auto" w:fill="auto"/>
          <w:lang w:val="zh-CN" w:eastAsia="zh-CN"/>
        </w:rPr>
        <w:t>实施目的及支持方向</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仿宋_GB2312" w:eastAsia="仿宋_GB2312" w:cs="仿宋_GB2312"/>
          <w:sz w:val="32"/>
          <w:szCs w:val="32"/>
          <w:lang w:val="en-US"/>
        </w:rPr>
      </w:pPr>
      <w:r>
        <w:rPr>
          <w:rFonts w:hint="eastAsia" w:ascii="仿宋_GB2312" w:cs="仿宋_GB2312"/>
          <w:sz w:val="32"/>
          <w:szCs w:val="32"/>
          <w:lang w:eastAsia="zh-CN"/>
        </w:rPr>
        <w:t>洛多乡2024</w:t>
      </w:r>
      <w:r>
        <w:rPr>
          <w:rFonts w:hint="eastAsia" w:ascii="仿宋_GB2312" w:eastAsia="仿宋_GB2312" w:cs="仿宋_GB2312"/>
          <w:sz w:val="32"/>
          <w:szCs w:val="32"/>
          <w:lang w:val="en-US" w:eastAsia="zh-CN"/>
        </w:rPr>
        <w:t>年</w:t>
      </w:r>
      <w:r>
        <w:rPr>
          <w:rFonts w:hint="eastAsia" w:ascii="仿宋_GB2312" w:cs="仿宋_GB2312"/>
          <w:sz w:val="32"/>
          <w:szCs w:val="32"/>
          <w:lang w:val="en-US" w:eastAsia="zh-CN"/>
        </w:rPr>
        <w:t>度避险转移经费</w:t>
      </w: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主要用于</w:t>
      </w:r>
      <w:r>
        <w:rPr>
          <w:rFonts w:hint="eastAsia" w:ascii="仿宋_GB2312" w:hAnsi="仿宋_GB2312" w:cs="仿宋_GB2312"/>
          <w:sz w:val="32"/>
          <w:szCs w:val="32"/>
          <w:lang w:val="en-US" w:eastAsia="zh-CN" w:bidi="ar-SA"/>
        </w:rPr>
        <w:t>汛期各村百姓避险转移生活补助</w:t>
      </w:r>
      <w:r>
        <w:rPr>
          <w:rFonts w:hint="eastAsia" w:ascii="仿宋_GB2312" w:hAnsi="仿宋_GB2312" w:eastAsia="仿宋_GB2312" w:cs="仿宋_GB2312"/>
          <w:sz w:val="32"/>
          <w:szCs w:val="32"/>
        </w:rPr>
        <w:t>支出</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标准20元/人.天</w:t>
      </w:r>
      <w:r>
        <w:rPr>
          <w:rFonts w:hint="eastAsia" w:ascii="仿宋_GB2312" w:cs="仿宋_GB2312"/>
          <w:sz w:val="32"/>
          <w:szCs w:val="32"/>
          <w:lang w:val="en-US" w:eastAsia="zh-CN"/>
        </w:rPr>
        <w:t>。始终坚持“人民至上、生命至上、安全第一”理念，严防死守打好安全度汛硬仗，确保汛期人员安全和基本生活保障。</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楷体_GB2312" w:eastAsia="楷体_GB2312" w:cs="仿宋_GB2312"/>
          <w:b/>
          <w:sz w:val="32"/>
          <w:szCs w:val="32"/>
          <w:highlight w:val="none"/>
          <w:shd w:val="clear" w:color="auto" w:fill="auto"/>
          <w:lang w:val="zh-CN" w:eastAsia="zh-CN"/>
        </w:rPr>
      </w:pPr>
      <w:r>
        <w:rPr>
          <w:rFonts w:hint="eastAsia" w:ascii="楷体_GB2312" w:eastAsia="楷体_GB2312" w:cs="仿宋_GB2312"/>
          <w:b/>
          <w:sz w:val="32"/>
          <w:szCs w:val="32"/>
          <w:highlight w:val="none"/>
          <w:shd w:val="clear" w:color="auto" w:fill="auto"/>
          <w:lang w:val="zh-CN" w:eastAsia="zh-CN"/>
        </w:rPr>
        <w:t>（三）预算安排及分配管理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仿宋_GB2312" w:eastAsia="仿宋_GB2312" w:cs="仿宋_GB2312"/>
          <w:sz w:val="32"/>
          <w:szCs w:val="32"/>
          <w:highlight w:val="none"/>
        </w:rPr>
      </w:pPr>
      <w:r>
        <w:rPr>
          <w:rStyle w:val="8"/>
          <w:rFonts w:hint="eastAsia" w:ascii="仿宋_GB2312" w:hAnsi="仿宋_GB2312" w:eastAsia="仿宋_GB2312" w:cs="仿宋_GB2312"/>
          <w:b w:val="0"/>
          <w:i w:val="0"/>
          <w:caps w:val="0"/>
          <w:spacing w:val="0"/>
          <w:w w:val="100"/>
          <w:kern w:val="2"/>
          <w:sz w:val="32"/>
          <w:szCs w:val="32"/>
          <w:lang w:val="en-US" w:eastAsia="zh-CN" w:bidi="ar-SA"/>
        </w:rPr>
        <w:t>按照《</w:t>
      </w:r>
      <w:r>
        <w:rPr>
          <w:rStyle w:val="8"/>
          <w:rFonts w:hint="eastAsia" w:ascii="仿宋_GB2312" w:hAnsi="仿宋_GB2312" w:cs="仿宋_GB2312"/>
          <w:b w:val="0"/>
          <w:i w:val="0"/>
          <w:caps w:val="0"/>
          <w:spacing w:val="0"/>
          <w:w w:val="100"/>
          <w:kern w:val="2"/>
          <w:sz w:val="32"/>
          <w:szCs w:val="32"/>
          <w:lang w:val="en-US" w:eastAsia="zh-CN" w:bidi="ar-SA"/>
        </w:rPr>
        <w:t>黑水县人民政府办公室关于发放防汛防地灾紧急撤离生活补助的通知</w:t>
      </w:r>
      <w:r>
        <w:rPr>
          <w:rStyle w:val="8"/>
          <w:rFonts w:hint="eastAsia" w:ascii="仿宋_GB2312" w:hAnsi="仿宋_GB2312" w:eastAsia="仿宋_GB2312" w:cs="仿宋_GB2312"/>
          <w:b w:val="0"/>
          <w:i w:val="0"/>
          <w:caps w:val="0"/>
          <w:spacing w:val="0"/>
          <w:w w:val="100"/>
          <w:kern w:val="2"/>
          <w:sz w:val="32"/>
          <w:szCs w:val="32"/>
          <w:lang w:val="en-US" w:eastAsia="zh-CN" w:bidi="ar-SA"/>
        </w:rPr>
        <w:t>》要求</w:t>
      </w:r>
      <w:r>
        <w:rPr>
          <w:rStyle w:val="8"/>
          <w:rFonts w:hint="eastAsia" w:ascii="仿宋_GB2312" w:hAnsi="仿宋_GB2312" w:cs="仿宋_GB2312"/>
          <w:b w:val="0"/>
          <w:i w:val="0"/>
          <w:caps w:val="0"/>
          <w:spacing w:val="0"/>
          <w:w w:val="100"/>
          <w:kern w:val="2"/>
          <w:sz w:val="32"/>
          <w:szCs w:val="32"/>
          <w:highlight w:val="none"/>
          <w:lang w:val="en-US" w:eastAsia="zh-CN" w:bidi="ar-SA"/>
        </w:rPr>
        <w:t>，</w:t>
      </w:r>
      <w:r>
        <w:rPr>
          <w:rFonts w:hint="eastAsia" w:ascii="仿宋_GB2312" w:hAnsi="仿宋_GB2312" w:cs="仿宋_GB2312"/>
          <w:bCs/>
          <w:sz w:val="32"/>
          <w:szCs w:val="32"/>
          <w:highlight w:val="none"/>
          <w:lang w:val="en-US" w:eastAsia="zh-CN"/>
        </w:rPr>
        <w:t>2024</w:t>
      </w:r>
      <w:r>
        <w:rPr>
          <w:rFonts w:hint="eastAsia" w:ascii="仿宋_GB2312" w:hAnsi="仿宋_GB2312" w:eastAsia="仿宋_GB2312" w:cs="仿宋_GB2312"/>
          <w:bCs/>
          <w:sz w:val="32"/>
          <w:szCs w:val="32"/>
          <w:highlight w:val="none"/>
          <w:lang w:val="en-US" w:eastAsia="zh-CN"/>
        </w:rPr>
        <w:t>年年初预算</w:t>
      </w:r>
      <w:r>
        <w:rPr>
          <w:rFonts w:hint="eastAsia" w:ascii="仿宋_GB2312" w:hAnsi="仿宋_GB2312" w:cs="仿宋_GB2312"/>
          <w:bCs/>
          <w:sz w:val="32"/>
          <w:szCs w:val="32"/>
          <w:highlight w:val="none"/>
          <w:lang w:val="en-US" w:eastAsia="zh-CN"/>
        </w:rPr>
        <w:t>0元，调整后预算数2万元，预算执行数0.5万元。</w:t>
      </w:r>
      <w:r>
        <w:rPr>
          <w:rFonts w:hint="eastAsia" w:ascii="仿宋_GB2312" w:eastAsia="仿宋_GB2312" w:cs="仿宋_GB2312"/>
          <w:sz w:val="32"/>
          <w:szCs w:val="32"/>
          <w:highlight w:val="none"/>
        </w:rPr>
        <w:t>截止评价时点实际到位及时，资金到位情况与资金计划基本一致。</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jc w:val="both"/>
        <w:textAlignment w:val="auto"/>
        <w:rPr>
          <w:rFonts w:hint="eastAsia" w:ascii="楷体_GB2312" w:eastAsia="楷体_GB2312" w:cs="仿宋_GB2312"/>
          <w:b/>
          <w:sz w:val="32"/>
          <w:szCs w:val="32"/>
          <w:shd w:val="clear" w:color="auto" w:fill="auto"/>
          <w:lang w:val="zh-CN"/>
        </w:rPr>
      </w:pPr>
      <w:r>
        <w:rPr>
          <w:rFonts w:hint="eastAsia" w:ascii="楷体_GB2312" w:eastAsia="楷体_GB2312" w:cs="仿宋_GB2312"/>
          <w:b/>
          <w:sz w:val="32"/>
          <w:szCs w:val="32"/>
          <w:shd w:val="clear" w:color="auto" w:fill="auto"/>
          <w:lang w:val="zh-CN"/>
        </w:rPr>
        <w:t>(四)</w:t>
      </w:r>
      <w:r>
        <w:rPr>
          <w:rFonts w:hint="eastAsia" w:ascii="楷体_GB2312" w:eastAsia="楷体_GB2312" w:cs="仿宋_GB2312"/>
          <w:b/>
          <w:sz w:val="32"/>
          <w:szCs w:val="32"/>
          <w:highlight w:val="none"/>
          <w:shd w:val="clear" w:color="auto" w:fill="auto"/>
          <w:lang w:val="zh-CN"/>
        </w:rPr>
        <w:t>项目绩效目标设置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ascii="仿宋_GB2312" w:eastAsia="仿宋_GB2312" w:cs="仿宋_GB2312"/>
          <w:bCs/>
          <w:sz w:val="32"/>
          <w:szCs w:val="32"/>
          <w:highlight w:val="none"/>
          <w:lang w:val="zh-CN" w:eastAsia="zh-CN"/>
        </w:rPr>
      </w:pPr>
      <w:r>
        <w:rPr>
          <w:rFonts w:hint="eastAsia" w:ascii="仿宋_GB2312" w:eastAsia="仿宋_GB2312" w:cs="仿宋_GB2312"/>
          <w:sz w:val="32"/>
          <w:szCs w:val="32"/>
          <w:lang w:eastAsia="zh-CN"/>
        </w:rPr>
        <w:t>2024年</w:t>
      </w:r>
      <w:r>
        <w:rPr>
          <w:rFonts w:hint="eastAsia" w:ascii="仿宋_GB2312" w:cs="仿宋_GB2312"/>
          <w:sz w:val="32"/>
          <w:szCs w:val="32"/>
          <w:lang w:eastAsia="zh-CN"/>
        </w:rPr>
        <w:t>乡镇避险转移经费</w:t>
      </w:r>
      <w:r>
        <w:rPr>
          <w:rFonts w:hint="eastAsia" w:ascii="仿宋_GB2312" w:cs="仿宋_GB2312"/>
          <w:sz w:val="32"/>
          <w:szCs w:val="32"/>
          <w:lang w:val="en-US" w:eastAsia="zh-CN"/>
        </w:rPr>
        <w:t>2</w:t>
      </w:r>
      <w:r>
        <w:rPr>
          <w:rFonts w:hint="eastAsia" w:ascii="仿宋_GB2312" w:eastAsia="仿宋_GB2312" w:cs="仿宋_GB2312"/>
          <w:sz w:val="32"/>
          <w:szCs w:val="32"/>
          <w:lang w:eastAsia="zh-CN"/>
        </w:rPr>
        <w:t>万元，保障防汛减灾工作有序开展。</w:t>
      </w:r>
      <w:r>
        <w:rPr>
          <w:rFonts w:ascii="仿宋_GB2312" w:eastAsia="仿宋_GB2312" w:cs="仿宋_GB2312"/>
          <w:bCs/>
          <w:sz w:val="32"/>
          <w:szCs w:val="32"/>
          <w:highlight w:val="none"/>
          <w:lang w:val="zh-CN" w:eastAsia="zh-CN"/>
        </w:rPr>
        <w:t>我</w:t>
      </w:r>
      <w:r>
        <w:rPr>
          <w:rFonts w:hint="eastAsia" w:ascii="仿宋_GB2312" w:cs="仿宋_GB2312"/>
          <w:bCs/>
          <w:sz w:val="32"/>
          <w:szCs w:val="32"/>
          <w:highlight w:val="none"/>
          <w:lang w:val="zh-CN" w:eastAsia="zh-CN"/>
        </w:rPr>
        <w:t>乡</w:t>
      </w:r>
      <w:r>
        <w:rPr>
          <w:rFonts w:ascii="仿宋_GB2312" w:eastAsia="仿宋_GB2312" w:cs="仿宋_GB2312"/>
          <w:bCs/>
          <w:sz w:val="32"/>
          <w:szCs w:val="32"/>
          <w:highlight w:val="none"/>
          <w:lang w:val="zh-CN" w:eastAsia="zh-CN"/>
        </w:rPr>
        <w:t>申报的</w:t>
      </w:r>
      <w:r>
        <w:rPr>
          <w:rFonts w:hint="eastAsia" w:ascii="仿宋_GB2312" w:cs="仿宋_GB2312"/>
          <w:sz w:val="32"/>
          <w:szCs w:val="32"/>
          <w:lang w:eastAsia="zh-CN"/>
        </w:rPr>
        <w:t>乡镇避险转移经费</w:t>
      </w:r>
      <w:r>
        <w:rPr>
          <w:rFonts w:ascii="仿宋_GB2312" w:eastAsia="仿宋_GB2312" w:cs="仿宋_GB2312"/>
          <w:bCs/>
          <w:sz w:val="32"/>
          <w:szCs w:val="32"/>
          <w:highlight w:val="none"/>
          <w:lang w:val="zh-CN" w:eastAsia="zh-CN"/>
        </w:rPr>
        <w:t>内容与具体实施内容相符的、申报目标是合理可行。</w:t>
      </w:r>
    </w:p>
    <w:tbl>
      <w:tblPr>
        <w:tblStyle w:val="4"/>
        <w:tblW w:w="85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1712"/>
        <w:gridCol w:w="1151"/>
        <w:gridCol w:w="1517"/>
        <w:gridCol w:w="629"/>
        <w:gridCol w:w="684"/>
        <w:gridCol w:w="839"/>
        <w:gridCol w:w="684"/>
        <w:gridCol w:w="5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784"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绩效指标（90分）</w:t>
            </w:r>
          </w:p>
        </w:tc>
        <w:tc>
          <w:tcPr>
            <w:tcW w:w="1712"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一级指标</w:t>
            </w:r>
          </w:p>
        </w:tc>
        <w:tc>
          <w:tcPr>
            <w:tcW w:w="1151"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二级指标</w:t>
            </w:r>
          </w:p>
        </w:tc>
        <w:tc>
          <w:tcPr>
            <w:tcW w:w="1517"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三级指标</w:t>
            </w:r>
          </w:p>
        </w:tc>
        <w:tc>
          <w:tcPr>
            <w:tcW w:w="62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指标性质</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指标值</w:t>
            </w:r>
          </w:p>
        </w:tc>
        <w:tc>
          <w:tcPr>
            <w:tcW w:w="83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度量单位</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完成值</w:t>
            </w:r>
          </w:p>
        </w:tc>
        <w:tc>
          <w:tcPr>
            <w:tcW w:w="528"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784"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pPr>
          </w:p>
        </w:tc>
        <w:tc>
          <w:tcPr>
            <w:tcW w:w="1712" w:type="dxa"/>
            <w:vMerge w:val="restart"/>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产出指标</w:t>
            </w:r>
          </w:p>
        </w:tc>
        <w:tc>
          <w:tcPr>
            <w:tcW w:w="1151"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数量指标</w:t>
            </w:r>
          </w:p>
        </w:tc>
        <w:tc>
          <w:tcPr>
            <w:tcW w:w="1517"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转移1人，按20元的标准补助测算</w:t>
            </w:r>
          </w:p>
        </w:tc>
        <w:tc>
          <w:tcPr>
            <w:tcW w:w="62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20</w:t>
            </w:r>
          </w:p>
        </w:tc>
        <w:tc>
          <w:tcPr>
            <w:tcW w:w="83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元/人</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微软雅黑" w:eastAsia="微软雅黑" w:cs="Arial"/>
                <w:b w:val="0"/>
                <w:i/>
                <w:color w:val="000000"/>
                <w:sz w:val="16"/>
              </w:rPr>
            </w:pPr>
            <w:r>
              <w:rPr>
                <w:rFonts w:ascii="宋体" w:hAnsi="宋体" w:eastAsia="宋体" w:cs="宋体"/>
                <w:i w:val="0"/>
                <w:color w:val="000000"/>
                <w:kern w:val="0"/>
                <w:sz w:val="18"/>
                <w:szCs w:val="18"/>
                <w:u w:val="none"/>
                <w:lang w:val="en-US" w:eastAsia="zh-CN" w:bidi="ar"/>
              </w:rPr>
              <w:t>20</w:t>
            </w:r>
          </w:p>
        </w:tc>
        <w:tc>
          <w:tcPr>
            <w:tcW w:w="528"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784"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pPr>
          </w:p>
        </w:tc>
        <w:tc>
          <w:tcPr>
            <w:tcW w:w="1712"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pPr>
          </w:p>
        </w:tc>
        <w:tc>
          <w:tcPr>
            <w:tcW w:w="1151"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质量指标</w:t>
            </w:r>
          </w:p>
        </w:tc>
        <w:tc>
          <w:tcPr>
            <w:tcW w:w="1517"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更好地推进避险工作</w:t>
            </w:r>
          </w:p>
        </w:tc>
        <w:tc>
          <w:tcPr>
            <w:tcW w:w="62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98</w:t>
            </w:r>
          </w:p>
        </w:tc>
        <w:tc>
          <w:tcPr>
            <w:tcW w:w="83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微软雅黑" w:eastAsia="微软雅黑" w:cs="Arial"/>
                <w:b w:val="0"/>
                <w:i/>
                <w:color w:val="000000"/>
                <w:sz w:val="16"/>
              </w:rPr>
            </w:pPr>
            <w:r>
              <w:rPr>
                <w:rFonts w:ascii="宋体" w:hAnsi="宋体" w:eastAsia="宋体" w:cs="宋体"/>
                <w:i w:val="0"/>
                <w:color w:val="000000"/>
                <w:kern w:val="0"/>
                <w:sz w:val="18"/>
                <w:szCs w:val="18"/>
                <w:u w:val="none"/>
                <w:lang w:val="en-US" w:eastAsia="zh-CN" w:bidi="ar"/>
              </w:rPr>
              <w:t>98</w:t>
            </w:r>
          </w:p>
        </w:tc>
        <w:tc>
          <w:tcPr>
            <w:tcW w:w="528"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784"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pPr>
          </w:p>
        </w:tc>
        <w:tc>
          <w:tcPr>
            <w:tcW w:w="1712"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pPr>
            <w:r>
              <w:rPr>
                <w:rFonts w:ascii="宋体" w:hAnsi="宋体" w:eastAsia="宋体" w:cs="宋体"/>
                <w:i w:val="0"/>
                <w:color w:val="000000"/>
                <w:kern w:val="0"/>
                <w:sz w:val="18"/>
                <w:szCs w:val="18"/>
                <w:u w:val="none"/>
                <w:lang w:val="en-US" w:eastAsia="zh-CN" w:bidi="ar"/>
              </w:rPr>
              <w:t>效益指标</w:t>
            </w:r>
          </w:p>
        </w:tc>
        <w:tc>
          <w:tcPr>
            <w:tcW w:w="1151"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社会效益指标</w:t>
            </w:r>
          </w:p>
        </w:tc>
        <w:tc>
          <w:tcPr>
            <w:tcW w:w="1517"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更好</w:t>
            </w:r>
            <w:r>
              <w:rPr>
                <w:rFonts w:hint="eastAsia" w:ascii="宋体" w:hAnsi="宋体" w:eastAsia="宋体" w:cs="宋体"/>
                <w:i w:val="0"/>
                <w:color w:val="000000"/>
                <w:kern w:val="0"/>
                <w:sz w:val="18"/>
                <w:szCs w:val="18"/>
                <w:u w:val="none"/>
                <w:lang w:val="en-US" w:eastAsia="zh-CN" w:bidi="ar"/>
              </w:rPr>
              <w:t>地</w:t>
            </w:r>
            <w:bookmarkStart w:id="0" w:name="_GoBack"/>
            <w:bookmarkEnd w:id="0"/>
            <w:r>
              <w:rPr>
                <w:rFonts w:ascii="宋体" w:hAnsi="宋体" w:eastAsia="宋体" w:cs="宋体"/>
                <w:i w:val="0"/>
                <w:color w:val="000000"/>
                <w:kern w:val="0"/>
                <w:sz w:val="18"/>
                <w:szCs w:val="18"/>
                <w:u w:val="none"/>
                <w:lang w:val="en-US" w:eastAsia="zh-CN" w:bidi="ar"/>
              </w:rPr>
              <w:t>做好避险工作</w:t>
            </w:r>
          </w:p>
        </w:tc>
        <w:tc>
          <w:tcPr>
            <w:tcW w:w="62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98</w:t>
            </w:r>
          </w:p>
        </w:tc>
        <w:tc>
          <w:tcPr>
            <w:tcW w:w="83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微软雅黑" w:eastAsia="微软雅黑" w:cs="Arial"/>
                <w:b w:val="0"/>
                <w:i/>
                <w:color w:val="000000"/>
                <w:sz w:val="16"/>
              </w:rPr>
            </w:pPr>
            <w:r>
              <w:rPr>
                <w:rFonts w:ascii="宋体" w:hAnsi="宋体" w:eastAsia="宋体" w:cs="宋体"/>
                <w:i w:val="0"/>
                <w:color w:val="000000"/>
                <w:kern w:val="0"/>
                <w:sz w:val="18"/>
                <w:szCs w:val="18"/>
                <w:u w:val="none"/>
                <w:lang w:val="en-US" w:eastAsia="zh-CN" w:bidi="ar"/>
              </w:rPr>
              <w:t>98</w:t>
            </w:r>
          </w:p>
        </w:tc>
        <w:tc>
          <w:tcPr>
            <w:tcW w:w="528"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784" w:type="dxa"/>
            <w:vMerge w:val="continue"/>
            <w:tcBorders>
              <w:top w:val="single" w:color="000000" w:sz="6" w:space="0"/>
              <w:left w:val="single" w:color="000000" w:sz="6" w:space="0"/>
              <w:bottom w:val="single" w:color="000000" w:sz="6" w:space="0"/>
              <w:right w:val="single" w:color="000000" w:sz="6" w:space="0"/>
              <w:tl2br w:val="nil"/>
              <w:tr2bl w:val="nil"/>
            </w:tcBorders>
            <w:noWrap/>
            <w:vAlign w:val="center"/>
          </w:tcPr>
          <w:p>
            <w:pPr>
              <w:jc w:val="center"/>
            </w:pPr>
          </w:p>
        </w:tc>
        <w:tc>
          <w:tcPr>
            <w:tcW w:w="1712"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满意度指标</w:t>
            </w:r>
          </w:p>
        </w:tc>
        <w:tc>
          <w:tcPr>
            <w:tcW w:w="1151"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满意度指标</w:t>
            </w:r>
          </w:p>
        </w:tc>
        <w:tc>
          <w:tcPr>
            <w:tcW w:w="1517"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帮助与被帮助对象</w:t>
            </w:r>
          </w:p>
        </w:tc>
        <w:tc>
          <w:tcPr>
            <w:tcW w:w="62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98</w:t>
            </w:r>
          </w:p>
        </w:tc>
        <w:tc>
          <w:tcPr>
            <w:tcW w:w="839"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w:t>
            </w:r>
          </w:p>
        </w:tc>
        <w:tc>
          <w:tcPr>
            <w:tcW w:w="6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微软雅黑" w:eastAsia="微软雅黑" w:cs="Arial"/>
                <w:b w:val="0"/>
                <w:i/>
                <w:color w:val="000000"/>
                <w:sz w:val="16"/>
              </w:rPr>
            </w:pPr>
            <w:r>
              <w:rPr>
                <w:rFonts w:ascii="宋体" w:hAnsi="宋体" w:eastAsia="宋体" w:cs="宋体"/>
                <w:i w:val="0"/>
                <w:color w:val="000000"/>
                <w:kern w:val="0"/>
                <w:sz w:val="18"/>
                <w:szCs w:val="18"/>
                <w:u w:val="none"/>
                <w:lang w:val="en-US" w:eastAsia="zh-CN" w:bidi="ar"/>
              </w:rPr>
              <w:t>98</w:t>
            </w:r>
          </w:p>
        </w:tc>
        <w:tc>
          <w:tcPr>
            <w:tcW w:w="528"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8000" w:type="dxa"/>
            <w:gridSpan w:val="8"/>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微软雅黑" w:eastAsia="微软雅黑" w:cs="Arial"/>
                <w:b w:val="0"/>
                <w:i/>
                <w:color w:val="000000"/>
                <w:sz w:val="16"/>
              </w:rPr>
            </w:pPr>
            <w:r>
              <w:rPr>
                <w:rFonts w:ascii="宋体" w:hAnsi="宋体" w:eastAsia="宋体" w:cs="宋体"/>
                <w:i w:val="0"/>
                <w:color w:val="000000"/>
                <w:kern w:val="0"/>
                <w:sz w:val="18"/>
                <w:szCs w:val="18"/>
                <w:u w:val="none"/>
                <w:lang w:val="en-US" w:eastAsia="zh-CN" w:bidi="ar"/>
              </w:rPr>
              <w:t>合计</w:t>
            </w:r>
          </w:p>
        </w:tc>
        <w:tc>
          <w:tcPr>
            <w:tcW w:w="528" w:type="dxa"/>
            <w:tcBorders>
              <w:top w:val="single" w:color="000000" w:sz="6" w:space="0"/>
              <w:left w:val="single" w:color="000000" w:sz="6" w:space="0"/>
              <w:bottom w:val="single" w:color="000000" w:sz="6" w:space="0"/>
              <w:right w:val="single" w:color="000000" w:sz="6" w:space="0"/>
              <w:tl2br w:val="nil"/>
              <w:tr2bl w:val="nil"/>
            </w:tcBorders>
            <w:noWrap/>
            <w:vAlign w:val="center"/>
          </w:tcPr>
          <w:p>
            <w:pPr>
              <w:keepNext w:val="0"/>
              <w:keepLines w:val="0"/>
              <w:widowControl/>
              <w:suppressLineNumbers w:val="0"/>
              <w:jc w:val="center"/>
              <w:textAlignment w:val="center"/>
              <w:rPr>
                <w:rFonts w:ascii="宋体" w:eastAsia="宋体" w:cs="Arial"/>
                <w:color w:val="000000"/>
                <w:sz w:val="18"/>
              </w:rPr>
            </w:pPr>
            <w:r>
              <w:rPr>
                <w:rFonts w:ascii="宋体" w:hAnsi="宋体" w:eastAsia="宋体" w:cs="宋体"/>
                <w:i w:val="0"/>
                <w:color w:val="000000"/>
                <w:kern w:val="0"/>
                <w:sz w:val="18"/>
                <w:szCs w:val="18"/>
                <w:u w:val="none"/>
                <w:lang w:val="en-US" w:eastAsia="zh-CN" w:bidi="ar"/>
              </w:rPr>
              <w:t>100</w:t>
            </w:r>
          </w:p>
        </w:tc>
      </w:tr>
    </w:tbl>
    <w:p>
      <w:pPr>
        <w:keepNext w:val="0"/>
        <w:keepLines w:val="0"/>
        <w:pageBreakBefore w:val="0"/>
        <w:widowControl w:val="0"/>
        <w:kinsoku/>
        <w:wordWrap/>
        <w:overflowPunct/>
        <w:topLinePunct w:val="0"/>
        <w:autoSpaceDE/>
        <w:autoSpaceDN/>
        <w:bidi w:val="0"/>
        <w:adjustRightInd w:val="0"/>
        <w:snapToGrid w:val="0"/>
        <w:spacing w:after="157" w:afterLines="50" w:line="560" w:lineRule="exact"/>
        <w:jc w:val="both"/>
        <w:textAlignment w:val="auto"/>
        <w:rPr>
          <w:rFonts w:hint="eastAsia" w:asci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before="157" w:beforeLines="50" w:line="560" w:lineRule="exact"/>
        <w:ind w:left="0" w:leftChars="0" w:firstLine="640" w:firstLineChars="200"/>
        <w:jc w:val="both"/>
        <w:textAlignment w:val="auto"/>
        <w:rPr>
          <w:rFonts w:ascii="黑体" w:eastAsia="黑体" w:cs="黑体"/>
          <w:color w:val="000000"/>
          <w:sz w:val="32"/>
          <w:szCs w:val="32"/>
          <w:highlight w:val="none"/>
          <w:lang w:eastAsia="zh-CN"/>
        </w:rPr>
      </w:pPr>
      <w:r>
        <w:rPr>
          <w:rFonts w:hint="eastAsia" w:ascii="黑体" w:eastAsia="黑体" w:cs="黑体"/>
          <w:color w:val="000000"/>
          <w:sz w:val="32"/>
          <w:szCs w:val="32"/>
          <w:highlight w:val="none"/>
        </w:rPr>
        <w:t>二、</w:t>
      </w:r>
      <w:r>
        <w:rPr>
          <w:rFonts w:hint="eastAsia" w:ascii="黑体" w:eastAsia="黑体" w:cs="黑体"/>
          <w:color w:val="000000"/>
          <w:sz w:val="32"/>
          <w:szCs w:val="32"/>
          <w:highlight w:val="none"/>
          <w:lang w:eastAsia="zh-CN"/>
        </w:rPr>
        <w:t>评价实施</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先</w:t>
      </w:r>
      <w:r>
        <w:rPr>
          <w:rFonts w:hint="eastAsia" w:eastAsia="仿宋_GB2312" w:cs="Times New Roman"/>
          <w:szCs w:val="32"/>
        </w:rPr>
        <w:t>通过绩效评价，及时发现项目实施中存在的薄弱环节，总结推广好的经验和做法，进一步规范项目管理。</w:t>
      </w:r>
    </w:p>
    <w:p>
      <w:pPr>
        <w:keepNext w:val="0"/>
        <w:keepLines w:val="0"/>
        <w:pageBreakBefore w:val="0"/>
        <w:widowControl w:val="0"/>
        <w:numPr>
          <w:ilvl w:val="0"/>
          <w:numId w:val="2"/>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预设问题及评价重点</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3.资金拨付和使用的合规性。是否按国库集中支付规定办理资金拨付手续；是否不按时拨付，造成滞留资金积压；资金是否专款专用，是否随意变更项目内容及地点；是否遵守《现金管理暂行条例》规定；是否有挤</w:t>
      </w:r>
      <w:r>
        <w:rPr>
          <w:rFonts w:hint="eastAsia" w:cs="Times New Roman"/>
          <w:szCs w:val="32"/>
          <w:lang w:val="zh-CN"/>
        </w:rPr>
        <w:t>用</w:t>
      </w:r>
      <w:r>
        <w:rPr>
          <w:rFonts w:hint="eastAsia" w:ascii="Times New Roman" w:hAnsi="Times New Roman" w:eastAsia="仿宋_GB2312" w:cs="Times New Roman"/>
          <w:szCs w:val="32"/>
          <w:lang w:val="zh-CN"/>
        </w:rPr>
        <w:t>、挪用、截留等违纪违规等问题。</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4.信息的公开透明度。项目资金管理单位的公开公示情况。</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6.项目实施单位绩效自评情况。项目实施单位是否严格按照预算绩效管理规定开展绩效自评。</w:t>
      </w:r>
    </w:p>
    <w:p>
      <w:pPr>
        <w:keepNext w:val="0"/>
        <w:keepLines w:val="0"/>
        <w:pageBreakBefore w:val="0"/>
        <w:widowControl w:val="0"/>
        <w:numPr>
          <w:ilvl w:val="0"/>
          <w:numId w:val="2"/>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评价选点</w:t>
      </w:r>
    </w:p>
    <w:p>
      <w:pPr>
        <w:keepNext w:val="0"/>
        <w:keepLines w:val="0"/>
        <w:pageBreakBefore w:val="0"/>
        <w:widowControl w:val="0"/>
        <w:kinsoku/>
        <w:wordWrap/>
        <w:overflowPunct/>
        <w:topLinePunct w:val="0"/>
        <w:autoSpaceDE/>
        <w:autoSpaceDN/>
        <w:bidi w:val="0"/>
        <w:spacing w:beforeAutospacing="0" w:line="560" w:lineRule="exact"/>
        <w:ind w:left="0" w:leftChars="0" w:firstLine="640"/>
        <w:textAlignment w:val="auto"/>
        <w:outlineLvl w:val="9"/>
        <w:rPr>
          <w:rFonts w:hint="eastAsia" w:ascii="Times New Roman" w:hAnsi="Times New Roman" w:eastAsia="仿宋_GB2312" w:cs="Times New Roman"/>
          <w:szCs w:val="32"/>
          <w:lang w:val="zh-CN"/>
        </w:rPr>
      </w:pPr>
      <w:r>
        <w:rPr>
          <w:rFonts w:hint="eastAsia" w:ascii="Times New Roman" w:hAnsi="Times New Roman" w:eastAsia="仿宋_GB2312" w:cs="Times New Roman"/>
          <w:szCs w:val="32"/>
          <w:lang w:val="zh-CN"/>
        </w:rPr>
        <w:t>洛多乡</w:t>
      </w:r>
    </w:p>
    <w:p>
      <w:pPr>
        <w:keepNext w:val="0"/>
        <w:keepLines w:val="0"/>
        <w:pageBreakBefore w:val="0"/>
        <w:widowControl w:val="0"/>
        <w:numPr>
          <w:ilvl w:val="0"/>
          <w:numId w:val="2"/>
        </w:numPr>
        <w:kinsoku/>
        <w:wordWrap/>
        <w:overflowPunct/>
        <w:topLinePunct w:val="0"/>
        <w:autoSpaceDE/>
        <w:autoSpaceDN/>
        <w:bidi w:val="0"/>
        <w:adjustRightInd w:val="0"/>
        <w:snapToGrid w:val="0"/>
        <w:spacing w:beforeAutospacing="0" w:line="560" w:lineRule="exact"/>
        <w:ind w:left="0" w:leftChars="0" w:firstLine="642" w:firstLineChars="200"/>
        <w:jc w:val="both"/>
        <w:textAlignment w:val="auto"/>
        <w:rPr>
          <w:rFonts w:hint="eastAsia"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评价方法</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ascii="Times New Roman" w:hAnsi="Times New Roman" w:cs="Times New Roman"/>
          <w:szCs w:val="32"/>
          <w:lang w:val="zh-CN" w:eastAsia="zh-CN"/>
        </w:rPr>
      </w:pPr>
      <w:r>
        <w:rPr>
          <w:rFonts w:hint="eastAsia" w:ascii="Times New Roman" w:hAnsi="Times New Roman" w:cs="Times New Roman"/>
          <w:szCs w:val="32"/>
          <w:lang w:val="en-US" w:eastAsia="zh-CN"/>
        </w:rPr>
        <w:t>1.现场咨询。</w:t>
      </w:r>
    </w:p>
    <w:p>
      <w:pPr>
        <w:keepNext w:val="0"/>
        <w:keepLines w:val="0"/>
        <w:pageBreakBefore w:val="0"/>
        <w:widowControl w:val="0"/>
        <w:kinsoku/>
        <w:wordWrap/>
        <w:overflowPunct/>
        <w:topLinePunct w:val="0"/>
        <w:autoSpaceDE/>
        <w:autoSpaceDN/>
        <w:bidi w:val="0"/>
        <w:adjustRightInd w:val="0"/>
        <w:snapToGrid w:val="0"/>
        <w:spacing w:beforeAutospacing="0" w:line="560" w:lineRule="exact"/>
        <w:ind w:left="0" w:leftChars="0" w:firstLine="640" w:firstLineChars="200"/>
        <w:textAlignment w:val="auto"/>
        <w:outlineLvl w:val="9"/>
        <w:rPr>
          <w:rFonts w:hint="eastAsia" w:eastAsia="仿宋_GB2312" w:cs="Times New Roman"/>
          <w:szCs w:val="32"/>
          <w:lang w:eastAsia="zh-CN"/>
        </w:rPr>
      </w:pPr>
      <w:r>
        <w:rPr>
          <w:rFonts w:hint="eastAsia" w:ascii="Times New Roman" w:hAnsi="Times New Roman" w:cs="Times New Roman"/>
          <w:szCs w:val="32"/>
          <w:lang w:val="en-US" w:eastAsia="zh-CN"/>
        </w:rPr>
        <w:t>2.实施单位自评，形成完整自评资料。</w:t>
      </w:r>
    </w:p>
    <w:p>
      <w:pPr>
        <w:keepNext w:val="0"/>
        <w:keepLines w:val="0"/>
        <w:pageBreakBefore w:val="0"/>
        <w:widowControl w:val="0"/>
        <w:kinsoku/>
        <w:wordWrap/>
        <w:overflowPunct/>
        <w:topLinePunct w:val="0"/>
        <w:autoSpaceDE/>
        <w:autoSpaceDN/>
        <w:bidi w:val="0"/>
        <w:spacing w:beforeAutospacing="0" w:line="560" w:lineRule="exact"/>
        <w:ind w:left="0" w:leftChars="0" w:firstLine="642" w:firstLineChars="200"/>
        <w:jc w:val="both"/>
        <w:textAlignment w:val="auto"/>
        <w:outlineLvl w:val="9"/>
        <w:rPr>
          <w:rFonts w:ascii="楷体_GB2312" w:eastAsia="楷体_GB2312"/>
          <w:b/>
          <w:color w:val="auto"/>
          <w:sz w:val="32"/>
          <w:szCs w:val="32"/>
          <w:highlight w:val="none"/>
          <w:u w:val="none"/>
          <w:lang w:val="zh-CN"/>
        </w:rPr>
      </w:pPr>
      <w:r>
        <w:rPr>
          <w:rFonts w:hint="eastAsia" w:ascii="楷体_GB2312" w:eastAsia="楷体_GB2312"/>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eastAsia="仿宋_GB2312" w:cs="Times New Roman"/>
          <w:szCs w:val="32"/>
        </w:rPr>
      </w:pPr>
      <w:r>
        <w:rPr>
          <w:rFonts w:hint="eastAsia" w:eastAsia="仿宋_GB2312" w:cs="Times New Roman"/>
          <w:szCs w:val="32"/>
        </w:rPr>
        <w:t>评价组人员由相关业务股室和项目单位代表组成，评价小组以检查账目、资料、电话核实等形式开展了现场评价</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ascii="黑体" w:eastAsia="黑体" w:cs="黑体"/>
          <w:color w:val="FFC000"/>
          <w:sz w:val="32"/>
          <w:szCs w:val="32"/>
          <w:lang w:eastAsia="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textAlignment w:val="auto"/>
        <w:outlineLvl w:val="9"/>
        <w:rPr>
          <w:rFonts w:hint="eastAsia" w:ascii="楷体_GB2312" w:eastAsia="楷体_GB2312" w:cs="Times New Roman"/>
          <w:b/>
          <w:color w:val="auto"/>
          <w:sz w:val="32"/>
          <w:szCs w:val="32"/>
          <w:highlight w:val="none"/>
          <w:u w:val="none"/>
          <w:lang w:val="en-US" w:eastAsia="zh-CN"/>
        </w:rPr>
      </w:pPr>
      <w:r>
        <w:rPr>
          <w:rFonts w:hint="eastAsia" w:ascii="楷体_GB2312" w:eastAsia="楷体_GB2312" w:cs="Times New Roman"/>
          <w:b/>
          <w:color w:val="auto"/>
          <w:sz w:val="32"/>
          <w:szCs w:val="32"/>
          <w:highlight w:val="none"/>
          <w:u w:val="none"/>
          <w:lang w:val="zh-CN"/>
        </w:rPr>
        <w:t>（一）</w:t>
      </w:r>
      <w:r>
        <w:rPr>
          <w:rFonts w:hint="eastAsia" w:ascii="楷体_GB2312" w:eastAsia="楷体_GB2312" w:cs="Times New Roman"/>
          <w:b/>
          <w:color w:val="auto"/>
          <w:sz w:val="32"/>
          <w:szCs w:val="32"/>
          <w:highlight w:val="none"/>
          <w:u w:val="none"/>
          <w:lang w:val="en-US" w:eastAsia="zh-CN"/>
        </w:rPr>
        <w:t>通用指标</w:t>
      </w:r>
      <w:r>
        <w:rPr>
          <w:rFonts w:hint="eastAsia" w:ascii="楷体_GB2312" w:eastAsia="楷体_GB2312"/>
          <w:b/>
          <w:bCs/>
          <w:sz w:val="32"/>
          <w:szCs w:val="32"/>
          <w:highlight w:val="none"/>
        </w:rPr>
        <w:t>绩效分析。</w:t>
      </w:r>
      <w:r>
        <w:rPr>
          <w:rFonts w:hint="default" w:ascii="Times New Roman" w:hAnsi="Times New Roman" w:eastAsia="楷体_GB2312" w:cs="Times New Roman"/>
          <w:b/>
          <w:bCs/>
          <w:color w:val="000000"/>
          <w:kern w:val="0"/>
          <w:szCs w:val="32"/>
          <w:highlight w:val="none"/>
          <w:shd w:val="clear" w:color="auto" w:fill="FFFFFF"/>
          <w:lang w:val="zh-CN"/>
        </w:rPr>
        <w:t>指标分值</w:t>
      </w:r>
      <w:r>
        <w:rPr>
          <w:rFonts w:hint="eastAsia" w:eastAsia="楷体_GB2312" w:cs="Times New Roman"/>
          <w:b/>
          <w:bCs/>
          <w:color w:val="000000"/>
          <w:kern w:val="0"/>
          <w:szCs w:val="32"/>
          <w:highlight w:val="none"/>
          <w:shd w:val="clear" w:color="auto" w:fill="FFFFFF"/>
          <w:lang w:val="en-US" w:eastAsia="zh-CN"/>
        </w:rPr>
        <w:t>54</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52</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1.</w:t>
      </w:r>
      <w:r>
        <w:rPr>
          <w:rFonts w:hint="eastAsia" w:ascii="仿宋_GB2312" w:hAnsi="仿宋_GB2312" w:eastAsia="仿宋_GB2312" w:cs="仿宋_GB2312"/>
          <w:b/>
          <w:bCs/>
          <w:color w:val="auto"/>
          <w:szCs w:val="32"/>
          <w:lang w:eastAsia="zh-CN"/>
        </w:rPr>
        <w:t>项目决策。指标分值</w:t>
      </w:r>
      <w:r>
        <w:rPr>
          <w:rFonts w:hint="eastAsia" w:ascii="仿宋_GB2312" w:hAnsi="仿宋_GB2312" w:eastAsia="仿宋_GB2312" w:cs="仿宋_GB2312"/>
          <w:b/>
          <w:bCs/>
          <w:color w:val="auto"/>
          <w:szCs w:val="32"/>
          <w:lang w:val="en-US" w:eastAsia="zh-CN"/>
        </w:rPr>
        <w:t>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决策程序</w:t>
      </w:r>
      <w:r>
        <w:rPr>
          <w:rFonts w:hint="eastAsia" w:cs="Times New Roman"/>
          <w:color w:val="auto"/>
          <w:szCs w:val="32"/>
          <w:lang w:eastAsia="zh-CN"/>
        </w:rPr>
        <w:t>：</w:t>
      </w:r>
      <w:r>
        <w:rPr>
          <w:rFonts w:hint="eastAsia" w:ascii="Times New Roman" w:hAnsi="Times New Roman" w:cs="Times New Roman"/>
          <w:color w:val="auto"/>
          <w:szCs w:val="32"/>
          <w:lang w:eastAsia="zh-CN"/>
        </w:rPr>
        <w:t>项目设立、调整延续等方面符合资金管理基本规范和决策程序要求</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规划论证</w:t>
      </w:r>
      <w:r>
        <w:rPr>
          <w:rFonts w:hint="eastAsia" w:cs="Times New Roman"/>
          <w:color w:val="auto"/>
          <w:szCs w:val="32"/>
          <w:lang w:eastAsia="zh-CN"/>
        </w:rPr>
        <w:t>：</w:t>
      </w:r>
      <w:r>
        <w:rPr>
          <w:rFonts w:hint="eastAsia" w:ascii="Times New Roman" w:hAnsi="Times New Roman" w:cs="Times New Roman"/>
          <w:color w:val="auto"/>
          <w:szCs w:val="32"/>
          <w:lang w:eastAsia="zh-CN"/>
        </w:rPr>
        <w:t>项目规划论证符合</w:t>
      </w:r>
      <w:r>
        <w:rPr>
          <w:rFonts w:hint="eastAsia" w:cs="Times New Roman"/>
          <w:color w:val="auto"/>
          <w:szCs w:val="32"/>
          <w:lang w:eastAsia="zh-CN"/>
        </w:rPr>
        <w:t>中央、省委</w:t>
      </w:r>
      <w:r>
        <w:rPr>
          <w:rFonts w:hint="eastAsia" w:ascii="Times New Roman" w:hAnsi="Times New Roman" w:cs="Times New Roman"/>
          <w:color w:val="auto"/>
          <w:szCs w:val="32"/>
          <w:lang w:eastAsia="zh-CN"/>
        </w:rPr>
        <w:t>要求，项目绩效目标设置科学合理，项目资金与项目总体规划、相关行业事业发展相匹配，聚焦重大任务、重点领域、重点环节和重点项目</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eastAsia="zh-CN"/>
        </w:rPr>
        <w:t>：项目资金是与项目总体规划、相关行业事业发展相匹配，聚焦重大任务、重点领域、重点环节和重点项目。体现集中财力办大事原则，避免“撒胡椒面”。指标分值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2.项目管理。指标分值18分，自评得分18分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val="en-US" w:eastAsia="zh-CN"/>
        </w:rPr>
        <w:t>制度办法</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项目制度办法体系健全、要素完备</w:t>
      </w:r>
      <w:r>
        <w:rPr>
          <w:rFonts w:hint="eastAsia" w:cs="Times New Roman"/>
          <w:color w:val="auto"/>
          <w:szCs w:val="32"/>
          <w:lang w:val="en-US" w:eastAsia="zh-CN"/>
        </w:rPr>
        <w:t>。资金管理办法等管理制度体系健全完善，不存在管理制度缺失、管理办法过期情况。</w:t>
      </w:r>
      <w:r>
        <w:rPr>
          <w:rFonts w:hint="eastAsia" w:cs="Times New Roman"/>
          <w:color w:val="auto"/>
          <w:szCs w:val="32"/>
          <w:lang w:eastAsia="zh-CN"/>
        </w:rPr>
        <w:t>指标分值</w:t>
      </w:r>
      <w:r>
        <w:rPr>
          <w:rFonts w:hint="eastAsia" w:cs="Times New Roman"/>
          <w:color w:val="auto"/>
          <w:szCs w:val="32"/>
          <w:lang w:val="en-US" w:eastAsia="zh-CN"/>
        </w:rPr>
        <w:t>2分，自评得分2分。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eastAsia="zh-CN"/>
        </w:rPr>
      </w:pPr>
      <w:r>
        <w:rPr>
          <w:rFonts w:hint="eastAsia" w:cs="Times New Roman"/>
          <w:color w:val="auto"/>
          <w:szCs w:val="32"/>
          <w:lang w:val="en-US" w:eastAsia="zh-CN"/>
        </w:rPr>
        <w:t>分配管理：</w:t>
      </w:r>
      <w:r>
        <w:rPr>
          <w:rFonts w:hint="eastAsia" w:ascii="Times New Roman" w:hAnsi="Times New Roman" w:cs="Times New Roman"/>
          <w:color w:val="auto"/>
          <w:szCs w:val="32"/>
          <w:lang w:val="en-US" w:eastAsia="zh-CN"/>
        </w:rPr>
        <w:t>项目资金分配因素选取、权重设置、区域分布，项目管理、审批符合管理要求，管资金、项目、政策管绩效，项目绩效监管按要求开展，对下指导有力有效。</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楷体_GB2312" w:hAnsi="楷体_GB2312" w:eastAsia="楷体_GB2312" w:cs="楷体_GB2312"/>
          <w:color w:val="auto"/>
          <w:szCs w:val="32"/>
          <w:lang w:eastAsia="zh-CN"/>
        </w:rPr>
      </w:pPr>
      <w:r>
        <w:rPr>
          <w:rFonts w:hint="eastAsia" w:ascii="Times New Roman" w:hAnsi="Times New Roman" w:cs="Times New Roman"/>
          <w:color w:val="auto"/>
          <w:szCs w:val="32"/>
          <w:lang w:val="en-US" w:eastAsia="zh-CN"/>
        </w:rPr>
        <w:t>绩效监管：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w:t>
      </w:r>
      <w:r>
        <w:rPr>
          <w:rFonts w:hint="eastAsia" w:cs="Times New Roman"/>
          <w:color w:val="auto"/>
          <w:szCs w:val="32"/>
          <w:lang w:eastAsia="zh-CN"/>
        </w:rPr>
        <w:t>指标分值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3.项目实施。指标分值9分，自评得分7分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楷体_GB2312" w:hAnsi="楷体_GB2312" w:eastAsia="楷体_GB2312" w:cs="楷体_GB2312"/>
          <w:color w:val="auto"/>
          <w:szCs w:val="32"/>
          <w:highlight w:val="none"/>
          <w:lang w:eastAsia="zh-CN"/>
        </w:rPr>
      </w:pPr>
      <w:r>
        <w:rPr>
          <w:rFonts w:hint="eastAsia" w:ascii="Times New Roman" w:hAnsi="Times New Roman" w:cs="Times New Roman"/>
          <w:color w:val="auto"/>
          <w:szCs w:val="32"/>
          <w:highlight w:val="none"/>
          <w:lang w:val="en-US" w:eastAsia="zh-CN"/>
        </w:rPr>
        <w:t>预算执行：项目预算资金</w:t>
      </w:r>
      <w:r>
        <w:rPr>
          <w:rFonts w:hint="eastAsia" w:ascii="仿宋_GB2312" w:hAnsi="仿宋_GB2312" w:cs="仿宋_GB2312"/>
          <w:bCs/>
          <w:sz w:val="32"/>
          <w:szCs w:val="32"/>
          <w:highlight w:val="none"/>
          <w:lang w:val="en-US" w:eastAsia="zh-CN"/>
        </w:rPr>
        <w:t>2</w:t>
      </w:r>
      <w:r>
        <w:rPr>
          <w:rFonts w:hint="eastAsia" w:ascii="Times New Roman" w:hAnsi="Times New Roman" w:cs="Times New Roman"/>
          <w:color w:val="auto"/>
          <w:szCs w:val="32"/>
          <w:highlight w:val="none"/>
          <w:lang w:val="en-US" w:eastAsia="zh-CN"/>
        </w:rPr>
        <w:t>万元，支付</w:t>
      </w:r>
      <w:r>
        <w:rPr>
          <w:rFonts w:hint="eastAsia" w:cs="Times New Roman"/>
          <w:color w:val="auto"/>
          <w:szCs w:val="32"/>
          <w:highlight w:val="none"/>
          <w:lang w:val="en-US" w:eastAsia="zh-CN"/>
        </w:rPr>
        <w:t>0.5</w:t>
      </w:r>
      <w:r>
        <w:rPr>
          <w:rFonts w:hint="eastAsia" w:ascii="Times New Roman" w:hAnsi="Times New Roman" w:cs="Times New Roman"/>
          <w:color w:val="auto"/>
          <w:szCs w:val="32"/>
          <w:highlight w:val="none"/>
          <w:lang w:val="en-US" w:eastAsia="zh-CN"/>
        </w:rPr>
        <w:t>万元。</w:t>
      </w:r>
      <w:r>
        <w:rPr>
          <w:rFonts w:hint="eastAsia" w:cs="Times New Roman"/>
          <w:color w:val="auto"/>
          <w:szCs w:val="32"/>
          <w:highlight w:val="none"/>
          <w:lang w:eastAsia="zh-CN"/>
        </w:rPr>
        <w:t>指标分值</w:t>
      </w:r>
      <w:r>
        <w:rPr>
          <w:rFonts w:hint="eastAsia" w:cs="Times New Roman"/>
          <w:color w:val="auto"/>
          <w:szCs w:val="32"/>
          <w:highlight w:val="none"/>
          <w:lang w:val="en-US" w:eastAsia="zh-CN"/>
        </w:rPr>
        <w:t>6分，自评得分4分。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资金使用</w:t>
      </w:r>
      <w:r>
        <w:rPr>
          <w:rFonts w:hint="eastAsia" w:ascii="Times New Roman" w:hAnsi="Times New Roman" w:cs="Times New Roman"/>
          <w:color w:val="auto"/>
          <w:szCs w:val="32"/>
          <w:lang w:val="en-US" w:eastAsia="zh-CN"/>
        </w:rPr>
        <w:t>：项目</w:t>
      </w:r>
      <w:r>
        <w:rPr>
          <w:rFonts w:hint="eastAsia" w:cs="Times New Roman"/>
          <w:color w:val="auto"/>
          <w:szCs w:val="32"/>
          <w:lang w:val="en-US" w:eastAsia="zh-CN"/>
        </w:rPr>
        <w:t>资金使用、拨付符合国家财经法规、财务管理制度及有关专项资金管理制度办法规定和审批程序，不存在超范围、超标准、超进度使用专项资金，不存在资金损失浪费、长期沉淀、截留、挤占、挪用、虚列支出等情况。</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hint="eastAsia" w:ascii="仿宋_GB2312" w:hAnsi="仿宋_GB2312" w:eastAsia="仿宋_GB2312" w:cs="仿宋_GB2312"/>
          <w:b/>
          <w:bCs/>
          <w:color w:val="auto"/>
          <w:szCs w:val="32"/>
          <w:lang w:val="en-US" w:eastAsia="zh-CN"/>
        </w:rPr>
      </w:pPr>
      <w:r>
        <w:rPr>
          <w:rFonts w:hint="eastAsia" w:ascii="仿宋_GB2312" w:hAnsi="仿宋_GB2312" w:eastAsia="仿宋_GB2312" w:cs="仿宋_GB2312"/>
          <w:b/>
          <w:bCs/>
          <w:color w:val="auto"/>
          <w:szCs w:val="32"/>
          <w:lang w:val="en-US" w:eastAsia="zh-CN"/>
        </w:rPr>
        <w:t>4.项目结果。指标分值9分，自评得分9分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资金项目内容与具体实施内容相符的、申报目标是合理可行。项目运行成本、管理效率、履职效能、社会效应、可持续发展能力和服务对象满意度等方面均取得良好成果，预算绩效实现全覆盖。</w:t>
      </w:r>
      <w:r>
        <w:rPr>
          <w:rFonts w:hint="eastAsia" w:cs="Times New Roman"/>
          <w:color w:val="auto"/>
          <w:szCs w:val="32"/>
          <w:lang w:val="en-US" w:eastAsia="zh-CN"/>
        </w:rPr>
        <w:t>截止2024年底完成项目资金拨付。指</w:t>
      </w:r>
      <w:r>
        <w:rPr>
          <w:rFonts w:hint="eastAsia" w:cs="Times New Roman"/>
          <w:color w:val="auto"/>
          <w:szCs w:val="32"/>
          <w:lang w:eastAsia="zh-CN"/>
        </w:rPr>
        <w:t>标分值</w:t>
      </w:r>
      <w:r>
        <w:rPr>
          <w:rFonts w:hint="eastAsia" w:cs="Times New Roman"/>
          <w:color w:val="auto"/>
          <w:szCs w:val="32"/>
          <w:lang w:val="en-US" w:eastAsia="zh-CN"/>
        </w:rPr>
        <w:t>6分，自评得分6分。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ascii="Times New Roman" w:hAnsi="Times New Roman" w:cs="Times New Roman"/>
          <w:color w:val="auto"/>
          <w:szCs w:val="32"/>
          <w:lang w:val="en-US" w:eastAsia="zh-CN"/>
        </w:rPr>
      </w:pPr>
      <w:r>
        <w:rPr>
          <w:rFonts w:hint="eastAsia" w:cs="Times New Roman"/>
          <w:color w:val="auto"/>
          <w:szCs w:val="32"/>
          <w:lang w:val="en-US" w:eastAsia="zh-CN"/>
        </w:rPr>
        <w:t>完成时效：资金项目按照目标任务已于2024年底完成。</w:t>
      </w:r>
      <w:r>
        <w:rPr>
          <w:rFonts w:hint="eastAsia" w:cs="Times New Roman"/>
          <w:color w:val="auto"/>
          <w:szCs w:val="32"/>
          <w:lang w:eastAsia="zh-CN"/>
        </w:rPr>
        <w:t>指标分值</w:t>
      </w:r>
      <w:r>
        <w:rPr>
          <w:rFonts w:hint="eastAsia" w:cs="Times New Roman"/>
          <w:color w:val="auto"/>
          <w:szCs w:val="32"/>
          <w:lang w:val="en-US" w:eastAsia="zh-CN"/>
        </w:rPr>
        <w:t>3分，自评得分3分。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2" w:firstLineChars="200"/>
        <w:textAlignment w:val="auto"/>
        <w:outlineLvl w:val="9"/>
        <w:rPr>
          <w:rFonts w:ascii="楷体_GB2312" w:eastAsia="楷体_GB2312"/>
          <w:b/>
          <w:bCs/>
          <w:sz w:val="32"/>
          <w:szCs w:val="32"/>
          <w:highlight w:val="none"/>
          <w:lang w:val="zh-CN"/>
        </w:rPr>
      </w:pPr>
      <w:r>
        <w:rPr>
          <w:rFonts w:hint="eastAsia" w:ascii="楷体_GB2312" w:eastAsia="楷体_GB2312"/>
          <w:b/>
          <w:sz w:val="32"/>
          <w:szCs w:val="32"/>
          <w:highlight w:val="none"/>
          <w:lang w:val="zh-CN"/>
        </w:rPr>
        <w:t>（二）</w:t>
      </w:r>
      <w:r>
        <w:rPr>
          <w:rFonts w:hint="eastAsia" w:ascii="楷体_GB2312" w:eastAsia="楷体_GB2312"/>
          <w:b/>
          <w:sz w:val="32"/>
          <w:szCs w:val="32"/>
          <w:highlight w:val="none"/>
          <w:lang w:val="zh-CN" w:eastAsia="zh-CN"/>
        </w:rPr>
        <w:t>专用指标</w:t>
      </w:r>
      <w:r>
        <w:rPr>
          <w:rFonts w:hint="eastAsia" w:ascii="楷体_GB2312" w:eastAsia="楷体_GB2312"/>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30</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en-US" w:eastAsia="zh-CN"/>
        </w:rPr>
      </w:pPr>
      <w:r>
        <w:rPr>
          <w:rFonts w:hint="eastAsia" w:ascii="Times New Roman" w:hAnsi="Times New Roman" w:cs="Times New Roman"/>
          <w:color w:val="auto"/>
          <w:szCs w:val="32"/>
          <w:lang w:val="en-US" w:eastAsia="zh-CN"/>
        </w:rPr>
        <w:t>用途合规性</w:t>
      </w:r>
      <w:r>
        <w:rPr>
          <w:rFonts w:hint="eastAsia" w:cs="Times New Roman"/>
          <w:color w:val="auto"/>
          <w:szCs w:val="32"/>
          <w:lang w:val="en-US" w:eastAsia="zh-CN"/>
        </w:rPr>
        <w:t>：该项目规定用途、适用范围进行本地区专项资金分配。</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cs="Times New Roman"/>
          <w:color w:val="auto"/>
          <w:szCs w:val="32"/>
          <w:lang w:val="zh-CN" w:eastAsia="zh-CN"/>
        </w:rPr>
      </w:pPr>
      <w:r>
        <w:rPr>
          <w:rFonts w:hint="eastAsia" w:ascii="Times New Roman" w:hAnsi="Times New Roman" w:cs="Times New Roman"/>
          <w:color w:val="auto"/>
          <w:szCs w:val="32"/>
          <w:lang w:val="en-US" w:eastAsia="zh-CN"/>
        </w:rPr>
        <w:t>程序合规性：项目资金分配均衡公平，资金实际支持对象符合管理要求，符合支持对象范围，资金实际补贴标准符合资金管理办法规定的补助标准，及时按标准兑现，资金涉及服务对象满意度不低于9</w:t>
      </w:r>
      <w:r>
        <w:rPr>
          <w:rFonts w:hint="eastAsia" w:cs="Times New Roman"/>
          <w:color w:val="auto"/>
          <w:szCs w:val="32"/>
          <w:lang w:val="en-US" w:eastAsia="zh-CN"/>
        </w:rPr>
        <w:t>5</w:t>
      </w:r>
      <w:r>
        <w:rPr>
          <w:rFonts w:hint="eastAsia" w:ascii="Times New Roman" w:hAnsi="Times New Roman" w:cs="Times New Roman"/>
          <w:color w:val="auto"/>
          <w:szCs w:val="32"/>
          <w:lang w:val="en-US" w:eastAsia="zh-CN"/>
        </w:rPr>
        <w:t>%，</w:t>
      </w:r>
      <w:r>
        <w:rPr>
          <w:rFonts w:hint="eastAsia" w:cs="Times New Roman"/>
          <w:color w:val="auto"/>
          <w:szCs w:val="32"/>
          <w:lang w:val="zh-CN" w:eastAsia="zh-CN"/>
        </w:rPr>
        <w:t>项目用途合规性、程序合规性、标准合规性。</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default" w:cs="Times New Roman"/>
          <w:color w:val="auto"/>
          <w:szCs w:val="32"/>
          <w:lang w:val="en-US" w:eastAsia="zh-CN"/>
        </w:rPr>
      </w:pPr>
      <w:r>
        <w:rPr>
          <w:rFonts w:hint="eastAsia" w:cs="Times New Roman"/>
          <w:color w:val="auto"/>
          <w:szCs w:val="32"/>
          <w:lang w:val="en-US" w:eastAsia="zh-CN"/>
        </w:rPr>
        <w:t>标准合规性：严格按照县委、县政府和财政标准要求，准确编制预算，确保项目的长期效益和持续运行，提高项目的整体价值和社会的整体福利。</w:t>
      </w:r>
      <w:r>
        <w:rPr>
          <w:rFonts w:hint="eastAsia" w:cs="Times New Roman"/>
          <w:color w:val="auto"/>
          <w:szCs w:val="32"/>
          <w:lang w:eastAsia="zh-CN"/>
        </w:rPr>
        <w:t>指标分值</w:t>
      </w:r>
      <w:r>
        <w:rPr>
          <w:rFonts w:hint="eastAsia" w:cs="Times New Roman"/>
          <w:color w:val="auto"/>
          <w:szCs w:val="32"/>
          <w:lang w:val="en-US" w:eastAsia="zh-CN"/>
        </w:rPr>
        <w:t>10分，自评得分10分。</w:t>
      </w:r>
    </w:p>
    <w:p>
      <w:pPr>
        <w:keepNext w:val="0"/>
        <w:keepLines w:val="0"/>
        <w:pageBreakBefore w:val="0"/>
        <w:widowControl w:val="0"/>
        <w:kinsoku/>
        <w:wordWrap/>
        <w:overflowPunct/>
        <w:topLinePunct w:val="0"/>
        <w:autoSpaceDE/>
        <w:autoSpaceDN/>
        <w:bidi w:val="0"/>
        <w:adjustRightInd/>
        <w:snapToGrid/>
        <w:spacing w:beforeAutospacing="0" w:line="560" w:lineRule="exact"/>
        <w:ind w:firstLine="642" w:firstLineChars="200"/>
        <w:textAlignment w:val="auto"/>
        <w:outlineLvl w:val="9"/>
        <w:rPr>
          <w:rFonts w:hint="eastAsia" w:ascii="仿宋_GB2312" w:eastAsia="仿宋_GB2312" w:cs="仿宋_GB2312"/>
          <w:bCs/>
          <w:sz w:val="32"/>
          <w:szCs w:val="32"/>
          <w:lang w:val="zh-CN" w:eastAsia="zh-CN"/>
        </w:rPr>
      </w:pPr>
      <w:r>
        <w:rPr>
          <w:rFonts w:hint="eastAsia" w:ascii="楷体_GB2312" w:eastAsia="楷体_GB2312"/>
          <w:b/>
          <w:sz w:val="32"/>
          <w:szCs w:val="32"/>
          <w:highlight w:val="none"/>
          <w:lang w:val="zh-CN" w:eastAsia="zh-CN"/>
        </w:rPr>
        <w:t>（三）个性指标</w:t>
      </w:r>
      <w:r>
        <w:rPr>
          <w:rFonts w:hint="eastAsia" w:ascii="楷体_GB2312" w:eastAsia="楷体_GB2312"/>
          <w:b/>
          <w:bCs/>
          <w:sz w:val="32"/>
          <w:szCs w:val="32"/>
          <w:highlight w:val="none"/>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rPr>
        <w:t>标分值</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分，自评得分</w:t>
      </w:r>
      <w:r>
        <w:rPr>
          <w:rFonts w:hint="eastAsia" w:eastAsia="楷体_GB2312" w:cs="Times New Roman"/>
          <w:b/>
          <w:bCs/>
          <w:color w:val="000000"/>
          <w:kern w:val="0"/>
          <w:szCs w:val="32"/>
          <w:highlight w:val="none"/>
          <w:shd w:val="clear" w:color="auto" w:fill="FFFFFF"/>
          <w:lang w:val="en-US" w:eastAsia="zh-CN"/>
        </w:rPr>
        <w:t>16</w:t>
      </w:r>
      <w:r>
        <w:rPr>
          <w:rFonts w:hint="default" w:ascii="Times New Roman" w:hAnsi="Times New Roman" w:eastAsia="楷体_GB2312" w:cs="Times New Roman"/>
          <w:b/>
          <w:bCs/>
          <w:color w:val="000000"/>
          <w:kern w:val="0"/>
          <w:szCs w:val="32"/>
          <w:highlight w:val="none"/>
          <w:shd w:val="clear" w:color="auto" w:fill="FFFFFF"/>
          <w:lang w:val="zh-CN"/>
        </w:rPr>
        <w:t>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val="en-US" w:eastAsia="zh-CN"/>
        </w:rPr>
        <w:t>我乡</w:t>
      </w:r>
      <w:r>
        <w:rPr>
          <w:rFonts w:hint="eastAsia" w:ascii="Times New Roman" w:hAnsi="Times New Roman" w:cs="Times New Roman"/>
          <w:color w:val="auto"/>
          <w:szCs w:val="32"/>
          <w:lang w:val="en-US" w:eastAsia="zh-CN"/>
        </w:rPr>
        <w:t>在规定时间内做好</w:t>
      </w:r>
      <w:r>
        <w:rPr>
          <w:rFonts w:hint="eastAsia" w:cs="Times New Roman"/>
          <w:color w:val="auto"/>
          <w:szCs w:val="32"/>
          <w:lang w:val="en-US" w:eastAsia="zh-CN"/>
        </w:rPr>
        <w:t>避险转移经费</w:t>
      </w:r>
      <w:r>
        <w:rPr>
          <w:rFonts w:hint="eastAsia" w:ascii="Times New Roman" w:hAnsi="Times New Roman" w:cs="Times New Roman"/>
          <w:color w:val="auto"/>
          <w:szCs w:val="32"/>
          <w:lang w:val="en-US" w:eastAsia="zh-CN"/>
        </w:rPr>
        <w:t>个性化绩效评价</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指标具有特定的针对性，能够更好地反映</w:t>
      </w:r>
      <w:r>
        <w:rPr>
          <w:rFonts w:hint="eastAsia" w:cs="Times New Roman"/>
          <w:color w:val="auto"/>
          <w:szCs w:val="32"/>
          <w:lang w:val="en-US" w:eastAsia="zh-CN"/>
        </w:rPr>
        <w:t>资金使用情况，</w:t>
      </w:r>
      <w:r>
        <w:rPr>
          <w:rFonts w:hint="eastAsia" w:ascii="Times New Roman" w:hAnsi="Times New Roman" w:cs="Times New Roman"/>
          <w:color w:val="auto"/>
          <w:szCs w:val="32"/>
          <w:lang w:val="en-US" w:eastAsia="zh-CN"/>
        </w:rPr>
        <w:t>提高部门的整体绩效水平。</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val="en-US" w:eastAsia="zh-CN"/>
        </w:rPr>
        <w:t>群众转移覆盖率：全乡5个行，保障各村村民应对突发自然灾害前及时救援转移、覆盖率达100%。</w:t>
      </w:r>
      <w:r>
        <w:rPr>
          <w:rFonts w:hint="eastAsia" w:cs="Times New Roman"/>
          <w:color w:val="auto"/>
          <w:szCs w:val="32"/>
          <w:lang w:eastAsia="zh-CN"/>
        </w:rPr>
        <w:t>指标分值</w:t>
      </w:r>
      <w:r>
        <w:rPr>
          <w:rFonts w:hint="eastAsia"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adjustRightInd/>
        <w:snapToGrid/>
        <w:spacing w:beforeAutospacing="0" w:line="560" w:lineRule="exact"/>
        <w:ind w:left="0" w:leftChars="0" w:firstLine="640" w:firstLineChars="200"/>
        <w:textAlignment w:val="auto"/>
        <w:outlineLvl w:val="9"/>
        <w:rPr>
          <w:rFonts w:hint="eastAsia" w:ascii="仿宋_GB2312" w:eastAsia="仿宋_GB2312" w:cs="仿宋_GB2312"/>
          <w:bCs/>
          <w:sz w:val="32"/>
          <w:szCs w:val="32"/>
          <w:lang w:val="zh-CN" w:eastAsia="zh-CN"/>
        </w:rPr>
      </w:pPr>
      <w:r>
        <w:rPr>
          <w:rFonts w:hint="eastAsia" w:cs="Times New Roman"/>
          <w:color w:val="auto"/>
          <w:szCs w:val="32"/>
          <w:lang w:val="en-US" w:eastAsia="zh-CN"/>
        </w:rPr>
        <w:t>项目公示：按照公开要求，在门户网站中公开公示资金使用情况。</w:t>
      </w:r>
      <w:r>
        <w:rPr>
          <w:rFonts w:hint="eastAsia" w:cs="Times New Roman"/>
          <w:color w:val="auto"/>
          <w:szCs w:val="32"/>
          <w:lang w:eastAsia="zh-CN"/>
        </w:rPr>
        <w:t>指标分值</w:t>
      </w:r>
      <w:r>
        <w:rPr>
          <w:rFonts w:hint="eastAsia" w:cs="Times New Roman"/>
          <w:color w:val="auto"/>
          <w:szCs w:val="32"/>
          <w:lang w:val="en-US" w:eastAsia="zh-CN"/>
        </w:rPr>
        <w:t>8分，自评得分8分。</w:t>
      </w:r>
    </w:p>
    <w:p>
      <w:pPr>
        <w:keepNext w:val="0"/>
        <w:keepLines w:val="0"/>
        <w:pageBreakBefore w:val="0"/>
        <w:widowControl w:val="0"/>
        <w:kinsoku/>
        <w:wordWrap/>
        <w:overflowPunct/>
        <w:topLinePunct w:val="0"/>
        <w:autoSpaceDE/>
        <w:autoSpaceDN/>
        <w:bidi w:val="0"/>
        <w:spacing w:beforeAutospacing="0" w:line="560" w:lineRule="exact"/>
        <w:ind w:left="0" w:leftChars="0" w:firstLine="640" w:firstLineChars="200"/>
        <w:jc w:val="both"/>
        <w:textAlignment w:val="auto"/>
        <w:rPr>
          <w:rFonts w:hint="eastAsia" w:ascii="黑体" w:eastAsia="黑体"/>
          <w:color w:val="auto"/>
          <w:sz w:val="32"/>
          <w:szCs w:val="32"/>
          <w:highlight w:val="none"/>
          <w:u w:val="none"/>
        </w:rPr>
      </w:pPr>
      <w:r>
        <w:rPr>
          <w:rFonts w:hint="eastAsia" w:ascii="黑体" w:eastAsia="黑体"/>
          <w:color w:val="auto"/>
          <w:sz w:val="32"/>
          <w:szCs w:val="32"/>
          <w:highlight w:val="none"/>
          <w:u w:val="none"/>
          <w:lang w:eastAsia="zh-CN"/>
        </w:rPr>
        <w:t>四</w:t>
      </w:r>
      <w:r>
        <w:rPr>
          <w:rFonts w:hint="eastAsia" w:ascii="黑体" w:eastAsia="黑体"/>
          <w:color w:val="auto"/>
          <w:sz w:val="32"/>
          <w:szCs w:val="32"/>
          <w:highlight w:val="none"/>
          <w:u w:val="none"/>
        </w:rPr>
        <w:t>、评价结论</w:t>
      </w:r>
    </w:p>
    <w:p>
      <w:pPr>
        <w:pStyle w:val="2"/>
        <w:keepNext w:val="0"/>
        <w:keepLines w:val="0"/>
        <w:pageBreakBefore w:val="0"/>
        <w:widowControl w:val="0"/>
        <w:numPr>
          <w:ilvl w:val="0"/>
          <w:numId w:val="0"/>
        </w:numPr>
        <w:tabs>
          <w:tab w:val="left" w:pos="2160"/>
        </w:tabs>
        <w:kinsoku/>
        <w:wordWrap/>
        <w:overflowPunct/>
        <w:topLinePunct w:val="0"/>
        <w:autoSpaceDE/>
        <w:autoSpaceDN/>
        <w:bidi w:val="0"/>
        <w:adjustRightInd/>
        <w:spacing w:before="0" w:beforeAutospacing="0" w:after="0"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通过汇总、整理、分析</w:t>
      </w:r>
      <w:r>
        <w:rPr>
          <w:rFonts w:hint="eastAsia" w:ascii="仿宋_GB2312" w:hAnsi="仿宋_GB2312" w:cs="仿宋_GB2312"/>
          <w:b w:val="0"/>
          <w:bCs w:val="0"/>
          <w:kern w:val="0"/>
          <w:position w:val="0"/>
          <w:sz w:val="32"/>
          <w:szCs w:val="32"/>
          <w:highlight w:val="none"/>
          <w:lang w:val="en-US" w:eastAsia="zh-CN" w:bidi="ar-SA"/>
        </w:rPr>
        <w:t>洛多乡</w:t>
      </w:r>
      <w:r>
        <w:rPr>
          <w:rFonts w:hint="eastAsia" w:ascii="仿宋_GB2312" w:eastAsia="仿宋_GB2312" w:cs="仿宋_GB2312"/>
          <w:sz w:val="32"/>
          <w:szCs w:val="32"/>
          <w:lang w:eastAsia="zh-CN"/>
        </w:rPr>
        <w:t>避险转移经费项目</w:t>
      </w:r>
      <w:r>
        <w:rPr>
          <w:rFonts w:hint="eastAsia" w:ascii="仿宋_GB2312" w:hAnsi="仿宋_GB2312" w:eastAsia="仿宋_GB2312" w:cs="仿宋_GB2312"/>
          <w:b w:val="0"/>
          <w:bCs w:val="0"/>
          <w:kern w:val="0"/>
          <w:position w:val="0"/>
          <w:sz w:val="32"/>
          <w:szCs w:val="32"/>
          <w:highlight w:val="none"/>
          <w:lang w:val="en-US" w:eastAsia="zh-CN" w:bidi="ar-SA"/>
        </w:rPr>
        <w:t>绩效评价指标体系，绩效目标基本实现，自评得分为98分。</w:t>
      </w:r>
    </w:p>
    <w:p>
      <w:pPr>
        <w:pStyle w:val="2"/>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五、存在主要问题</w:t>
      </w:r>
    </w:p>
    <w:p>
      <w:pPr>
        <w:pStyle w:val="2"/>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仿宋_GB2312" w:eastAsia="仿宋_GB2312" w:cs="仿宋_GB2312"/>
          <w:bCs/>
          <w:sz w:val="32"/>
          <w:szCs w:val="32"/>
          <w:lang w:val="zh-CN" w:eastAsia="zh-CN" w:bidi="ar-SA"/>
        </w:rPr>
      </w:pPr>
      <w:r>
        <w:rPr>
          <w:rFonts w:hint="eastAsia" w:ascii="仿宋_GB2312" w:eastAsia="仿宋_GB2312" w:cs="仿宋_GB2312"/>
          <w:bCs/>
          <w:sz w:val="32"/>
          <w:szCs w:val="32"/>
          <w:lang w:val="zh-CN" w:eastAsia="zh-CN" w:bidi="ar-SA"/>
        </w:rPr>
        <w:t>各村有序开展避险转移工作，但转移工作资料不够详实，报账积极性不够。</w:t>
      </w:r>
    </w:p>
    <w:p>
      <w:pPr>
        <w:pStyle w:val="2"/>
        <w:keepNext w:val="0"/>
        <w:keepLines w:val="0"/>
        <w:pageBreakBefore w:val="0"/>
        <w:widowControl w:val="0"/>
        <w:tabs>
          <w:tab w:val="left" w:pos="2160"/>
        </w:tabs>
        <w:kinsoku/>
        <w:wordWrap/>
        <w:overflowPunct/>
        <w:topLinePunct w:val="0"/>
        <w:autoSpaceDE/>
        <w:autoSpaceDN/>
        <w:bidi w:val="0"/>
        <w:spacing w:before="0" w:beforeAutospacing="0" w:after="0" w:line="560" w:lineRule="exact"/>
        <w:ind w:left="0" w:leftChars="0" w:firstLine="640" w:firstLineChars="200"/>
        <w:jc w:val="both"/>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仿宋_GB2312" w:eastAsia="仿宋_GB2312" w:cs="仿宋_GB2312"/>
          <w:bCs/>
          <w:sz w:val="32"/>
          <w:szCs w:val="32"/>
          <w:lang w:val="zh-CN"/>
        </w:rPr>
        <w:t>加大各村宣传力度，提高积极性。</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附表：1.</w:t>
      </w:r>
      <w:r>
        <w:rPr>
          <w:rFonts w:hint="eastAsia" w:cs="Times New Roman"/>
          <w:color w:val="000000"/>
          <w:kern w:val="0"/>
          <w:szCs w:val="32"/>
          <w:highlight w:val="none"/>
          <w:shd w:val="clear" w:color="auto" w:fill="FFFFFF"/>
          <w:lang w:val="en-US" w:eastAsia="zh-CN"/>
        </w:rPr>
        <w:t>专项</w:t>
      </w:r>
      <w:r>
        <w:rPr>
          <w:rFonts w:hint="default" w:ascii="Times New Roman" w:hAnsi="Times New Roman" w:cs="Times New Roman"/>
          <w:color w:val="000000"/>
          <w:kern w:val="0"/>
          <w:szCs w:val="32"/>
          <w:highlight w:val="none"/>
          <w:shd w:val="clear" w:color="auto" w:fill="FFFFFF"/>
          <w:lang w:val="en-US" w:eastAsia="zh-CN"/>
        </w:rPr>
        <w:t>预算绩效自评打分表</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2.专项预算绩效自评实地踏勘点位清单表</w:t>
      </w:r>
    </w:p>
    <w:p>
      <w:pPr>
        <w:keepNext w:val="0"/>
        <w:keepLines w:val="0"/>
        <w:pageBreakBefore w:val="0"/>
        <w:widowControl w:val="0"/>
        <w:kinsoku/>
        <w:wordWrap/>
        <w:overflowPunct/>
        <w:topLinePunct w:val="0"/>
        <w:autoSpaceDE/>
        <w:autoSpaceDN/>
        <w:bidi w:val="0"/>
        <w:adjustRightInd/>
        <w:snapToGrid w:val="0"/>
        <w:spacing w:beforeAutospacing="0" w:line="560" w:lineRule="exact"/>
        <w:ind w:left="0" w:leftChars="0" w:firstLine="1600" w:firstLineChars="500"/>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3.</w:t>
      </w:r>
      <w:r>
        <w:rPr>
          <w:rFonts w:hint="default" w:ascii="Times New Roman" w:hAnsi="Times New Roman" w:cs="Times New Roman"/>
          <w:color w:val="000000"/>
          <w:kern w:val="0"/>
          <w:szCs w:val="32"/>
          <w:highlight w:val="none"/>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adjustRightInd/>
        <w:snapToGrid w:val="0"/>
        <w:spacing w:line="560"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eastAsia" w:ascii="Times New Roman" w:hAnsi="Times New Roman" w:eastAsia="方正小标宋_GBK" w:cs="Times New Roman"/>
          <w:b w:val="0"/>
          <w:bCs w:val="0"/>
          <w:color w:val="auto"/>
          <w:sz w:val="40"/>
          <w:szCs w:val="40"/>
          <w:highlight w:val="none"/>
          <w:u w:val="none"/>
          <w:lang w:val="en-US" w:eastAsia="zh-CN"/>
        </w:rPr>
      </w:pPr>
    </w:p>
    <w:p>
      <w:pPr>
        <w:keepNext w:val="0"/>
        <w:keepLines w:val="0"/>
        <w:pageBreakBefore w:val="0"/>
        <w:widowControl w:val="0"/>
        <w:kinsoku/>
        <w:wordWrap/>
        <w:overflowPunct/>
        <w:topLinePunct w:val="0"/>
        <w:autoSpaceDE/>
        <w:autoSpaceDN/>
        <w:bidi w:val="0"/>
        <w:adjustRightIn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eastAsia" w:ascii="Times New Roman" w:hAnsi="Times New Roman" w:eastAsia="方正小标宋_GBK" w:cs="Times New Roman"/>
          <w:b w:val="0"/>
          <w:bCs w:val="0"/>
          <w:color w:val="auto"/>
          <w:sz w:val="44"/>
          <w:szCs w:val="44"/>
          <w:highlight w:val="none"/>
          <w:u w:val="none"/>
          <w:lang w:val="en-US" w:eastAsia="zh-CN"/>
        </w:rPr>
        <w:t>专项</w:t>
      </w:r>
      <w:r>
        <w:rPr>
          <w:rFonts w:hint="default" w:ascii="Times New Roman" w:hAnsi="Times New Roman" w:eastAsia="方正小标宋_GBK" w:cs="Times New Roman"/>
          <w:b w:val="0"/>
          <w:bCs w:val="0"/>
          <w:color w:val="auto"/>
          <w:sz w:val="44"/>
          <w:szCs w:val="44"/>
          <w:highlight w:val="none"/>
          <w:u w:val="none"/>
          <w:lang w:val="en-US" w:eastAsia="zh-CN"/>
        </w:rPr>
        <w:t>预算绩效自评打分表</w:t>
      </w:r>
    </w:p>
    <w:tbl>
      <w:tblPr>
        <w:tblStyle w:val="4"/>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558"/>
        <w:gridCol w:w="493"/>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kern w:val="0"/>
                <w:sz w:val="24"/>
                <w:szCs w:val="24"/>
                <w:u w:val="none"/>
                <w:lang w:val="en-US" w:eastAsia="zh-CN" w:bidi="ar"/>
              </w:rPr>
            </w:pPr>
            <w:r>
              <w:rPr>
                <w:rFonts w:hint="default" w:ascii="Times New Roman" w:hAnsi="Times New Roman" w:eastAsia="黑体" w:cs="Times New Roman"/>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二级指标</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三级指标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i w:val="0"/>
                <w:color w:val="000000"/>
                <w:sz w:val="24"/>
                <w:szCs w:val="24"/>
                <w:u w:val="none"/>
              </w:rPr>
            </w:pPr>
            <w:r>
              <w:rPr>
                <w:rFonts w:hint="default" w:ascii="Times New Roman" w:hAnsi="Times New Roman" w:eastAsia="黑体" w:cs="Times New Roman"/>
                <w:i w:val="0"/>
                <w:color w:val="000000"/>
                <w:kern w:val="0"/>
                <w:sz w:val="24"/>
                <w:szCs w:val="24"/>
                <w:u w:val="none"/>
                <w:lang w:val="en-US" w:eastAsia="zh-CN" w:bidi="ar"/>
              </w:rPr>
              <w:t>指标</w:t>
            </w:r>
            <w:r>
              <w:rPr>
                <w:rFonts w:hint="default" w:ascii="Times New Roman" w:hAnsi="Times New Roman" w:eastAsia="黑体" w:cs="Times New Roman"/>
                <w:i w:val="0"/>
                <w:color w:val="000000"/>
                <w:kern w:val="0"/>
                <w:sz w:val="24"/>
                <w:szCs w:val="24"/>
                <w:u w:val="none"/>
                <w:lang w:val="en-US" w:eastAsia="zh-CN" w:bidi="ar"/>
              </w:rPr>
              <w:br w:type="textWrapping"/>
            </w:r>
            <w:r>
              <w:rPr>
                <w:rFonts w:hint="default" w:ascii="Times New Roman" w:hAnsi="Times New Roman" w:eastAsia="黑体" w:cs="Times New Roman"/>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通用指标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项目决策</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决策程序</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规划论证</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项目规划论证是否符合</w:t>
            </w:r>
            <w:r>
              <w:rPr>
                <w:rFonts w:hint="eastAsia" w:cs="Times New Roman"/>
                <w:i w:val="0"/>
                <w:color w:val="000000"/>
                <w:kern w:val="0"/>
                <w:sz w:val="24"/>
                <w:szCs w:val="24"/>
                <w:u w:val="none"/>
                <w:lang w:val="en-US" w:eastAsia="zh-CN" w:bidi="ar"/>
              </w:rPr>
              <w:t>中央、省委</w:t>
            </w:r>
            <w:r>
              <w:rPr>
                <w:rFonts w:hint="default" w:ascii="Times New Roman" w:hAnsi="Times New Roman" w:eastAsia="仿宋_GB2312" w:cs="Times New Roman"/>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资金投向</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项目管理</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（18分）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制度办法</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分配管理</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绩效监管</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项目实施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预算执行</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项目结果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（9分）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目标完成</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完成时效</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产业发展</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符合性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项目实施是否与</w:t>
            </w:r>
            <w:r>
              <w:rPr>
                <w:rFonts w:hint="eastAsia" w:ascii="Times New Roman" w:hAnsi="Times New Roman" w:cs="Times New Roman"/>
                <w:i w:val="0"/>
                <w:color w:val="000000"/>
                <w:kern w:val="0"/>
                <w:sz w:val="24"/>
                <w:szCs w:val="24"/>
                <w:u w:val="none"/>
                <w:lang w:val="en-US" w:eastAsia="zh-CN" w:bidi="ar"/>
              </w:rPr>
              <w:t>省委、省政府</w:t>
            </w:r>
            <w:r>
              <w:rPr>
                <w:rFonts w:hint="default" w:ascii="Times New Roman" w:hAnsi="Times New Roman" w:eastAsia="仿宋_GB2312" w:cs="Times New Roman"/>
                <w:i w:val="0"/>
                <w:color w:val="000000"/>
                <w:kern w:val="0"/>
                <w:sz w:val="24"/>
                <w:szCs w:val="24"/>
                <w:u w:val="none"/>
                <w:lang w:val="en-US" w:eastAsia="zh-CN" w:bidi="ar"/>
              </w:rPr>
              <w:t>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成长性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经济性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民生保障</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区域均衡性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对象精准性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标准合理性</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群众满意度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基础</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设施</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在建</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工程进度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资金拨付</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建成</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项目</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功能实现</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后续管护</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专用指标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行政运转</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（30分）</w:t>
            </w:r>
          </w:p>
        </w:tc>
        <w:tc>
          <w:tcPr>
            <w:tcW w:w="155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用途合规性</w:t>
            </w:r>
          </w:p>
        </w:tc>
        <w:tc>
          <w:tcPr>
            <w:tcW w:w="493"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程序合规性</w:t>
            </w:r>
          </w:p>
        </w:tc>
        <w:tc>
          <w:tcPr>
            <w:tcW w:w="493"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楷体_GB2312" w:cs="Times New Roman"/>
                <w:b/>
                <w:i w:val="0"/>
                <w:color w:val="000000"/>
                <w:sz w:val="24"/>
                <w:szCs w:val="24"/>
                <w:u w:val="none"/>
              </w:rPr>
            </w:pPr>
          </w:p>
        </w:tc>
        <w:tc>
          <w:tcPr>
            <w:tcW w:w="155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标准合规性</w:t>
            </w:r>
          </w:p>
        </w:tc>
        <w:tc>
          <w:tcPr>
            <w:tcW w:w="493"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r>
              <w:rPr>
                <w:rFonts w:hint="default" w:ascii="Times New Roman" w:hAnsi="Times New Roman" w:eastAsia="楷体_GB2312" w:cs="Times New Roman"/>
                <w:b/>
                <w:i w:val="0"/>
                <w:color w:val="000000"/>
                <w:kern w:val="0"/>
                <w:sz w:val="24"/>
                <w:szCs w:val="24"/>
                <w:u w:val="none"/>
                <w:lang w:val="en-US" w:eastAsia="zh-CN" w:bidi="ar"/>
              </w:rPr>
              <w:t>个性指标</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（16分）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群众转移覆盖率</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lang w:val="en-US" w:eastAsia="zh-CN"/>
              </w:rPr>
            </w:pPr>
            <w:r>
              <w:rPr>
                <w:rFonts w:hint="default" w:ascii="Times New Roman" w:hAnsi="Times New Roman" w:eastAsia="仿宋_GB2312" w:cs="Times New Roman"/>
                <w:i w:val="0"/>
                <w:color w:val="000000"/>
                <w:sz w:val="24"/>
                <w:szCs w:val="24"/>
                <w:u w:val="none"/>
                <w:lang w:val="en-US" w:eastAsia="zh-CN"/>
              </w:rPr>
              <w:t>8</w:t>
            </w:r>
          </w:p>
        </w:tc>
        <w:tc>
          <w:tcPr>
            <w:tcW w:w="534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sz w:val="24"/>
                <w:szCs w:val="24"/>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项目公示</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8</w:t>
            </w:r>
          </w:p>
        </w:tc>
        <w:tc>
          <w:tcPr>
            <w:tcW w:w="5340"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楷体_GB2312" w:cs="Times New Roman"/>
                <w:b/>
                <w:i w:val="0"/>
                <w:color w:val="000000"/>
                <w:kern w:val="2"/>
                <w:sz w:val="24"/>
                <w:szCs w:val="24"/>
                <w:u w:val="none"/>
                <w:lang w:val="en-US" w:eastAsia="zh-CN" w:bidi="ar-SA"/>
              </w:rPr>
            </w:pPr>
            <w:r>
              <w:rPr>
                <w:rFonts w:hint="default" w:ascii="Times New Roman" w:hAnsi="Times New Roman" w:eastAsia="楷体_GB2312" w:cs="Times New Roman"/>
                <w:b/>
                <w:i w:val="0"/>
                <w:color w:val="000000"/>
                <w:kern w:val="0"/>
                <w:sz w:val="24"/>
                <w:szCs w:val="24"/>
                <w:u w:val="none"/>
                <w:lang w:val="en-US" w:eastAsia="zh-CN" w:bidi="ar"/>
              </w:rPr>
              <w:t>扣分项</w:t>
            </w:r>
            <w:r>
              <w:rPr>
                <w:rFonts w:hint="default" w:ascii="Times New Roman" w:hAnsi="Times New Roman" w:eastAsia="楷体_GB2312" w:cs="Times New Roman"/>
                <w:b/>
                <w:i w:val="0"/>
                <w:color w:val="000000"/>
                <w:kern w:val="0"/>
                <w:sz w:val="24"/>
                <w:szCs w:val="24"/>
                <w:u w:val="none"/>
                <w:lang w:val="en-US" w:eastAsia="zh-CN" w:bidi="ar"/>
              </w:rPr>
              <w:br w:type="textWrapping"/>
            </w:r>
            <w:r>
              <w:rPr>
                <w:rFonts w:hint="default" w:ascii="Times New Roman" w:hAnsi="Times New Roman" w:eastAsia="楷体_GB2312" w:cs="Times New Roman"/>
                <w:b/>
                <w:i w:val="0"/>
                <w:color w:val="000000"/>
                <w:kern w:val="0"/>
                <w:sz w:val="24"/>
                <w:szCs w:val="24"/>
                <w:u w:val="none"/>
                <w:lang w:val="en-US" w:eastAsia="zh-CN" w:bidi="ar"/>
              </w:rPr>
              <w:t>（10分）</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被评价</w:t>
            </w:r>
            <w:r>
              <w:rPr>
                <w:rFonts w:hint="default" w:ascii="Times New Roman" w:hAnsi="Times New Roman" w:eastAsia="仿宋_GB2312" w:cs="Times New Roman"/>
                <w:i w:val="0"/>
                <w:color w:val="000000"/>
                <w:kern w:val="0"/>
                <w:sz w:val="24"/>
                <w:szCs w:val="24"/>
                <w:u w:val="none"/>
                <w:lang w:val="en-US" w:eastAsia="zh-CN" w:bidi="ar"/>
              </w:rPr>
              <w:br w:type="textWrapping"/>
            </w:r>
            <w:r>
              <w:rPr>
                <w:rFonts w:hint="default" w:ascii="Times New Roman" w:hAnsi="Times New Roman" w:eastAsia="仿宋_GB2312" w:cs="Times New Roman"/>
                <w:i w:val="0"/>
                <w:color w:val="000000"/>
                <w:kern w:val="0"/>
                <w:sz w:val="24"/>
                <w:szCs w:val="24"/>
                <w:u w:val="none"/>
                <w:lang w:val="en-US" w:eastAsia="zh-CN" w:bidi="ar"/>
              </w:rPr>
              <w:t>部门配合度</w:t>
            </w:r>
          </w:p>
        </w:tc>
        <w:tc>
          <w:tcPr>
            <w:tcW w:w="4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2"/>
                <w:sz w:val="24"/>
                <w:szCs w:val="24"/>
                <w:u w:val="none"/>
                <w:lang w:val="en-US" w:eastAsia="zh-CN" w:bidi="ar-SA"/>
              </w:rPr>
            </w:pPr>
            <w:r>
              <w:rPr>
                <w:rFonts w:hint="default" w:ascii="Times New Roman" w:hAnsi="Times New Roman" w:eastAsia="仿宋_GB2312" w:cs="Times New Roman"/>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color w:val="000000"/>
                <w:kern w:val="0"/>
                <w:sz w:val="24"/>
                <w:szCs w:val="24"/>
                <w:u w:val="none"/>
                <w:lang w:val="en-US" w:eastAsia="zh-CN" w:bidi="ar"/>
              </w:rPr>
            </w:pPr>
          </w:p>
        </w:tc>
      </w:tr>
    </w:tbl>
    <w:p>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Times New Roman" w:hAnsi="Times New Roman" w:eastAsia="方正小标宋_GBK" w:cs="Times New Roman"/>
          <w:b w:val="0"/>
          <w:bCs w:val="0"/>
          <w:color w:val="auto"/>
          <w:sz w:val="44"/>
          <w:szCs w:val="44"/>
          <w:highlight w:val="none"/>
          <w:u w:val="none"/>
          <w:lang w:val="en-US" w:eastAsia="zh-CN"/>
        </w:rPr>
      </w:pPr>
      <w:r>
        <w:rPr>
          <w:rFonts w:hint="default" w:ascii="Times New Roman" w:hAnsi="Times New Roman" w:eastAsia="方正小标宋_GBK" w:cs="Times New Roman"/>
          <w:b w:val="0"/>
          <w:bCs w:val="0"/>
          <w:color w:val="auto"/>
          <w:sz w:val="44"/>
          <w:szCs w:val="44"/>
          <w:highlight w:val="none"/>
          <w:u w:val="none"/>
          <w:lang w:val="en-US" w:eastAsia="zh-CN"/>
        </w:rPr>
        <w:t>专项预算绩效自评实地踏勘点位清单表</w:t>
      </w: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b w:val="0"/>
          <w:bCs w:val="0"/>
          <w:color w:val="auto"/>
          <w:sz w:val="32"/>
          <w:szCs w:val="32"/>
          <w:highlight w:val="none"/>
          <w:u w:val="none"/>
          <w:lang w:val="en-US" w:eastAsia="zh-CN"/>
        </w:rPr>
      </w:pPr>
      <w:r>
        <w:rPr>
          <w:rFonts w:hint="eastAsia" w:ascii="楷体_GB2312" w:hAnsi="楷体_GB2312" w:eastAsia="楷体_GB2312" w:cs="楷体_GB2312"/>
          <w:b w:val="0"/>
          <w:bCs w:val="0"/>
          <w:color w:val="auto"/>
          <w:sz w:val="32"/>
          <w:szCs w:val="32"/>
          <w:highlight w:val="none"/>
          <w:u w:val="none"/>
          <w:lang w:val="en-US" w:eastAsia="zh-CN"/>
        </w:rPr>
        <w:t>（例表）</w:t>
      </w:r>
    </w:p>
    <w:tbl>
      <w:tblPr>
        <w:tblStyle w:val="5"/>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洛多乡</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4"/>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48"/>
        <w:gridCol w:w="1282"/>
        <w:gridCol w:w="2412"/>
        <w:gridCol w:w="585"/>
        <w:gridCol w:w="645"/>
        <w:gridCol w:w="829"/>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方正小标宋简体" w:cs="Times New Roman"/>
                <w:i w:val="0"/>
                <w:color w:val="000000"/>
                <w:kern w:val="0"/>
                <w:sz w:val="40"/>
                <w:szCs w:val="40"/>
                <w:highlight w:val="none"/>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hint="default" w:ascii="Times New Roman" w:hAnsi="Times New Roman" w:eastAsia="黑体" w:cs="Times New Roman"/>
                <w:i w:val="0"/>
                <w:color w:val="000000"/>
                <w:sz w:val="30"/>
                <w:szCs w:val="30"/>
                <w:highlight w:val="none"/>
                <w:u w:val="none"/>
              </w:rPr>
            </w:pPr>
            <w:r>
              <w:rPr>
                <w:rFonts w:hint="default" w:ascii="Times New Roman" w:hAnsi="Times New Roman" w:eastAsia="方正小标宋_GBK" w:cs="Times New Roman"/>
                <w:i w:val="0"/>
                <w:color w:val="000000"/>
                <w:kern w:val="0"/>
                <w:sz w:val="44"/>
                <w:szCs w:val="44"/>
                <w:highlight w:val="none"/>
                <w:u w:val="none"/>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394" w:type="dxa"/>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项目名称</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lang w:val="zh-CN" w:eastAsia="zh-CN"/>
              </w:rPr>
              <w:t>乡镇避险转移经费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394" w:type="dxa"/>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预算单位</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sz w:val="24"/>
                <w:szCs w:val="24"/>
                <w:highlight w:val="none"/>
                <w:u w:val="none"/>
              </w:rPr>
              <w:t>黑水县</w:t>
            </w:r>
            <w:r>
              <w:rPr>
                <w:rFonts w:hint="eastAsia" w:cs="Times New Roman"/>
                <w:i w:val="0"/>
                <w:color w:val="000000"/>
                <w:sz w:val="24"/>
                <w:szCs w:val="24"/>
                <w:highlight w:val="none"/>
                <w:u w:val="none"/>
                <w:lang w:eastAsia="zh-CN"/>
              </w:rPr>
              <w:t>洛多乡</w:t>
            </w:r>
            <w:r>
              <w:rPr>
                <w:rFonts w:hint="default" w:ascii="Times New Roman" w:hAnsi="Times New Roman" w:eastAsia="仿宋_GB2312" w:cs="Times New Roman"/>
                <w:i w:val="0"/>
                <w:color w:val="000000"/>
                <w:sz w:val="24"/>
                <w:szCs w:val="24"/>
                <w:highlight w:val="none"/>
                <w:u w:val="none"/>
              </w:rPr>
              <w:t>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5394" w:type="dxa"/>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黑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项目类型</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color w:val="000000"/>
                <w:kern w:val="0"/>
                <w:sz w:val="24"/>
                <w:szCs w:val="24"/>
                <w:highlight w:val="none"/>
                <w:lang w:eastAsia="zh-CN" w:bidi="ar-SA"/>
              </w:rPr>
              <w:t>部门项目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项目概况</w:t>
            </w:r>
          </w:p>
        </w:tc>
        <w:tc>
          <w:tcPr>
            <w:tcW w:w="4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常年项目）</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4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资金管理办法（名称、文号）</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i w:val="0"/>
                <w:color w:val="000000"/>
                <w:sz w:val="24"/>
                <w:szCs w:val="24"/>
                <w:highlight w:val="none"/>
                <w:u w:val="none"/>
                <w:lang w:val="en-US" w:eastAsia="zh-CN"/>
              </w:rPr>
              <w:t>黑财预</w:t>
            </w:r>
            <w:r>
              <w:rPr>
                <w:rFonts w:hint="eastAsia" w:ascii="Times New Roman" w:hAnsi="Times New Roman" w:cs="Times New Roman"/>
                <w:i w:val="0"/>
                <w:color w:val="000000"/>
                <w:sz w:val="24"/>
                <w:szCs w:val="24"/>
                <w:highlight w:val="none"/>
                <w:u w:val="none"/>
                <w:lang w:val="en-US" w:eastAsia="zh-CN"/>
              </w:rPr>
              <w:t>〔2024〕20号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4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绩效分配方式</w:t>
            </w:r>
          </w:p>
        </w:tc>
        <w:tc>
          <w:tcPr>
            <w:tcW w:w="58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□因素法</w:t>
            </w:r>
          </w:p>
        </w:tc>
        <w:tc>
          <w:tcPr>
            <w:tcW w:w="1474"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cs="Times New Roman"/>
                <w:i w:val="0"/>
                <w:color w:val="000000"/>
                <w:kern w:val="0"/>
                <w:sz w:val="24"/>
                <w:szCs w:val="24"/>
                <w:highlight w:val="none"/>
                <w:u w:val="none"/>
                <w:lang w:val="en-US" w:eastAsia="zh-CN"/>
              </w:rPr>
              <w:t>☑</w:t>
            </w:r>
            <w:r>
              <w:rPr>
                <w:rFonts w:hint="default" w:ascii="Times New Roman" w:hAnsi="Times New Roman" w:eastAsia="仿宋_GB2312" w:cs="Times New Roman"/>
                <w:i w:val="0"/>
                <w:color w:val="000000"/>
                <w:kern w:val="0"/>
                <w:sz w:val="24"/>
                <w:szCs w:val="24"/>
                <w:highlight w:val="none"/>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4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立项依据</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eastAsia="仿宋_GB2312" w:cs="Times New Roman"/>
                <w:i w:val="0"/>
                <w:color w:val="000000"/>
                <w:sz w:val="24"/>
                <w:szCs w:val="24"/>
                <w:highlight w:val="none"/>
                <w:u w:val="none"/>
                <w:lang w:eastAsia="zh-CN"/>
              </w:rPr>
              <w:t>按照财政要求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4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使用范围</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r>
              <w:rPr>
                <w:rFonts w:hint="eastAsia" w:cs="Times New Roman"/>
                <w:i w:val="0"/>
                <w:color w:val="000000"/>
                <w:sz w:val="24"/>
                <w:szCs w:val="24"/>
                <w:highlight w:val="none"/>
                <w:u w:val="none"/>
                <w:lang w:eastAsia="zh-CN"/>
              </w:rPr>
              <w:t>全乡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4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申报（补助）条件</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4742"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项目起止年限</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rPr>
                <w:rFonts w:hint="default" w:ascii="Times New Roman" w:hAnsi="Times New Roman" w:eastAsia="仿宋_GB2312" w:cs="Times New Roman"/>
                <w:i w:val="0"/>
                <w:color w:val="000000"/>
                <w:sz w:val="24"/>
                <w:szCs w:val="24"/>
                <w:highlight w:val="none"/>
                <w:u w:val="none"/>
                <w:lang w:val="en-US" w:eastAsia="zh-CN"/>
              </w:rPr>
            </w:pPr>
            <w:r>
              <w:rPr>
                <w:rFonts w:hint="default" w:ascii="Times New Roman" w:hAnsi="Times New Roman" w:eastAsia="仿宋_GB2312" w:cs="Times New Roman"/>
                <w:color w:val="000000"/>
                <w:kern w:val="0"/>
                <w:sz w:val="24"/>
                <w:szCs w:val="24"/>
                <w:highlight w:val="none"/>
                <w:lang w:val="en-US" w:eastAsia="zh-CN" w:bidi="ar-SA"/>
              </w:rPr>
              <w:t>2024年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黑体" w:cs="Times New Roman"/>
                <w:i w:val="0"/>
                <w:color w:val="000000"/>
                <w:kern w:val="0"/>
                <w:sz w:val="24"/>
                <w:szCs w:val="24"/>
                <w:highlight w:val="none"/>
                <w:u w:val="none"/>
                <w:lang w:val="en-US" w:eastAsia="zh-CN"/>
              </w:rPr>
            </w:pPr>
            <w:r>
              <w:rPr>
                <w:rFonts w:hint="default" w:ascii="Times New Roman" w:hAnsi="Times New Roman" w:eastAsia="黑体" w:cs="Times New Roman"/>
                <w:i w:val="0"/>
                <w:color w:val="000000"/>
                <w:kern w:val="0"/>
                <w:sz w:val="24"/>
                <w:szCs w:val="24"/>
                <w:highlight w:val="none"/>
                <w:u w:val="none"/>
                <w:lang w:val="en-US" w:eastAsia="zh-CN"/>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（万元）</w:t>
            </w:r>
          </w:p>
        </w:tc>
        <w:tc>
          <w:tcPr>
            <w:tcW w:w="3694"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年度资金总额：      </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firstLine="240" w:firstLineChars="100"/>
              <w:jc w:val="left"/>
              <w:rPr>
                <w:rFonts w:hint="default" w:ascii="Times New Roman" w:hAnsi="Times New Roman" w:eastAsia="仿宋_GB2312" w:cs="Times New Roman"/>
                <w:i w:val="0"/>
                <w:color w:val="000000"/>
                <w:sz w:val="24"/>
                <w:szCs w:val="24"/>
                <w:highlight w:val="none"/>
                <w:u w:val="none"/>
                <w:lang w:val="en-US" w:eastAsia="zh-CN"/>
              </w:rPr>
            </w:pPr>
            <w:r>
              <w:rPr>
                <w:rFonts w:hint="eastAsia" w:cs="Times New Roman"/>
                <w:i w:val="0"/>
                <w:color w:val="000000"/>
                <w:sz w:val="24"/>
                <w:szCs w:val="24"/>
                <w:highlight w:val="none"/>
                <w:u w:val="none"/>
                <w:lang w:val="en-US" w:eastAsia="zh-CN"/>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3694"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其中：财政拨款</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firstLine="480" w:firstLineChars="200"/>
              <w:jc w:val="left"/>
              <w:rPr>
                <w:rFonts w:hint="default" w:ascii="Times New Roman" w:hAnsi="Times New Roman" w:eastAsia="仿宋_GB2312" w:cs="Times New Roman"/>
                <w:i w:val="0"/>
                <w:color w:val="000000"/>
                <w:sz w:val="24"/>
                <w:szCs w:val="24"/>
                <w:highlight w:val="none"/>
                <w:u w:val="none"/>
                <w:lang w:val="en-US" w:eastAsia="zh-CN"/>
              </w:rPr>
            </w:pPr>
            <w:r>
              <w:rPr>
                <w:rFonts w:hint="eastAsia" w:cs="Times New Roman"/>
                <w:i w:val="0"/>
                <w:color w:val="000000"/>
                <w:sz w:val="24"/>
                <w:szCs w:val="24"/>
                <w:highlight w:val="none"/>
                <w:u w:val="none"/>
                <w:lang w:val="en-US" w:eastAsia="zh-CN"/>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rPr>
                <w:rFonts w:hint="default" w:ascii="Times New Roman" w:hAnsi="Times New Roman" w:cs="Times New Roman"/>
                <w:highlight w:val="none"/>
              </w:rPr>
            </w:pPr>
          </w:p>
        </w:tc>
        <w:tc>
          <w:tcPr>
            <w:tcW w:w="3694"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sz w:val="24"/>
                <w:szCs w:val="24"/>
                <w:highlight w:val="none"/>
                <w:u w:val="none"/>
              </w:rPr>
            </w:pPr>
            <w:r>
              <w:rPr>
                <w:rFonts w:hint="default" w:ascii="Times New Roman" w:hAnsi="Times New Roman" w:eastAsia="仿宋_GB2312" w:cs="Times New Roman"/>
                <w:i w:val="0"/>
                <w:color w:val="000000"/>
                <w:kern w:val="0"/>
                <w:sz w:val="24"/>
                <w:szCs w:val="24"/>
                <w:highlight w:val="none"/>
                <w:u w:val="none"/>
                <w:lang w:val="en-US" w:eastAsia="zh-CN"/>
              </w:rPr>
              <w:t xml:space="preserve">            其他资金</w:t>
            </w:r>
          </w:p>
        </w:tc>
        <w:tc>
          <w:tcPr>
            <w:tcW w:w="4838"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right"/>
              <w:rPr>
                <w:rFonts w:hint="default" w:ascii="Times New Roman" w:hAnsi="Times New Roman" w:eastAsia="仿宋_GB2312" w:cs="Times New Roman"/>
                <w:i w:val="0"/>
                <w:color w:val="000000"/>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总体目标</w:t>
            </w:r>
          </w:p>
        </w:tc>
        <w:tc>
          <w:tcPr>
            <w:tcW w:w="9580" w:type="dxa"/>
            <w:gridSpan w:val="8"/>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hint="default" w:ascii="Times New Roman" w:hAnsi="Times New Roman" w:eastAsia="宋体" w:cs="Times New Roman"/>
                <w:i w:val="0"/>
                <w:color w:val="000000"/>
                <w:sz w:val="24"/>
                <w:szCs w:val="24"/>
                <w:highlight w:val="none"/>
                <w:u w:val="none"/>
              </w:rPr>
            </w:pPr>
            <w:r>
              <w:rPr>
                <w:rFonts w:hint="default" w:ascii="Times New Roman" w:hAnsi="Times New Roman" w:eastAsia="黑体" w:cs="Times New Roman"/>
                <w:i w:val="0"/>
                <w:color w:val="000000"/>
                <w:kern w:val="0"/>
                <w:sz w:val="24"/>
                <w:szCs w:val="24"/>
                <w:highlight w:val="none"/>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ign w:val="center"/>
          </w:tcPr>
          <w:p>
            <w:pPr>
              <w:rPr>
                <w:rFonts w:hint="default" w:ascii="Times New Roman" w:hAnsi="Times New Roman" w:cs="Times New Roman"/>
                <w:highlight w:val="none"/>
              </w:rPr>
            </w:pPr>
          </w:p>
        </w:tc>
        <w:tc>
          <w:tcPr>
            <w:tcW w:w="9580" w:type="dxa"/>
            <w:gridSpan w:val="8"/>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spacing w:line="300" w:lineRule="exact"/>
              <w:ind w:left="0"/>
              <w:jc w:val="left"/>
              <w:rPr>
                <w:rFonts w:hint="default" w:ascii="Times New Roman" w:hAnsi="Times New Roman" w:eastAsia="仿宋_GB2312" w:cs="Times New Roman"/>
                <w:i w:val="0"/>
                <w:color w:val="000000"/>
                <w:sz w:val="24"/>
                <w:szCs w:val="24"/>
                <w:highlight w:val="none"/>
                <w:u w:val="none"/>
                <w:lang w:eastAsia="zh-CN"/>
              </w:rPr>
            </w:pPr>
            <w:r>
              <w:rPr>
                <w:rFonts w:hint="default" w:ascii="Times New Roman" w:hAnsi="Times New Roman" w:cs="Times New Roman"/>
                <w:color w:val="000000"/>
                <w:kern w:val="0"/>
                <w:sz w:val="24"/>
                <w:highlight w:val="none"/>
                <w:lang w:bidi="ar-SA"/>
              </w:rPr>
              <w:t>2024年</w:t>
            </w:r>
            <w:r>
              <w:rPr>
                <w:rFonts w:hint="default" w:ascii="Times New Roman" w:hAnsi="Times New Roman" w:cs="Times New Roman"/>
                <w:color w:val="000000"/>
                <w:kern w:val="0"/>
                <w:sz w:val="24"/>
                <w:highlight w:val="none"/>
                <w:lang w:eastAsia="zh-CN" w:bidi="ar-SA"/>
              </w:rPr>
              <w:t>避险转移经费</w:t>
            </w:r>
            <w:r>
              <w:rPr>
                <w:rFonts w:hint="eastAsia" w:cs="Times New Roman"/>
                <w:color w:val="000000"/>
                <w:kern w:val="0"/>
                <w:sz w:val="24"/>
                <w:highlight w:val="none"/>
                <w:lang w:val="en-US" w:eastAsia="zh-CN" w:bidi="ar-SA"/>
              </w:rPr>
              <w:t>0.5</w:t>
            </w:r>
            <w:r>
              <w:rPr>
                <w:rFonts w:hint="default" w:ascii="Times New Roman" w:hAnsi="Times New Roman" w:cs="Times New Roman"/>
                <w:color w:val="000000"/>
                <w:kern w:val="0"/>
                <w:sz w:val="24"/>
                <w:highlight w:val="none"/>
                <w:lang w:bidi="ar-SA"/>
              </w:rPr>
              <w:t>万元，保障防汛减灾工作有序开展</w:t>
            </w:r>
            <w:r>
              <w:rPr>
                <w:rFonts w:hint="default" w:ascii="Times New Roman" w:hAnsi="Times New Roman" w:cs="Times New Roman"/>
                <w:color w:val="000000"/>
                <w:kern w:val="0"/>
                <w:sz w:val="24"/>
                <w:highlight w:val="none"/>
                <w:lang w:eastAsia="zh-CN" w:bidi="ar-SA"/>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50"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绩效指标</w:t>
            </w:r>
          </w:p>
        </w:tc>
        <w:tc>
          <w:tcPr>
            <w:tcW w:w="1048"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一级指标</w:t>
            </w:r>
          </w:p>
        </w:tc>
        <w:tc>
          <w:tcPr>
            <w:tcW w:w="128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二级指标</w:t>
            </w:r>
          </w:p>
        </w:tc>
        <w:tc>
          <w:tcPr>
            <w:tcW w:w="24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三级指标</w:t>
            </w:r>
          </w:p>
        </w:tc>
        <w:tc>
          <w:tcPr>
            <w:tcW w:w="58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指标性质</w:t>
            </w:r>
          </w:p>
        </w:tc>
        <w:tc>
          <w:tcPr>
            <w:tcW w:w="64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指标值</w:t>
            </w:r>
          </w:p>
        </w:tc>
        <w:tc>
          <w:tcPr>
            <w:tcW w:w="82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度量单位</w:t>
            </w:r>
          </w:p>
        </w:tc>
        <w:tc>
          <w:tcPr>
            <w:tcW w:w="938"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权重</w:t>
            </w:r>
          </w:p>
        </w:tc>
        <w:tc>
          <w:tcPr>
            <w:tcW w:w="18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p>
        </w:tc>
        <w:tc>
          <w:tcPr>
            <w:tcW w:w="1048" w:type="dxa"/>
            <w:vMerge w:val="restart"/>
            <w:tcBorders>
              <w:top w:val="single" w:color="auto" w:sz="4" w:space="0"/>
              <w:left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eastAsia" w:ascii="Times New Roman" w:hAnsi="Times New Roman" w:eastAsia="仿宋_GB2312" w:cs="Times New Roman"/>
                <w:i w:val="0"/>
                <w:color w:val="000000"/>
                <w:kern w:val="0"/>
                <w:sz w:val="24"/>
                <w:szCs w:val="24"/>
                <w:highlight w:val="none"/>
                <w:u w:val="none"/>
                <w:lang w:val="en-US" w:eastAsia="zh-CN"/>
              </w:rPr>
            </w:pPr>
            <w:r>
              <w:rPr>
                <w:rFonts w:hint="eastAsia" w:ascii="Times New Roman" w:hAnsi="Times New Roman" w:eastAsia="仿宋_GB2312" w:cs="Times New Roman"/>
                <w:i w:val="0"/>
                <w:color w:val="000000"/>
                <w:kern w:val="0"/>
                <w:sz w:val="24"/>
                <w:szCs w:val="24"/>
                <w:highlight w:val="none"/>
                <w:u w:val="none"/>
                <w:lang w:val="en-US" w:eastAsia="zh-CN"/>
              </w:rPr>
              <w:t>产出指标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eastAsia" w:ascii="Times New Roman" w:hAnsi="Times New Roman" w:eastAsia="仿宋_GB2312" w:cs="Times New Roman"/>
                <w:i w:val="0"/>
                <w:color w:val="000000"/>
                <w:kern w:val="0"/>
                <w:sz w:val="24"/>
                <w:szCs w:val="24"/>
                <w:highlight w:val="none"/>
                <w:u w:val="none"/>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p>
        </w:tc>
        <w:tc>
          <w:tcPr>
            <w:tcW w:w="128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数量指标</w:t>
            </w:r>
          </w:p>
        </w:tc>
        <w:tc>
          <w:tcPr>
            <w:tcW w:w="24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转移1人，按20元的标准补助测算</w:t>
            </w:r>
          </w:p>
        </w:tc>
        <w:tc>
          <w:tcPr>
            <w:tcW w:w="58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w:t>
            </w:r>
          </w:p>
        </w:tc>
        <w:tc>
          <w:tcPr>
            <w:tcW w:w="64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20</w:t>
            </w:r>
          </w:p>
        </w:tc>
        <w:tc>
          <w:tcPr>
            <w:tcW w:w="82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元/人</w:t>
            </w:r>
          </w:p>
        </w:tc>
        <w:tc>
          <w:tcPr>
            <w:tcW w:w="938"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eastAsia" w:ascii="Times New Roman" w:hAnsi="Times New Roman" w:eastAsia="仿宋_GB2312" w:cs="Times New Roman"/>
                <w:i w:val="0"/>
                <w:color w:val="000000"/>
                <w:kern w:val="0"/>
                <w:sz w:val="24"/>
                <w:szCs w:val="24"/>
                <w:highlight w:val="none"/>
                <w:u w:val="none"/>
                <w:lang w:val="en-US" w:eastAsia="zh-CN"/>
              </w:rPr>
              <w:t>35</w:t>
            </w:r>
          </w:p>
        </w:tc>
        <w:tc>
          <w:tcPr>
            <w:tcW w:w="18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p>
        </w:tc>
        <w:tc>
          <w:tcPr>
            <w:tcW w:w="1048" w:type="dxa"/>
            <w:vMerge w:val="continue"/>
            <w:tcBorders>
              <w:left w:val="single" w:color="auto" w:sz="4" w:space="0"/>
              <w:bottom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p>
        </w:tc>
        <w:tc>
          <w:tcPr>
            <w:tcW w:w="128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质量指标</w:t>
            </w:r>
          </w:p>
        </w:tc>
        <w:tc>
          <w:tcPr>
            <w:tcW w:w="24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更好地推进避险工作</w:t>
            </w:r>
          </w:p>
        </w:tc>
        <w:tc>
          <w:tcPr>
            <w:tcW w:w="58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w:t>
            </w:r>
          </w:p>
        </w:tc>
        <w:tc>
          <w:tcPr>
            <w:tcW w:w="64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98</w:t>
            </w:r>
          </w:p>
        </w:tc>
        <w:tc>
          <w:tcPr>
            <w:tcW w:w="82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w:t>
            </w:r>
          </w:p>
        </w:tc>
        <w:tc>
          <w:tcPr>
            <w:tcW w:w="938"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eastAsia" w:ascii="Times New Roman" w:hAnsi="Times New Roman" w:eastAsia="仿宋_GB2312" w:cs="Times New Roman"/>
                <w:i w:val="0"/>
                <w:color w:val="000000"/>
                <w:kern w:val="0"/>
                <w:sz w:val="24"/>
                <w:szCs w:val="24"/>
                <w:highlight w:val="none"/>
                <w:u w:val="none"/>
                <w:lang w:val="en-US" w:eastAsia="zh-CN"/>
              </w:rPr>
              <w:t>20</w:t>
            </w:r>
          </w:p>
        </w:tc>
        <w:tc>
          <w:tcPr>
            <w:tcW w:w="18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p>
        </w:tc>
        <w:tc>
          <w:tcPr>
            <w:tcW w:w="1048"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eastAsia" w:ascii="Times New Roman" w:hAnsi="Times New Roman" w:eastAsia="仿宋_GB2312" w:cs="Times New Roman"/>
                <w:i w:val="0"/>
                <w:color w:val="000000"/>
                <w:kern w:val="0"/>
                <w:sz w:val="24"/>
                <w:szCs w:val="24"/>
                <w:highlight w:val="none"/>
                <w:u w:val="none"/>
                <w:lang w:val="en-US" w:eastAsia="zh-CN"/>
              </w:rPr>
              <w:t>效益指标</w:t>
            </w:r>
          </w:p>
        </w:tc>
        <w:tc>
          <w:tcPr>
            <w:tcW w:w="128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社会效益指标</w:t>
            </w:r>
          </w:p>
        </w:tc>
        <w:tc>
          <w:tcPr>
            <w:tcW w:w="24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更好的做好避险工作</w:t>
            </w:r>
          </w:p>
        </w:tc>
        <w:tc>
          <w:tcPr>
            <w:tcW w:w="58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w:t>
            </w:r>
          </w:p>
        </w:tc>
        <w:tc>
          <w:tcPr>
            <w:tcW w:w="64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98</w:t>
            </w:r>
          </w:p>
        </w:tc>
        <w:tc>
          <w:tcPr>
            <w:tcW w:w="82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w:t>
            </w:r>
          </w:p>
        </w:tc>
        <w:tc>
          <w:tcPr>
            <w:tcW w:w="938"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eastAsia" w:ascii="Times New Roman" w:hAnsi="Times New Roman" w:eastAsia="仿宋_GB2312" w:cs="Times New Roman"/>
                <w:i w:val="0"/>
                <w:color w:val="000000"/>
                <w:kern w:val="0"/>
                <w:sz w:val="24"/>
                <w:szCs w:val="24"/>
                <w:highlight w:val="none"/>
                <w:u w:val="none"/>
                <w:lang w:val="en-US" w:eastAsia="zh-CN"/>
              </w:rPr>
              <w:t>30</w:t>
            </w:r>
          </w:p>
        </w:tc>
        <w:tc>
          <w:tcPr>
            <w:tcW w:w="18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p>
        </w:tc>
        <w:tc>
          <w:tcPr>
            <w:tcW w:w="1048"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eastAsia" w:ascii="Times New Roman" w:hAnsi="Times New Roman" w:eastAsia="仿宋_GB2312" w:cs="Times New Roman"/>
                <w:i w:val="0"/>
                <w:color w:val="000000"/>
                <w:kern w:val="0"/>
                <w:sz w:val="24"/>
                <w:szCs w:val="24"/>
                <w:highlight w:val="none"/>
                <w:u w:val="none"/>
                <w:lang w:val="en-US" w:eastAsia="zh-CN"/>
              </w:rPr>
              <w:t>满意度指标</w:t>
            </w:r>
          </w:p>
        </w:tc>
        <w:tc>
          <w:tcPr>
            <w:tcW w:w="128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满意度指标</w:t>
            </w:r>
          </w:p>
        </w:tc>
        <w:tc>
          <w:tcPr>
            <w:tcW w:w="2412"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帮助与被帮助对象</w:t>
            </w:r>
          </w:p>
        </w:tc>
        <w:tc>
          <w:tcPr>
            <w:tcW w:w="58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w:t>
            </w:r>
          </w:p>
        </w:tc>
        <w:tc>
          <w:tcPr>
            <w:tcW w:w="64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98</w:t>
            </w:r>
          </w:p>
        </w:tc>
        <w:tc>
          <w:tcPr>
            <w:tcW w:w="82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w:t>
            </w:r>
          </w:p>
        </w:tc>
        <w:tc>
          <w:tcPr>
            <w:tcW w:w="938" w:type="dxa"/>
            <w:tcBorders>
              <w:top w:val="single" w:color="auto" w:sz="4" w:space="0"/>
              <w:left w:val="single" w:color="auto" w:sz="4" w:space="0"/>
              <w:bottom w:val="single" w:color="auto" w:sz="4" w:space="0"/>
              <w:right w:val="single" w:color="auto" w:sz="4" w:space="0"/>
            </w:tcBorders>
            <w:noWrap/>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eastAsia" w:ascii="Times New Roman" w:hAnsi="Times New Roman" w:eastAsia="仿宋_GB2312" w:cs="Times New Roman"/>
                <w:i w:val="0"/>
                <w:color w:val="000000"/>
                <w:kern w:val="0"/>
                <w:sz w:val="24"/>
                <w:szCs w:val="24"/>
                <w:highlight w:val="none"/>
                <w:u w:val="none"/>
                <w:lang w:val="en-US" w:eastAsia="zh-CN"/>
              </w:rPr>
              <w:t>5</w:t>
            </w:r>
          </w:p>
        </w:tc>
        <w:tc>
          <w:tcPr>
            <w:tcW w:w="18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hint="default" w:ascii="Times New Roman" w:hAnsi="Times New Roman" w:eastAsia="仿宋_GB2312" w:cs="Times New Roman"/>
                <w:i w:val="0"/>
                <w:color w:val="000000"/>
                <w:kern w:val="0"/>
                <w:sz w:val="24"/>
                <w:szCs w:val="24"/>
                <w:highlight w:val="none"/>
                <w:u w:val="none"/>
                <w:lang w:val="en-US" w:eastAsia="zh-CN"/>
              </w:rPr>
            </w:pPr>
            <w:r>
              <w:rPr>
                <w:rFonts w:hint="default" w:ascii="Times New Roman" w:hAnsi="Times New Roman" w:eastAsia="仿宋_GB2312" w:cs="Times New Roman"/>
                <w:i w:val="0"/>
                <w:color w:val="000000"/>
                <w:kern w:val="0"/>
                <w:sz w:val="24"/>
                <w:szCs w:val="24"/>
                <w:highlight w:val="none"/>
                <w:u w:val="none"/>
                <w:lang w:val="en-US" w:eastAsia="zh-CN"/>
              </w:rPr>
              <w:t>98</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altName w:val="DejaVu Sans"/>
    <w:panose1 w:val="020B0604020202020204"/>
    <w:charset w:val="86"/>
    <w:family w:val="swiss"/>
    <w:pitch w:val="default"/>
    <w:sig w:usb0="00000000" w:usb1="00000000" w:usb2="0000003F" w:usb3="00000000" w:csb0="603F01FF" w:csb1="FFFF0000"/>
  </w:font>
  <w:font w:name="??">
    <w:altName w:val="AR PL UKai CN"/>
    <w:panose1 w:val="00000000000000000000"/>
    <w:charset w:val="00"/>
    <w:family w:val="roman"/>
    <w:pitch w:val="default"/>
    <w:sig w:usb0="00000000" w:usb1="00000000" w:usb2="00000000" w:usb3="00000000" w:csb0="00040001" w:csb1="00000000"/>
  </w:font>
  <w:font w:name="AR PL UKai CN">
    <w:panose1 w:val="02000503000000000000"/>
    <w:charset w:val="86"/>
    <w:family w:val="auto"/>
    <w:pitch w:val="default"/>
    <w:sig w:usb0="A00002FF" w:usb1="3ACFFDFF" w:usb2="00000036" w:usb3="00000000" w:csb0="2016009F" w:csb1="DFD7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105D57"/>
    <w:multiLevelType w:val="singleLevel"/>
    <w:tmpl w:val="39105D57"/>
    <w:lvl w:ilvl="0" w:tentative="0">
      <w:start w:val="1"/>
      <w:numFmt w:val="chineseCounting"/>
      <w:suff w:val="nothing"/>
      <w:lvlText w:val="%1、"/>
      <w:lvlJc w:val="left"/>
      <w:pPr>
        <w:tabs>
          <w:tab w:val="left" w:pos="0"/>
        </w:tabs>
        <w:ind w:left="0" w:firstLine="0"/>
      </w:pPr>
      <w:rPr>
        <w:rFonts w:hint="eastAsia"/>
      </w:rPr>
    </w:lvl>
  </w:abstractNum>
  <w:abstractNum w:abstractNumId="1">
    <w:nsid w:val="776F6041"/>
    <w:multiLevelType w:val="singleLevel"/>
    <w:tmpl w:val="776F6041"/>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086111"/>
    <w:rsid w:val="0CE649B4"/>
    <w:rsid w:val="235B5C89"/>
    <w:rsid w:val="2FC46457"/>
    <w:rsid w:val="3FDEEF26"/>
    <w:rsid w:val="4723666E"/>
    <w:rsid w:val="6EFFCF76"/>
    <w:rsid w:val="FFDE7E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before="100" w:beforeAutospacing="1" w:after="120"/>
    </w:pPr>
  </w:style>
  <w:style w:type="paragraph" w:customStyle="1" w:styleId="3">
    <w:name w:val="Default"/>
    <w:next w:val="1"/>
    <w:unhideWhenUsed/>
    <w:qFormat/>
    <w:uiPriority w:val="99"/>
    <w:pPr>
      <w:widowControl w:val="0"/>
      <w:autoSpaceDE w:val="0"/>
      <w:autoSpaceDN w:val="0"/>
      <w:adjustRightInd w:val="0"/>
      <w:jc w:val="center"/>
    </w:pPr>
    <w:rPr>
      <w:rFonts w:hint="eastAsia" w:ascii="Arial Unicode MS" w:hAnsi="Arial Unicode MS" w:eastAsia="Arial Unicode MS" w:cs="Times New Roman"/>
      <w:b/>
      <w:color w:val="000000"/>
      <w:sz w:val="24"/>
      <w:lang w:val="en-US" w:eastAsia="zh-CN"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8">
    <w:name w:val="NormalCharacter"/>
    <w:qFormat/>
    <w:uiPriority w:val="0"/>
    <w:rPr>
      <w:rFonts w:eastAsia="仿宋_GB2312"/>
      <w:kern w:val="2"/>
      <w:sz w:val="32"/>
      <w:szCs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4137</Words>
  <Characters>4285</Characters>
  <Lines>0</Lines>
  <Paragraphs>0</Paragraphs>
  <TotalTime>19</TotalTime>
  <ScaleCrop>false</ScaleCrop>
  <LinksUpToDate>false</LinksUpToDate>
  <CharactersWithSpaces>4311</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2025-04-28T17:45:00Z</dcterms:created>
  <dc:creator>Administrator</dc:creator>
  <cp:lastModifiedBy>user</cp:lastModifiedBy>
  <dcterms:modified xsi:type="dcterms:W3CDTF">2025-11-28T16:49:44Z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3F220455A327482191496EB3DC958006_11</vt:lpwstr>
  </property>
  <property fmtid="{D5CDD505-2E9C-101B-9397-08002B2CF9AE}" pid="4" name="KSOTemplateDocerSaveRecord">
    <vt:lpwstr>eyJoZGlkIjoiZTUyNTE0YzAzM2RkNWYwNmZkOTQ5NzcyMGU0YjZjNzgiLCJ1c2VySWQiOiI0MjM2Mzk5OTQifQ==</vt:lpwstr>
  </property>
</Properties>
</file>