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pacing w:line="480" w:lineRule="atLeast"/>
        <w:ind w:firstLine="60"/>
        <w:jc w:val="center"/>
        <w:rPr>
          <w:rFonts w:ascii="方正小标宋简体" w:hAnsi="宋体" w:eastAsia="方正小标宋简体" w:cs="宋体"/>
          <w:kern w:val="0"/>
          <w:sz w:val="36"/>
          <w:szCs w:val="36"/>
        </w:rPr>
      </w:pPr>
      <w:r>
        <w:rPr>
          <w:rFonts w:hint="eastAsia" w:ascii="方正小标宋简体" w:hAnsi="宋体" w:eastAsia="方正小标宋简体" w:cs="宋体"/>
          <w:kern w:val="0"/>
          <w:sz w:val="36"/>
          <w:szCs w:val="36"/>
        </w:rPr>
        <w:t>黑水县洛多乡人民政府</w:t>
      </w:r>
    </w:p>
    <w:p>
      <w:pPr>
        <w:widowControl/>
        <w:spacing w:line="480" w:lineRule="atLeast"/>
        <w:ind w:firstLine="60"/>
        <w:jc w:val="center"/>
        <w:rPr>
          <w:rFonts w:ascii="方正小标宋简体" w:hAnsi="宋体" w:eastAsia="方正小标宋简体" w:cs="宋体"/>
          <w:kern w:val="0"/>
          <w:sz w:val="36"/>
          <w:szCs w:val="36"/>
        </w:rPr>
      </w:pPr>
      <w:r>
        <w:rPr>
          <w:rFonts w:hint="eastAsia" w:ascii="方正小标宋简体" w:hAnsi="宋体" w:eastAsia="方正小标宋简体" w:cs="宋体"/>
          <w:kern w:val="0"/>
          <w:sz w:val="36"/>
          <w:szCs w:val="36"/>
        </w:rPr>
        <w:t>关于“三公”经费</w:t>
      </w:r>
      <w:r>
        <w:rPr>
          <w:rFonts w:hint="eastAsia" w:ascii="方正小标宋简体" w:hAnsi="宋体" w:eastAsia="方正小标宋简体" w:cs="宋体"/>
          <w:kern w:val="0"/>
          <w:sz w:val="36"/>
          <w:szCs w:val="36"/>
          <w:lang w:eastAsia="zh-CN"/>
        </w:rPr>
        <w:t>202</w:t>
      </w:r>
      <w:r>
        <w:rPr>
          <w:rFonts w:hint="eastAsia" w:ascii="方正小标宋简体" w:hAnsi="宋体" w:eastAsia="方正小标宋简体" w:cs="宋体"/>
          <w:kern w:val="0"/>
          <w:sz w:val="36"/>
          <w:szCs w:val="36"/>
          <w:lang w:val="en-US" w:eastAsia="zh-CN"/>
        </w:rPr>
        <w:t>4</w:t>
      </w:r>
      <w:r>
        <w:rPr>
          <w:rFonts w:hint="eastAsia" w:ascii="方正小标宋简体" w:hAnsi="宋体" w:eastAsia="方正小标宋简体" w:cs="宋体"/>
          <w:kern w:val="0"/>
          <w:sz w:val="36"/>
          <w:szCs w:val="36"/>
        </w:rPr>
        <w:t>年决算情况说明</w:t>
      </w:r>
    </w:p>
    <w:p>
      <w:pPr>
        <w:widowControl/>
        <w:spacing w:line="480" w:lineRule="atLeast"/>
        <w:ind w:firstLine="60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</w:p>
    <w:p>
      <w:pPr>
        <w:widowControl/>
        <w:spacing w:line="480" w:lineRule="atLeast"/>
        <w:ind w:firstLine="697" w:firstLineChars="218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我单位 “三公”经费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4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年决算情况如下：</w:t>
      </w:r>
    </w:p>
    <w:p>
      <w:pPr>
        <w:widowControl/>
        <w:spacing w:line="480" w:lineRule="atLeast"/>
        <w:ind w:firstLine="60"/>
        <w:rPr>
          <w:rFonts w:ascii="黑体" w:hAnsi="宋体" w:eastAsia="黑体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　</w:t>
      </w:r>
      <w:r>
        <w:rPr>
          <w:rFonts w:hint="eastAsia" w:ascii="黑体" w:hAnsi="宋体" w:eastAsia="黑体" w:cs="宋体"/>
          <w:color w:val="333333"/>
          <w:kern w:val="0"/>
          <w:sz w:val="32"/>
          <w:szCs w:val="32"/>
        </w:rPr>
        <w:t>一、因公出国（境）经费</w:t>
      </w:r>
    </w:p>
    <w:p>
      <w:pPr>
        <w:widowControl/>
        <w:spacing w:line="480" w:lineRule="atLeast"/>
        <w:rPr>
          <w:rFonts w:hint="default" w:ascii="仿宋_GB2312" w:hAnsi="宋体" w:eastAsia="仿宋_GB2312" w:cs="宋体"/>
          <w:color w:val="333333"/>
          <w:kern w:val="0"/>
          <w:sz w:val="32"/>
          <w:szCs w:val="32"/>
          <w:lang w:val="en-US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　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4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年决算支出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万元,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完成预算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100%，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较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3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年决算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持平。</w:t>
      </w:r>
    </w:p>
    <w:p>
      <w:pPr>
        <w:widowControl/>
        <w:spacing w:line="480" w:lineRule="atLeast"/>
        <w:ind w:firstLine="60"/>
        <w:rPr>
          <w:rFonts w:ascii="黑体" w:hAnsi="宋体" w:eastAsia="黑体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　</w:t>
      </w:r>
      <w:r>
        <w:rPr>
          <w:rFonts w:hint="eastAsia" w:ascii="黑体" w:hAnsi="宋体" w:eastAsia="黑体" w:cs="宋体"/>
          <w:color w:val="333333"/>
          <w:kern w:val="0"/>
          <w:sz w:val="32"/>
          <w:szCs w:val="32"/>
        </w:rPr>
        <w:t>二、公务接待费</w:t>
      </w:r>
    </w:p>
    <w:p>
      <w:pPr>
        <w:widowControl/>
        <w:spacing w:line="480" w:lineRule="atLeast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　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4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年决算支出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万元，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完成预算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100%，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较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3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年决算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持平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，主要原因是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厉行节约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。其中：国内公务接待费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万元，共计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批次共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人；国（境）外公务接待费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元。</w:t>
      </w:r>
    </w:p>
    <w:p>
      <w:pPr>
        <w:widowControl/>
        <w:spacing w:line="480" w:lineRule="atLeast"/>
        <w:ind w:firstLine="60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　</w:t>
      </w:r>
      <w:r>
        <w:rPr>
          <w:rFonts w:hint="eastAsia" w:ascii="黑体" w:hAnsi="宋体" w:eastAsia="黑体" w:cs="宋体"/>
          <w:color w:val="333333"/>
          <w:kern w:val="0"/>
          <w:sz w:val="32"/>
          <w:szCs w:val="32"/>
        </w:rPr>
        <w:t>三、公务用车购置及运行维护费</w:t>
      </w:r>
      <w:r>
        <w:rPr>
          <w:rFonts w:hint="eastAsia" w:ascii="黑体" w:hAnsi="宋体" w:eastAsia="黑体" w:cs="宋体"/>
          <w:color w:val="333333"/>
          <w:kern w:val="0"/>
          <w:sz w:val="32"/>
          <w:szCs w:val="32"/>
        </w:rPr>
        <w:br w:type="textWrapping"/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　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4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年决算支出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4.61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万元，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完成预算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100%，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较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3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年决算减少。主要原因：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厉行节约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。</w:t>
      </w:r>
    </w:p>
    <w:p>
      <w:pPr>
        <w:widowControl/>
        <w:spacing w:line="480" w:lineRule="atLeast"/>
        <w:ind w:firstLine="60"/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 单位共有公务用</w:t>
      </w:r>
      <w:bookmarkStart w:id="0" w:name="_GoBack"/>
      <w:bookmarkEnd w:id="0"/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车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4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辆，其中：越野车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辆，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消防车1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辆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、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垃圾车1辆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。</w:t>
      </w:r>
    </w:p>
    <w:p>
      <w:pPr>
        <w:spacing w:line="600" w:lineRule="exact"/>
        <w:ind w:firstLine="640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4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年安排公务用车运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行维护费4.61万元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。主要用于</w:t>
      </w:r>
      <w:r>
        <w:rPr>
          <w:rFonts w:hint="eastAsia" w:ascii="仿宋_GB2312" w:hAnsi="Times New Roman" w:eastAsia="仿宋_GB2312" w:cs="Times New Roman"/>
          <w:color w:val="000000" w:themeColor="text1"/>
          <w:sz w:val="32"/>
          <w:szCs w:val="32"/>
          <w:shd w:val="clear" w:color="auto" w:fill="auto"/>
          <w14:textFill>
            <w14:solidFill>
              <w14:schemeClr w14:val="tx1"/>
            </w14:solidFill>
          </w14:textFill>
        </w:rPr>
        <w:t>单位人员下</w:t>
      </w:r>
      <w:r>
        <w:rPr>
          <w:rFonts w:hint="eastAsia" w:ascii="仿宋_GB2312" w:hAnsi="Times New Roman" w:eastAsia="仿宋_GB2312" w:cs="Times New Roman"/>
          <w:color w:val="000000" w:themeColor="text1"/>
          <w:sz w:val="32"/>
          <w:szCs w:val="32"/>
          <w:shd w:val="clear" w:color="auto" w:fill="auto"/>
          <w:lang w:val="en-US" w:eastAsia="zh-CN"/>
          <w14:textFill>
            <w14:solidFill>
              <w14:schemeClr w14:val="tx1"/>
            </w14:solidFill>
          </w14:textFill>
        </w:rPr>
        <w:t>村、上县开展</w:t>
      </w:r>
      <w:r>
        <w:rPr>
          <w:rFonts w:hint="eastAsia" w:ascii="仿宋_GB2312" w:hAnsi="Times New Roman" w:eastAsia="仿宋_GB2312" w:cs="Times New Roman"/>
          <w:color w:val="000000" w:themeColor="text1"/>
          <w:sz w:val="32"/>
          <w:szCs w:val="32"/>
          <w:shd w:val="clear" w:color="auto" w:fill="auto"/>
          <w:lang w:eastAsia="zh-CN"/>
          <w14:textFill>
            <w14:solidFill>
              <w14:schemeClr w14:val="tx1"/>
            </w14:solidFill>
          </w14:textFill>
        </w:rPr>
        <w:t>工作</w:t>
      </w:r>
      <w:r>
        <w:rPr>
          <w:rFonts w:hint="eastAsia" w:ascii="仿宋_GB2312" w:hAnsi="Times New Roman" w:eastAsia="仿宋_GB2312" w:cs="Times New Roman"/>
          <w:color w:val="000000" w:themeColor="text1"/>
          <w:sz w:val="32"/>
          <w:szCs w:val="32"/>
          <w:shd w:val="clear" w:color="auto" w:fill="auto"/>
          <w14:textFill>
            <w14:solidFill>
              <w14:schemeClr w14:val="tx1"/>
            </w14:solidFill>
          </w14:textFill>
        </w:rPr>
        <w:t>等所需的公务用车燃料费、维修费、过路过桥费、保险费等支出。</w:t>
      </w:r>
    </w:p>
    <w:p>
      <w:pPr>
        <w:widowControl/>
        <w:spacing w:line="480" w:lineRule="atLeast"/>
        <w:ind w:firstLine="640" w:firstLineChars="200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4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年安排公务用车购置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辆，购置费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万元。</w:t>
      </w:r>
    </w:p>
    <w:p>
      <w:pPr>
        <w:widowControl/>
        <w:spacing w:line="240" w:lineRule="atLeast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</w:p>
    <w:p>
      <w:pPr>
        <w:widowControl/>
        <w:spacing w:line="240" w:lineRule="atLeast"/>
        <w:ind w:firstLine="60"/>
        <w:jc w:val="center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</w:p>
    <w:p>
      <w:pPr>
        <w:widowControl/>
        <w:spacing w:line="240" w:lineRule="atLeast"/>
        <w:ind w:firstLine="60"/>
        <w:jc w:val="center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</w:p>
    <w:p>
      <w:pPr>
        <w:widowControl/>
        <w:spacing w:line="240" w:lineRule="atLeast"/>
        <w:ind w:firstLine="60"/>
        <w:jc w:val="center"/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</w:pPr>
    </w:p>
    <w:p>
      <w:pPr>
        <w:widowControl/>
        <w:spacing w:line="240" w:lineRule="atLeast"/>
        <w:ind w:firstLine="60"/>
        <w:jc w:val="center"/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洛多乡人民政府财政拨款“三公”经费</w:t>
      </w:r>
    </w:p>
    <w:p>
      <w:pPr>
        <w:widowControl/>
        <w:spacing w:line="240" w:lineRule="atLeast"/>
        <w:ind w:firstLine="60"/>
        <w:jc w:val="center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4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年决算情况表</w:t>
      </w:r>
    </w:p>
    <w:p>
      <w:pPr>
        <w:widowControl/>
        <w:spacing w:line="240" w:lineRule="atLeast"/>
        <w:ind w:firstLine="60"/>
        <w:jc w:val="center"/>
        <w:rPr>
          <w:rFonts w:ascii="仿宋_GB2312" w:hAnsi="宋体" w:eastAsia="仿宋_GB2312" w:cs="宋体"/>
          <w:color w:val="333333"/>
          <w:kern w:val="0"/>
          <w:sz w:val="28"/>
          <w:szCs w:val="28"/>
        </w:rPr>
      </w:pPr>
      <w:r>
        <w:rPr>
          <w:rFonts w:hint="eastAsia" w:ascii="仿宋_GB2312" w:hAnsi="宋体" w:eastAsia="仿宋_GB2312" w:cs="宋体"/>
          <w:color w:val="333333"/>
          <w:kern w:val="0"/>
          <w:sz w:val="28"/>
          <w:szCs w:val="28"/>
        </w:rPr>
        <w:t xml:space="preserve">                                         单位：万元</w:t>
      </w:r>
    </w:p>
    <w:tbl>
      <w:tblPr>
        <w:tblStyle w:val="6"/>
        <w:tblW w:w="8424" w:type="dxa"/>
        <w:tblCellSpacing w:w="7" w:type="dxa"/>
        <w:tblInd w:w="0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none" w:color="auto" w:sz="0" w:space="0"/>
          <w:insideV w:val="none" w:color="auto" w:sz="0" w:space="0"/>
        </w:tblBorders>
        <w:tblLayout w:type="fixed"/>
        <w:tblCellMar>
          <w:top w:w="30" w:type="dxa"/>
          <w:left w:w="30" w:type="dxa"/>
          <w:bottom w:w="30" w:type="dxa"/>
          <w:right w:w="30" w:type="dxa"/>
        </w:tblCellMar>
      </w:tblPr>
      <w:tblGrid>
        <w:gridCol w:w="4582"/>
        <w:gridCol w:w="3842"/>
      </w:tblGrid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rHeight w:val="697" w:hRule="exact"/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　　　　　项       目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eastAsia="zh-CN"/>
              </w:rPr>
              <w:t>202</w:t>
            </w: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  <w:t>4</w:t>
            </w: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年决算（万元）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因公出国（境）经费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tabs>
                <w:tab w:val="left" w:pos="891"/>
              </w:tabs>
              <w:spacing w:line="240" w:lineRule="atLeast"/>
              <w:jc w:val="center"/>
              <w:rPr>
                <w:rFonts w:hint="default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</w:pP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公务接待费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hint="default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</w:pP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公务用车购置及运行维护费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hint="default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  <w:t>4.61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　　其中：购置经费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hint="default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</w:pP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　　　　　运行维护费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  <w:t>4.61</w:t>
            </w:r>
          </w:p>
        </w:tc>
      </w:tr>
    </w:tbl>
    <w:p/>
    <w:p/>
    <w:p/>
    <w:p/>
    <w:p/>
    <w:p/>
    <w:p/>
    <w:p/>
    <w:p/>
    <w:p/>
    <w:p>
      <w:pPr>
        <w:spacing w:line="600" w:lineRule="exact"/>
        <w:jc w:val="left"/>
        <w:outlineLvl w:val="0"/>
        <w:rPr>
          <w:rStyle w:val="10"/>
          <w:rFonts w:ascii="仿宋_GB2312" w:eastAsia="仿宋_GB2312"/>
          <w:sz w:val="32"/>
          <w:szCs w:val="32"/>
        </w:rPr>
      </w:pPr>
    </w:p>
    <w:p>
      <w:pPr>
        <w:spacing w:line="600" w:lineRule="exact"/>
        <w:jc w:val="left"/>
        <w:outlineLvl w:val="0"/>
        <w:rPr>
          <w:rStyle w:val="10"/>
          <w:rFonts w:ascii="仿宋_GB2312" w:eastAsia="仿宋_GB2312"/>
          <w:sz w:val="32"/>
          <w:szCs w:val="32"/>
        </w:rPr>
      </w:pPr>
    </w:p>
    <w:p>
      <w:pPr>
        <w:spacing w:line="600" w:lineRule="exact"/>
        <w:jc w:val="left"/>
        <w:outlineLvl w:val="0"/>
        <w:rPr>
          <w:rStyle w:val="10"/>
          <w:rFonts w:ascii="仿宋_GB2312" w:eastAsia="仿宋_GB2312"/>
          <w:sz w:val="32"/>
          <w:szCs w:val="32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altName w:val="方正舒体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3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gzNmEyOTFjMjZjODc0OGIyZjk3N2Q1Zjc3YWU5MjEifQ=="/>
  </w:docVars>
  <w:rsids>
    <w:rsidRoot w:val="003F1AE8"/>
    <w:rsid w:val="003F1AE8"/>
    <w:rsid w:val="007153A1"/>
    <w:rsid w:val="0A551F12"/>
    <w:rsid w:val="114B0E60"/>
    <w:rsid w:val="1D0B2F60"/>
    <w:rsid w:val="1EFA5C7F"/>
    <w:rsid w:val="257D564A"/>
    <w:rsid w:val="30861092"/>
    <w:rsid w:val="3AA52E85"/>
    <w:rsid w:val="421842D7"/>
    <w:rsid w:val="4E993BEB"/>
    <w:rsid w:val="60366A76"/>
    <w:rsid w:val="66090EF9"/>
    <w:rsid w:val="714403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3">
    <w:name w:val="heading 1"/>
    <w:basedOn w:val="1"/>
    <w:next w:val="1"/>
    <w:link w:val="10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标题 5（有编号）（绿盟科技）"/>
    <w:next w:val="1"/>
    <w:qFormat/>
    <w:uiPriority w:val="99"/>
    <w:pPr>
      <w:keepNext/>
      <w:keepLines/>
      <w:widowControl w:val="0"/>
      <w:spacing w:before="280" w:after="156" w:line="377" w:lineRule="auto"/>
      <w:outlineLvl w:val="4"/>
    </w:pPr>
    <w:rPr>
      <w:rFonts w:ascii="Arial" w:hAnsi="Arial" w:eastAsia="黑体" w:cs="Times New Roman"/>
      <w:b/>
      <w:kern w:val="2"/>
      <w:sz w:val="24"/>
      <w:szCs w:val="28"/>
      <w:lang w:val="en-US" w:eastAsia="zh-CN" w:bidi="ar-SA"/>
    </w:rPr>
  </w:style>
  <w:style w:type="paragraph" w:styleId="4">
    <w:name w:val="footer"/>
    <w:basedOn w:val="1"/>
    <w:link w:val="9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5">
    <w:name w:val="header"/>
    <w:basedOn w:val="1"/>
    <w:link w:val="8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8">
    <w:name w:val="页眉 Char"/>
    <w:basedOn w:val="7"/>
    <w:link w:val="5"/>
    <w:semiHidden/>
    <w:qFormat/>
    <w:uiPriority w:val="99"/>
    <w:rPr>
      <w:sz w:val="18"/>
      <w:szCs w:val="18"/>
    </w:rPr>
  </w:style>
  <w:style w:type="character" w:customStyle="1" w:styleId="9">
    <w:name w:val="页脚 Char"/>
    <w:basedOn w:val="7"/>
    <w:link w:val="4"/>
    <w:semiHidden/>
    <w:qFormat/>
    <w:uiPriority w:val="99"/>
    <w:rPr>
      <w:sz w:val="18"/>
      <w:szCs w:val="18"/>
    </w:rPr>
  </w:style>
  <w:style w:type="character" w:customStyle="1" w:styleId="10">
    <w:name w:val="标题 1 Char"/>
    <w:basedOn w:val="7"/>
    <w:link w:val="3"/>
    <w:qFormat/>
    <w:uiPriority w:val="9"/>
    <w:rPr>
      <w:rFonts w:ascii="Times New Roman" w:hAnsi="Times New Roman" w:eastAsia="宋体" w:cs="Times New Roman"/>
      <w:b/>
      <w:bCs/>
      <w:kern w:val="44"/>
      <w:sz w:val="44"/>
      <w:szCs w:val="4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Sky123.Org</Company>
  <Pages>2</Pages>
  <Words>346</Words>
  <Characters>424</Characters>
  <Lines>3</Lines>
  <Paragraphs>1</Paragraphs>
  <TotalTime>0</TotalTime>
  <ScaleCrop>false</ScaleCrop>
  <LinksUpToDate>false</LinksUpToDate>
  <CharactersWithSpaces>503</CharactersWithSpaces>
  <Application>WPS Office_11.1.0.10009_F1E327BC-269C-435d-A152-05C5408002CA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2019-08-19T01:06:00Z</dcterms:created>
  <dc:creator>Sky123.Org</dc:creator>
  <cp:lastModifiedBy>lenovo</cp:lastModifiedBy>
  <dcterms:modified xsi:type="dcterms:W3CDTF">2025-08-28T13:04:13Z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2052-11.1.0.10009</vt:lpwstr>
  </property>
  <property fmtid="{D5CDD505-2E9C-101B-9397-08002B2CF9AE}" pid="3" name="ICV">
    <vt:lpwstr>CD6206FD7CA5494EA3A683B62672B325</vt:lpwstr>
  </property>
</Properties>
</file>