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黑水县龙坝乡人民政府</w:t>
      </w:r>
    </w:p>
    <w:p>
      <w:pPr>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2023年驻村工作队经费项目绩效自评报告</w:t>
      </w:r>
    </w:p>
    <w:p>
      <w:pPr>
        <w:jc w:val="center"/>
        <w:rPr>
          <w:rFonts w:hint="eastAsia" w:ascii="方正小标宋简体" w:eastAsia="方正小标宋简体" w:cs="黑体"/>
          <w:b w:val="0"/>
          <w:kern w:val="2"/>
          <w:sz w:val="40"/>
          <w:szCs w:val="40"/>
          <w:lang w:val="en-US" w:eastAsia="zh-CN" w:bidi="ar-SA"/>
        </w:rPr>
      </w:pPr>
    </w:p>
    <w:p>
      <w:pPr>
        <w:ind w:firstLine="722" w:firstLineChars="200"/>
        <w:rPr>
          <w:rFonts w:hint="eastAsia"/>
        </w:rPr>
      </w:pPr>
      <w:r>
        <w:rPr>
          <w:rFonts w:hint="eastAsia" w:ascii="仿宋" w:eastAsia="仿宋" w:cs="仿宋"/>
          <w:b/>
          <w:bCs/>
          <w:sz w:val="36"/>
          <w:szCs w:val="36"/>
        </w:rPr>
        <w:t>一、项目概况</w:t>
      </w:r>
    </w:p>
    <w:p>
      <w:pPr>
        <w:ind w:left="0" w:firstLine="642" w:firstLineChars="200"/>
        <w:rPr>
          <w:rFonts w:hint="eastAsia" w:ascii="仿宋" w:eastAsia="仿宋" w:cs="仿宋"/>
          <w:sz w:val="32"/>
          <w:szCs w:val="32"/>
        </w:rPr>
      </w:pPr>
      <w:r>
        <w:rPr>
          <w:rFonts w:hint="eastAsia" w:asci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eastAsia="仿宋" w:cs="仿宋"/>
          <w:sz w:val="32"/>
          <w:szCs w:val="32"/>
        </w:rPr>
      </w:pPr>
      <w:r>
        <w:rPr>
          <w:rFonts w:hint="eastAsia" w:ascii="仿宋_GB2312" w:eastAsia="仿宋_GB2312"/>
          <w:sz w:val="32"/>
          <w:szCs w:val="32"/>
        </w:rPr>
        <w:t>本项目资金来源渠道符合相关文件政策的规定，财权和事权匹配，项目筹资风险可控。</w:t>
      </w:r>
      <w:r>
        <w:rPr>
          <w:rFonts w:hint="eastAsia" w:ascii="仿宋" w:eastAsia="仿宋" w:cs="仿宋"/>
          <w:sz w:val="32"/>
          <w:szCs w:val="32"/>
        </w:rPr>
        <w:t>项目组织实施单位由项目所在乡负责。</w:t>
      </w:r>
      <w:r>
        <w:rPr>
          <w:rFonts w:hint="eastAsia" w:ascii="仿宋_GB2312" w:eastAsia="仿宋_GB2312"/>
          <w:sz w:val="32"/>
          <w:szCs w:val="32"/>
        </w:rPr>
        <w:t>投入</w:t>
      </w:r>
      <w:r>
        <w:rPr>
          <w:rFonts w:ascii="仿宋_GB2312" w:eastAsia="仿宋_GB2312"/>
          <w:sz w:val="32"/>
          <w:szCs w:val="32"/>
        </w:rPr>
        <w:t>产出</w:t>
      </w:r>
      <w:r>
        <w:rPr>
          <w:rFonts w:hint="eastAsia" w:ascii="仿宋_GB2312" w:eastAsia="仿宋_GB2312"/>
          <w:sz w:val="32"/>
          <w:szCs w:val="32"/>
        </w:rPr>
        <w:t>及</w:t>
      </w:r>
      <w:r>
        <w:rPr>
          <w:rFonts w:ascii="仿宋_GB2312" w:eastAsia="仿宋_GB2312"/>
          <w:sz w:val="32"/>
          <w:szCs w:val="32"/>
        </w:rPr>
        <w:t>效果较匹配</w:t>
      </w:r>
      <w:r>
        <w:rPr>
          <w:rFonts w:hint="eastAsia" w:ascii="仿宋_GB2312" w:eastAsia="仿宋_GB2312"/>
          <w:sz w:val="32"/>
          <w:szCs w:val="32"/>
        </w:rPr>
        <w:t>，</w:t>
      </w:r>
      <w:r>
        <w:rPr>
          <w:rFonts w:ascii="仿宋_GB2312" w:eastAsia="仿宋_GB2312"/>
          <w:sz w:val="32"/>
          <w:szCs w:val="32"/>
        </w:rPr>
        <w:t>成本测算依据较充分，测算相对合理，应补充完善成本控制措施。</w:t>
      </w:r>
      <w:r>
        <w:rPr>
          <w:rFonts w:hint="eastAsia" w:ascii="仿宋" w:eastAsia="仿宋" w:cs="仿宋"/>
          <w:sz w:val="32"/>
          <w:szCs w:val="32"/>
        </w:rPr>
        <w:t>项目实施时，真实、及时公告公示项目建设和资金使用等情况，接受社会和群众监督，确保项目在阳光下管理，资金在阳光下运行。</w:t>
      </w:r>
      <w:r>
        <w:rPr>
          <w:rFonts w:hint="eastAsia" w:ascii="仿宋_GB2312" w:eastAsia="仿宋_GB2312"/>
          <w:sz w:val="32"/>
          <w:szCs w:val="32"/>
          <w:lang w:eastAsia="zh-CN"/>
        </w:rPr>
        <w:t>该项目资金</w:t>
      </w:r>
      <w:r>
        <w:rPr>
          <w:rFonts w:hint="eastAsia" w:ascii="仿宋_GB2312" w:eastAsia="仿宋_GB2312"/>
          <w:b w:val="0"/>
          <w:bCs w:val="0"/>
          <w:sz w:val="32"/>
          <w:szCs w:val="32"/>
          <w:lang w:eastAsia="zh-CN"/>
        </w:rPr>
        <w:t>经申请后已获批准。</w:t>
      </w:r>
    </w:p>
    <w:p>
      <w:pPr>
        <w:numPr>
          <w:ilvl w:val="0"/>
          <w:numId w:val="1"/>
        </w:numPr>
        <w:adjustRightInd w:val="0"/>
        <w:snapToGrid w:val="0"/>
        <w:spacing w:line="520" w:lineRule="exact"/>
        <w:ind w:left="0" w:firstLine="642" w:firstLineChars="200"/>
        <w:rPr>
          <w:rFonts w:hint="eastAsia" w:ascii="仿宋" w:eastAsia="仿宋" w:cs="仿宋"/>
          <w:b/>
          <w:bCs/>
          <w:sz w:val="32"/>
          <w:szCs w:val="32"/>
          <w:lang w:eastAsia="zh-CN"/>
        </w:rPr>
      </w:pPr>
      <w:r>
        <w:rPr>
          <w:rFonts w:hint="eastAsia" w:ascii="仿宋" w:eastAsia="仿宋" w:cs="仿宋"/>
          <w:b/>
          <w:bCs/>
          <w:sz w:val="32"/>
          <w:szCs w:val="32"/>
          <w:lang w:eastAsia="zh-CN"/>
        </w:rPr>
        <w:t>实施目的及支持方向。</w:t>
      </w:r>
    </w:p>
    <w:p>
      <w:pPr>
        <w:ind w:left="0" w:firstLine="640" w:firstLineChars="200"/>
        <w:rPr>
          <w:rFonts w:hint="eastAsia" w:ascii="仿宋" w:eastAsia="仿宋" w:cs="仿宋"/>
          <w:b/>
          <w:bCs/>
          <w:sz w:val="32"/>
          <w:szCs w:val="32"/>
          <w:lang w:val="en-US" w:eastAsia="zh-CN"/>
        </w:rPr>
      </w:pPr>
      <w:r>
        <w:rPr>
          <w:rFonts w:hint="eastAsia" w:ascii="仿宋_GB2312" w:eastAsia="仿宋_GB2312"/>
          <w:sz w:val="32"/>
          <w:szCs w:val="32"/>
        </w:rPr>
        <w:t>加强乡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w:t>
      </w:r>
      <w:r>
        <w:rPr>
          <w:rFonts w:hint="eastAsia" w:ascii="仿宋_GB2312" w:eastAsia="仿宋_GB2312"/>
          <w:sz w:val="32"/>
          <w:szCs w:val="32"/>
        </w:rPr>
        <w:t>经费保障，充分发挥乡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队员</w:t>
      </w:r>
      <w:r>
        <w:rPr>
          <w:rFonts w:hint="eastAsia" w:ascii="仿宋_GB2312" w:eastAsia="仿宋_GB2312"/>
          <w:sz w:val="32"/>
          <w:szCs w:val="32"/>
        </w:rPr>
        <w:t>履职积极性，确保乡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sz w:val="32"/>
          <w:szCs w:val="32"/>
        </w:rPr>
        <w:t>能力水平和效果不断提升：2023年</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队经费</w:t>
      </w:r>
      <w:r>
        <w:rPr>
          <w:rFonts w:hint="eastAsia" w:ascii="仿宋_GB2312" w:eastAsia="仿宋_GB2312"/>
          <w:sz w:val="32"/>
          <w:szCs w:val="32"/>
        </w:rPr>
        <w:t>预算资金</w:t>
      </w:r>
      <w:r>
        <w:rPr>
          <w:rFonts w:hint="eastAsia" w:ascii="仿宋_GB2312" w:eastAsia="仿宋_GB2312"/>
          <w:sz w:val="32"/>
          <w:szCs w:val="32"/>
          <w:lang w:val="en-US" w:eastAsia="zh-CN"/>
        </w:rPr>
        <w:t>各村1.5万元，4个村合计6万元</w:t>
      </w:r>
      <w:r>
        <w:rPr>
          <w:rFonts w:hint="eastAsia" w:ascii="仿宋_GB2312" w:eastAsia="仿宋_GB2312"/>
          <w:sz w:val="32"/>
          <w:szCs w:val="32"/>
        </w:rPr>
        <w:t>。</w:t>
      </w:r>
      <w:r>
        <w:rPr>
          <w:rFonts w:hint="eastAsia" w:ascii="仿宋" w:eastAsia="仿宋" w:cs="仿宋"/>
          <w:b/>
          <w:bCs/>
          <w:sz w:val="32"/>
          <w:szCs w:val="32"/>
          <w:lang w:val="en-US" w:eastAsia="zh-CN"/>
        </w:rPr>
        <w:t xml:space="preserve">      </w:t>
      </w:r>
    </w:p>
    <w:p>
      <w:pPr>
        <w:ind w:left="0" w:firstLine="642" w:firstLineChars="200"/>
        <w:rPr>
          <w:rFonts w:hint="eastAsia" w:ascii="仿宋" w:eastAsia="仿宋" w:cs="仿宋"/>
          <w:b/>
          <w:bCs/>
          <w:sz w:val="32"/>
          <w:szCs w:val="32"/>
        </w:rPr>
      </w:pPr>
      <w:r>
        <w:rPr>
          <w:rFonts w:hint="eastAsia" w:ascii="仿宋" w:eastAsia="仿宋" w:cs="仿宋"/>
          <w:b/>
          <w:bCs/>
          <w:sz w:val="32"/>
          <w:szCs w:val="32"/>
          <w:lang w:val="en-US" w:eastAsia="zh-CN"/>
        </w:rPr>
        <w:t>（三）预算安排及分配管理。</w:t>
      </w:r>
    </w:p>
    <w:p>
      <w:pPr>
        <w:ind w:left="0" w:firstLine="640" w:firstLineChars="200"/>
        <w:rPr>
          <w:rFonts w:hint="eastAsia" w:ascii="仿宋_GB2312" w:eastAsia="仿宋_GB2312"/>
          <w:sz w:val="32"/>
          <w:szCs w:val="32"/>
        </w:rPr>
      </w:pPr>
      <w:r>
        <w:rPr>
          <w:rFonts w:hint="eastAsia" w:ascii="仿宋_GB2312" w:eastAsia="仿宋_GB2312" w:cs="仿宋_GB2312"/>
          <w:bCs/>
          <w:sz w:val="32"/>
          <w:szCs w:val="32"/>
          <w:highlight w:val="none"/>
          <w:lang w:val="en-US" w:eastAsia="zh-CN"/>
        </w:rPr>
        <w:t>2023年年初预算</w:t>
      </w:r>
      <w:r>
        <w:rPr>
          <w:rFonts w:hint="eastAsia" w:ascii="仿宋_GB2312" w:hAnsi="仿宋_GB2312" w:cs="仿宋_GB2312"/>
          <w:bCs/>
          <w:sz w:val="32"/>
          <w:szCs w:val="32"/>
          <w:highlight w:val="none"/>
          <w:lang w:val="en-US" w:eastAsia="zh-CN"/>
        </w:rPr>
        <w:t>0万元，调整后预算数6万元，预算执行数6万元。</w:t>
      </w:r>
    </w:p>
    <w:p>
      <w:pPr>
        <w:spacing w:line="560" w:lineRule="exact"/>
        <w:ind w:left="420" w:leftChars="200"/>
        <w:rPr>
          <w:rFonts w:hint="eastAsia" w:ascii="仿宋" w:eastAsia="仿宋" w:cs="仿宋"/>
          <w:b/>
          <w:bCs/>
          <w:kern w:val="2"/>
          <w:sz w:val="32"/>
          <w:szCs w:val="32"/>
          <w:lang w:val="zh-CN" w:eastAsia="zh-CN" w:bidi="ar-SA"/>
        </w:rPr>
      </w:pP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四</w:t>
      </w: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项目绩效目标设置</w:t>
      </w:r>
      <w:r>
        <w:rPr>
          <w:rFonts w:hint="eastAsia" w:ascii="仿宋" w:eastAsia="仿宋" w:cs="仿宋"/>
          <w:b/>
          <w:bCs/>
          <w:kern w:val="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zh-CN" w:eastAsia="zh-CN"/>
        </w:rPr>
      </w:pPr>
      <w:r>
        <w:rPr>
          <w:rFonts w:hint="eastAsia" w:ascii="仿宋_GB2312" w:eastAsia="仿宋_GB2312" w:cs="Times New Roman"/>
          <w:sz w:val="32"/>
          <w:szCs w:val="32"/>
          <w:lang w:val="en-US" w:eastAsia="zh-CN"/>
        </w:rPr>
        <w:t>我乡</w:t>
      </w:r>
      <w:r>
        <w:rPr>
          <w:rFonts w:hint="eastAsia" w:ascii="仿宋_GB2312" w:hAnsi="仿宋_GB2312" w:cs="仿宋_GB2312"/>
          <w:bCs/>
          <w:sz w:val="32"/>
          <w:szCs w:val="32"/>
          <w:highlight w:val="none"/>
          <w:lang w:val="en-US" w:eastAsia="zh-CN"/>
        </w:rPr>
        <w:t>驻村工作队专项工作经费项目</w:t>
      </w:r>
      <w:r>
        <w:rPr>
          <w:rFonts w:asci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驻村工作队专项工作经费</w:t>
      </w:r>
      <w:r>
        <w:rPr>
          <w:rFonts w:asci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asci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驻村工作队专项工作经费</w:t>
      </w:r>
      <w:r>
        <w:rPr>
          <w:rFonts w:ascii="仿宋_GB2312" w:eastAsia="仿宋_GB2312" w:cs="仿宋_GB2312"/>
          <w:bCs/>
          <w:sz w:val="32"/>
          <w:szCs w:val="32"/>
          <w:highlight w:val="none"/>
          <w:lang w:val="zh-CN" w:eastAsia="zh-CN"/>
        </w:rPr>
        <w:t>项目内容与具体实施内容相符的、申报目标是合理可行。</w:t>
      </w:r>
    </w:p>
    <w:p>
      <w:pPr>
        <w:spacing w:line="560" w:lineRule="exact"/>
        <w:rPr>
          <w:rFonts w:hint="eastAsia" w:ascii="仿宋" w:eastAsia="仿宋" w:cs="仿宋"/>
          <w:b/>
          <w:bCs/>
          <w:kern w:val="2"/>
          <w:sz w:val="32"/>
          <w:szCs w:val="32"/>
          <w:lang w:val="en-US" w:eastAsia="zh-CN" w:bidi="ar-SA"/>
        </w:rPr>
      </w:pP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eastAsia="黑体" w:cs="黑体"/>
          <w:kern w:val="2"/>
          <w:sz w:val="32"/>
          <w:szCs w:val="32"/>
        </w:rPr>
      </w:pPr>
      <w:r>
        <w:rPr>
          <w:rFonts w:hint="eastAsia" w:ascii="黑体" w:eastAsia="黑体" w:cs="黑体"/>
          <w:kern w:val="2"/>
          <w:sz w:val="32"/>
          <w:szCs w:val="32"/>
          <w:lang w:val="en-US" w:eastAsia="zh-CN"/>
        </w:rPr>
        <w:t>二、评价实施</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ascii="Times New Roman" w:hAnsi="Times New Roman" w:eastAsia="仿宋_GB2312" w:cs="Times New Roman"/>
          <w:kern w:val="0"/>
          <w:sz w:val="32"/>
          <w:szCs w:val="32"/>
          <w:lang w:val="en-US" w:eastAsia="zh-CN"/>
        </w:rPr>
        <w:t xml:space="preserve"> 2024</w:t>
      </w:r>
      <w:r>
        <w:rPr>
          <w:rFonts w:ascii="仿宋_GB2312" w:eastAsia="仿宋_GB2312" w:cs="仿宋_GB2312"/>
          <w:kern w:val="0"/>
          <w:sz w:val="32"/>
          <w:szCs w:val="32"/>
          <w:lang w:val="en-US" w:eastAsia="zh-CN"/>
        </w:rPr>
        <w:t>年州级部门绩效自评工作的通知》（阿州财监绩〔</w:t>
      </w:r>
      <w:r>
        <w:rPr>
          <w:rFonts w:ascii="Times New Roman" w:hAnsi="Times New Roman" w:eastAsia="仿宋_GB2312" w:cs="Times New Roman"/>
          <w:kern w:val="0"/>
          <w:sz w:val="32"/>
          <w:szCs w:val="32"/>
          <w:lang w:val="en-US" w:eastAsia="zh-CN"/>
        </w:rPr>
        <w:t>2024</w:t>
      </w:r>
      <w:r>
        <w:rPr>
          <w:rFonts w:ascii="仿宋_GB2312" w:eastAsia="仿宋_GB2312" w:cs="仿宋_GB2312"/>
          <w:kern w:val="0"/>
          <w:sz w:val="32"/>
          <w:szCs w:val="32"/>
          <w:lang w:val="en-US" w:eastAsia="zh-CN"/>
        </w:rPr>
        <w:t>〕</w:t>
      </w:r>
      <w:r>
        <w:rPr>
          <w:rFonts w:ascii="Times New Roman" w:hAnsi="Times New Roman" w:eastAsia="仿宋_GB2312" w:cs="Times New Roman"/>
          <w:kern w:val="0"/>
          <w:sz w:val="32"/>
          <w:szCs w:val="32"/>
          <w:lang w:val="en-US" w:eastAsia="zh-CN"/>
        </w:rPr>
        <w:t>19</w:t>
      </w:r>
      <w:r>
        <w:rPr>
          <w:rFonts w:ascii="仿宋_GB2312" w:eastAsia="仿宋_GB2312" w:cs="仿宋_GB2312"/>
          <w:kern w:val="0"/>
          <w:sz w:val="32"/>
          <w:szCs w:val="32"/>
          <w:lang w:val="en-US" w:eastAsia="zh-CN"/>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（二）预设问题及评价重点。</w:t>
      </w:r>
      <w:r>
        <w:rPr>
          <w:rFonts w:ascii="Times New Roman" w:hAnsi="Times New Roman" w:eastAsia="仿宋_GB2312" w:cs="仿宋_GB2312"/>
          <w:kern w:val="2"/>
          <w:sz w:val="32"/>
          <w:szCs w:val="32"/>
          <w:lang w:val="en-US" w:eastAsia="zh-CN"/>
        </w:rPr>
        <w:t xml:space="preserve">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（三）评价选点。</w:t>
      </w:r>
    </w:p>
    <w:p>
      <w:pPr>
        <w:keepNext w:val="0"/>
        <w:keepLines w:val="0"/>
        <w:widowControl w:val="0"/>
        <w:suppressLineNumbers w:val="0"/>
        <w:spacing w:before="0" w:beforeAutospacing="0" w:after="0" w:afterAutospacing="0" w:line="578" w:lineRule="exact"/>
        <w:ind w:left="0" w:right="0" w:firstLine="640"/>
        <w:jc w:val="both"/>
        <w:rPr>
          <w:rFonts w:ascii="仿宋_GB2312" w:eastAsia="仿宋_GB2312" w:cs="仿宋_GB2312"/>
          <w:kern w:val="0"/>
          <w:sz w:val="32"/>
          <w:szCs w:val="32"/>
          <w:lang w:val="en-US" w:eastAsia="zh-CN"/>
        </w:rPr>
      </w:pPr>
      <w:r>
        <w:rPr>
          <w:rFonts w:ascii="仿宋_GB2312" w:eastAsia="仿宋_GB2312" w:cs="仿宋_GB2312"/>
          <w:kern w:val="0"/>
          <w:sz w:val="32"/>
          <w:szCs w:val="32"/>
          <w:lang w:val="en-US" w:eastAsia="zh-CN"/>
        </w:rPr>
        <w:t>全乡</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5.</w:t>
      </w:r>
      <w:r>
        <w:rPr>
          <w:rFonts w:ascii="仿宋_GB2312" w:eastAsia="仿宋_GB2312" w:cs="仿宋_GB2312"/>
          <w:kern w:val="0"/>
          <w:sz w:val="32"/>
          <w:szCs w:val="32"/>
          <w:lang w:val="en-US" w:eastAsia="zh-CN"/>
        </w:rPr>
        <w:t>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（五）评价组织。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仿宋_GB2312" w:eastAsia="仿宋_GB2312" w:cs="仿宋_GB2312"/>
          <w:kern w:val="2"/>
          <w:sz w:val="32"/>
          <w:szCs w:val="32"/>
        </w:rPr>
      </w:pPr>
      <w:r>
        <w:rPr>
          <w:rFonts w:hint="eastAsia" w:ascii="黑体" w:eastAsia="黑体" w:cs="黑体"/>
          <w:kern w:val="2"/>
          <w:sz w:val="32"/>
          <w:szCs w:val="32"/>
          <w:lang w:val="en-US" w:eastAsia="zh-CN"/>
        </w:rPr>
        <w:t>三、绩效分析</w:t>
      </w:r>
      <w:r>
        <w:rPr>
          <w:rFonts w:ascii="仿宋_GB2312" w:eastAsia="仿宋_GB2312" w:cs="仿宋_GB2312"/>
          <w:kern w:val="2"/>
          <w:sz w:val="32"/>
          <w:szCs w:val="32"/>
          <w:lang w:val="en-US" w:eastAsia="zh-CN"/>
        </w:rPr>
        <w:tab/>
      </w:r>
    </w:p>
    <w:p>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楷体_GB2312" w:hAnsi="宋体" w:eastAsia="楷体_GB2312" w:cs="Times New Roman"/>
          <w:b/>
          <w:kern w:val="2"/>
          <w:sz w:val="32"/>
          <w:szCs w:val="32"/>
        </w:rPr>
      </w:pPr>
      <w:r>
        <w:rPr>
          <w:rFonts w:hint="default" w:ascii="楷体_GB2312" w:hAnsi="宋体" w:eastAsia="楷体_GB2312" w:cs="楷体_GB2312"/>
          <w:b/>
          <w:kern w:val="2"/>
          <w:sz w:val="32"/>
          <w:szCs w:val="32"/>
          <w:lang w:val="en-US" w:eastAsia="zh-CN" w:bidi="ar"/>
        </w:rPr>
        <w:t>（一）通用指标</w:t>
      </w:r>
      <w:r>
        <w:rPr>
          <w:rFonts w:hint="default" w:ascii="楷体_GB2312" w:hAnsi="Times New Roman" w:eastAsia="楷体_GB2312" w:cs="楷体_GB2312"/>
          <w:b/>
          <w:color w:val="000000"/>
          <w:kern w:val="0"/>
          <w:sz w:val="32"/>
          <w:szCs w:val="32"/>
          <w:shd w:val="clear" w:fill="FFFFFF"/>
          <w:lang w:val="en-US" w:eastAsia="zh-CN" w:bidi="ar"/>
        </w:rPr>
        <w:t>绩效分析。指标分值</w:t>
      </w:r>
      <w:r>
        <w:rPr>
          <w:rFonts w:hint="default" w:ascii="Times New Roman" w:hAnsi="Times New Roman" w:eastAsia="楷体_GB2312" w:cs="Times New Roman"/>
          <w:b/>
          <w:color w:val="000000"/>
          <w:kern w:val="0"/>
          <w:sz w:val="32"/>
          <w:szCs w:val="32"/>
          <w:shd w:val="clear" w:fill="FFFFFF"/>
          <w:lang w:val="en-US" w:eastAsia="zh-CN" w:bidi="ar"/>
        </w:rPr>
        <w:t>54</w:t>
      </w:r>
      <w:r>
        <w:rPr>
          <w:rFonts w:hint="default" w:ascii="楷体_GB2312" w:hAnsi="Times New Roman" w:eastAsia="楷体_GB2312" w:cs="楷体_GB2312"/>
          <w:b/>
          <w:color w:val="000000"/>
          <w:kern w:val="0"/>
          <w:sz w:val="32"/>
          <w:szCs w:val="32"/>
          <w:shd w:val="clear" w:fill="FFFFFF"/>
          <w:lang w:val="en-US" w:eastAsia="zh-CN" w:bidi="ar"/>
        </w:rPr>
        <w:t>分，自评得分</w:t>
      </w:r>
      <w:r>
        <w:rPr>
          <w:rFonts w:hint="default" w:ascii="Times New Roman" w:hAnsi="Times New Roman" w:eastAsia="楷体_GB2312" w:cs="Times New Roman"/>
          <w:b/>
          <w:color w:val="000000"/>
          <w:kern w:val="0"/>
          <w:sz w:val="32"/>
          <w:szCs w:val="32"/>
          <w:shd w:val="clear" w:fill="FFFFFF"/>
          <w:lang w:val="en-US" w:eastAsia="zh-CN" w:bidi="ar"/>
        </w:rPr>
        <w:t>54</w:t>
      </w:r>
      <w:r>
        <w:rPr>
          <w:rFonts w:hint="default" w:ascii="楷体_GB2312" w:hAnsi="Times New Roman" w:eastAsia="楷体_GB2312" w:cs="楷体_GB2312"/>
          <w:b/>
          <w:color w:val="000000"/>
          <w:kern w:val="0"/>
          <w:sz w:val="32"/>
          <w:szCs w:val="32"/>
          <w:shd w:val="clear" w:fill="FFFFFF"/>
          <w:lang w:val="en-US" w:eastAsia="zh-CN" w:bidi="ar"/>
        </w:rPr>
        <w:t>分</w:t>
      </w:r>
    </w:p>
    <w:p>
      <w:pPr>
        <w:keepNext w:val="0"/>
        <w:keepLines w:val="0"/>
        <w:widowControl w:val="0"/>
        <w:suppressLineNumbers w:val="0"/>
        <w:autoSpaceDE w:val="0"/>
        <w:autoSpaceDN/>
        <w:spacing w:before="0" w:beforeAutospacing="0" w:after="0" w:afterAutospacing="0" w:line="578" w:lineRule="exact"/>
        <w:ind w:left="420" w:leftChars="200" w:right="0" w:firstLine="0" w:firstLineChars="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1.项目决策。指标分值18分，自评得分18分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决策程序：项目设立、调整延续等方面符合资金管理基本规范和决策程序要求。指标分值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规划论证：项目规划论证符合中省要求，项目绩效目标设置科学合理，项目资金与项目总体规划、相关行业事业发展相匹配，聚焦重大任务、重点领域、重点环节和重点项目。指标分值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资金投向：项目资金是与项目总体规划、相关行业事业发展相匹配，聚焦重大任务、重点领域、重点环节和重点项目。体现</w:t>
      </w:r>
      <w:r>
        <w:rPr>
          <w:rFonts w:hint="default" w:ascii="Times New Roman" w:hAnsi="Times New Roman" w:eastAsia="仿宋_GB2312" w:cs="Times New Roman"/>
          <w:kern w:val="2"/>
          <w:sz w:val="32"/>
          <w:szCs w:val="32"/>
          <w:lang w:val="en-US" w:eastAsia="zh-CN" w:bidi="ar"/>
        </w:rPr>
        <w:t>“集中财力办大事”原则，避免“撒胡椒面”。指标分值6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2.项目管理。指标分值18分，自评得分18分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制度办法：项目制度办法体系健全、要素完备。资金管理办法等管理制度体系健全完善，不存在管理制度缺失、管理办法过期情况。指标分值</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分配管理：项目资金分配因素选取、权重设置、区域分布，项目管理、审批符合管理要求，管资金、</w:t>
      </w:r>
      <w:r>
        <w:rPr>
          <w:rFonts w:hint="default" w:ascii="仿宋_GB2312" w:hAnsi="Times New Roman" w:eastAsia="仿宋_GB2312" w:cs="仿宋_GB2312"/>
          <w:kern w:val="2"/>
          <w:sz w:val="32"/>
          <w:szCs w:val="32"/>
          <w:lang w:eastAsia="zh-CN" w:bidi="ar"/>
        </w:rPr>
        <w:t>管</w:t>
      </w:r>
      <w:bookmarkStart w:id="0" w:name="_GoBack"/>
      <w:bookmarkEnd w:id="0"/>
      <w:r>
        <w:rPr>
          <w:rFonts w:hint="default" w:ascii="仿宋_GB2312" w:hAnsi="Times New Roman" w:eastAsia="仿宋_GB2312" w:cs="仿宋_GB2312"/>
          <w:kern w:val="2"/>
          <w:sz w:val="32"/>
          <w:szCs w:val="32"/>
          <w:lang w:val="en-US" w:eastAsia="zh-CN" w:bidi="ar"/>
        </w:rPr>
        <w:t>项目、政策管绩效，项目绩效监管按要求开展，对下指导有力有效。指标分值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绩效监管:</w:t>
      </w:r>
      <w:r>
        <w:rPr>
          <w:rFonts w:hint="default" w:ascii="仿宋_GB2312" w:hAnsi="Times New Roman" w:eastAsia="仿宋_GB2312" w:cs="仿宋_GB2312"/>
          <w:kern w:val="2"/>
          <w:sz w:val="32"/>
          <w:szCs w:val="32"/>
          <w:lang w:val="en-US" w:eastAsia="zh-CN" w:bidi="ar"/>
        </w:rPr>
        <w:t>明确要求</w:t>
      </w:r>
      <w:r>
        <w:rPr>
          <w:rFonts w:hint="default" w:ascii="Times New Roman" w:hAnsi="Times New Roman" w:eastAsia="仿宋_GB2312" w:cs="Times New Roman"/>
          <w:kern w:val="2"/>
          <w:sz w:val="32"/>
          <w:szCs w:val="32"/>
          <w:lang w:val="en-US" w:eastAsia="zh-CN" w:bidi="ar"/>
        </w:rPr>
        <w:t>“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仿宋_GB2312" w:hAnsi="Times New Roman" w:eastAsia="仿宋_GB2312" w:cs="仿宋_GB2312"/>
          <w:kern w:val="2"/>
          <w:sz w:val="32"/>
          <w:szCs w:val="32"/>
          <w:lang w:val="en-US" w:eastAsia="zh-CN" w:bidi="ar"/>
        </w:rPr>
        <w:t>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3.项目实施。指标分值9分，自评得分9分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预算执行</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项目预算资金</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万元，支付</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万元。指标分值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楷体_GB2312" w:hAnsi="Times New Roman" w:eastAsia="楷体_GB2312" w:cs="楷体_GB2312"/>
          <w:kern w:val="2"/>
          <w:sz w:val="32"/>
          <w:szCs w:val="32"/>
          <w:lang w:val="en-US" w:eastAsia="zh-CN" w:bidi="ar"/>
        </w:rPr>
        <w:t>资金使用:项</w:t>
      </w:r>
      <w:r>
        <w:rPr>
          <w:rFonts w:hint="default" w:ascii="仿宋_GB2312" w:hAnsi="Times New Roman" w:eastAsia="仿宋_GB2312" w:cs="仿宋_GB2312"/>
          <w:kern w:val="2"/>
          <w:sz w:val="32"/>
          <w:szCs w:val="32"/>
          <w:lang w:val="en-US" w:eastAsia="zh-CN" w:bidi="ar"/>
        </w:rPr>
        <w:t>目资金使用、拨付符合国家财经法规、财务管理制度及有关专项资金管理制度办法规定和审批程序，不存在超范围、超标准、超进度使用专项资金，不存在资金损失浪费、长期沉淀、截留、挤占、挪用、虚列支出等情况。指标分值</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4.项目结果。指标分值9分，自评得分9分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目标完成：资金项目内容与具体实施内容相符的、申报目标是合理可行。项目运行成本、管理效率、履职效能、社会效应、可持续发展能力和服务对象满意度等方面均取得良好成果，预算绩效实现全覆盖。截止</w:t>
      </w:r>
      <w:r>
        <w:rPr>
          <w:rFonts w:hint="default" w:ascii="Times New Roman" w:hAnsi="Times New Roman" w:eastAsia="仿宋_GB2312" w:cs="Times New Roman"/>
          <w:kern w:val="2"/>
          <w:sz w:val="32"/>
          <w:szCs w:val="32"/>
          <w:lang w:val="en-US" w:eastAsia="zh-CN" w:bidi="ar"/>
        </w:rPr>
        <w:t>2023</w:t>
      </w:r>
      <w:r>
        <w:rPr>
          <w:rFonts w:hint="default" w:ascii="仿宋_GB2312" w:hAnsi="Times New Roman" w:eastAsia="仿宋_GB2312" w:cs="仿宋_GB2312"/>
          <w:kern w:val="2"/>
          <w:sz w:val="32"/>
          <w:szCs w:val="32"/>
          <w:lang w:val="en-US" w:eastAsia="zh-CN" w:bidi="ar"/>
        </w:rPr>
        <w:t>年底完成项目资金拨付。指标分值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完成时效：资金项目按照目标任务已于</w:t>
      </w:r>
      <w:r>
        <w:rPr>
          <w:rFonts w:hint="default" w:ascii="Times New Roman" w:hAnsi="Times New Roman" w:eastAsia="仿宋_GB2312" w:cs="Times New Roman"/>
          <w:kern w:val="2"/>
          <w:sz w:val="32"/>
          <w:szCs w:val="32"/>
          <w:lang w:val="en-US" w:eastAsia="zh-CN" w:bidi="ar"/>
        </w:rPr>
        <w:t>2023</w:t>
      </w:r>
      <w:r>
        <w:rPr>
          <w:rFonts w:hint="default" w:ascii="仿宋_GB2312" w:hAnsi="Times New Roman" w:eastAsia="仿宋_GB2312" w:cs="仿宋_GB2312"/>
          <w:kern w:val="2"/>
          <w:sz w:val="32"/>
          <w:szCs w:val="32"/>
          <w:lang w:val="en-US" w:eastAsia="zh-CN" w:bidi="ar"/>
        </w:rPr>
        <w:t>年底完成。指标分值</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2" w:firstLineChars="200"/>
        <w:jc w:val="both"/>
        <w:rPr>
          <w:rFonts w:hint="default" w:ascii="楷体_GB2312" w:eastAsia="楷体_GB2312" w:cs="楷体_GB2312"/>
          <w:kern w:val="2"/>
          <w:sz w:val="32"/>
          <w:szCs w:val="32"/>
        </w:rPr>
      </w:pPr>
      <w:r>
        <w:rPr>
          <w:rFonts w:hint="default" w:ascii="楷体_GB2312" w:hAnsi="宋体" w:eastAsia="楷体_GB2312" w:cs="楷体_GB2312"/>
          <w:b/>
          <w:kern w:val="2"/>
          <w:sz w:val="32"/>
          <w:szCs w:val="32"/>
          <w:lang w:val="en-US" w:eastAsia="zh-CN" w:bidi="ar"/>
        </w:rPr>
        <w:t>（二）专用指标</w:t>
      </w:r>
      <w:r>
        <w:rPr>
          <w:rFonts w:hint="default" w:ascii="楷体_GB2312" w:hAnsi="Times New Roman" w:eastAsia="楷体_GB2312" w:cs="楷体_GB2312"/>
          <w:b/>
          <w:color w:val="000000"/>
          <w:kern w:val="0"/>
          <w:sz w:val="32"/>
          <w:szCs w:val="32"/>
          <w:shd w:val="clear" w:fill="FFFFFF"/>
          <w:lang w:val="en-US" w:eastAsia="zh-CN" w:bidi="ar"/>
        </w:rPr>
        <w:t>绩效分析。指标分值</w:t>
      </w:r>
      <w:r>
        <w:rPr>
          <w:rFonts w:hint="default" w:ascii="Times New Roman" w:hAnsi="Times New Roman" w:eastAsia="楷体_GB2312" w:cs="Times New Roman"/>
          <w:b/>
          <w:color w:val="000000"/>
          <w:kern w:val="0"/>
          <w:sz w:val="32"/>
          <w:szCs w:val="32"/>
          <w:shd w:val="clear" w:fill="FFFFFF"/>
          <w:lang w:val="en-US" w:eastAsia="zh-CN" w:bidi="ar"/>
        </w:rPr>
        <w:t>30</w:t>
      </w:r>
      <w:r>
        <w:rPr>
          <w:rFonts w:hint="default" w:ascii="楷体_GB2312" w:hAnsi="Times New Roman" w:eastAsia="楷体_GB2312" w:cs="楷体_GB2312"/>
          <w:b/>
          <w:color w:val="000000"/>
          <w:kern w:val="0"/>
          <w:sz w:val="32"/>
          <w:szCs w:val="32"/>
          <w:shd w:val="clear" w:fill="FFFFFF"/>
          <w:lang w:val="en-US" w:eastAsia="zh-CN" w:bidi="ar"/>
        </w:rPr>
        <w:t>分，自评得分</w:t>
      </w:r>
      <w:r>
        <w:rPr>
          <w:rFonts w:hint="default" w:ascii="Times New Roman" w:hAnsi="Times New Roman" w:eastAsia="楷体_GB2312" w:cs="Times New Roman"/>
          <w:b/>
          <w:color w:val="000000"/>
          <w:kern w:val="0"/>
          <w:sz w:val="32"/>
          <w:szCs w:val="32"/>
          <w:shd w:val="clear" w:fill="FFFFFF"/>
          <w:lang w:val="en-US" w:eastAsia="zh-CN" w:bidi="ar"/>
        </w:rPr>
        <w:t>30</w:t>
      </w:r>
      <w:r>
        <w:rPr>
          <w:rFonts w:hint="default" w:ascii="楷体_GB2312" w:hAnsi="Times New Roman" w:eastAsia="楷体_GB2312" w:cs="楷体_GB2312"/>
          <w:b/>
          <w:color w:val="000000"/>
          <w:kern w:val="0"/>
          <w:sz w:val="32"/>
          <w:szCs w:val="32"/>
          <w:shd w:val="clear" w:fill="FFFFFF"/>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用途合规性：项目资金分配均衡公平，资金实际支持对象符合管理要求，符合支持对象范围。指标分值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程序合规性：项目资金按照专项资金管理要求，程序合规合法。指标分值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标准合规性</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按照专项资金管理要求，及时有效完成项目资金的实施和兑现。指标分值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numPr>
          <w:ilvl w:val="0"/>
          <w:numId w:val="2"/>
        </w:numPr>
        <w:suppressLineNumbers w:val="0"/>
        <w:autoSpaceDE w:val="0"/>
        <w:autoSpaceDN/>
        <w:spacing w:before="0" w:beforeAutospacing="0" w:after="0" w:afterAutospacing="0" w:line="578" w:lineRule="exact"/>
        <w:ind w:left="0" w:leftChars="0" w:right="0" w:firstLine="642" w:firstLineChars="200"/>
        <w:jc w:val="both"/>
        <w:rPr>
          <w:rFonts w:hint="default" w:ascii="Times New Roman" w:hAnsi="Times New Roman" w:eastAsia="楷体_GB2312" w:cs="Times New Roman"/>
          <w:b/>
          <w:color w:val="000000"/>
          <w:kern w:val="0"/>
          <w:sz w:val="32"/>
          <w:szCs w:val="32"/>
          <w:shd w:val="clear" w:fill="FFFFFF"/>
        </w:rPr>
      </w:pPr>
      <w:r>
        <w:rPr>
          <w:rFonts w:hint="default" w:ascii="楷体_GB2312" w:hAnsi="宋体" w:eastAsia="楷体_GB2312" w:cs="楷体_GB2312"/>
          <w:b/>
          <w:kern w:val="2"/>
          <w:sz w:val="32"/>
          <w:szCs w:val="32"/>
          <w:lang w:val="en-US" w:eastAsia="zh-CN" w:bidi="ar"/>
        </w:rPr>
        <w:t>个性指标</w:t>
      </w:r>
      <w:r>
        <w:rPr>
          <w:rFonts w:hint="default" w:ascii="楷体_GB2312" w:hAnsi="Times New Roman" w:eastAsia="楷体_GB2312" w:cs="楷体_GB2312"/>
          <w:b/>
          <w:color w:val="000000"/>
          <w:kern w:val="0"/>
          <w:sz w:val="32"/>
          <w:szCs w:val="32"/>
          <w:shd w:val="clear" w:fill="FFFFFF"/>
          <w:lang w:val="en-US" w:eastAsia="zh-CN" w:bidi="ar"/>
        </w:rPr>
        <w:t>绩效分析。指标分值</w:t>
      </w:r>
      <w:r>
        <w:rPr>
          <w:rFonts w:hint="default" w:ascii="Times New Roman" w:hAnsi="Times New Roman" w:eastAsia="楷体_GB2312" w:cs="Times New Roman"/>
          <w:b/>
          <w:color w:val="000000"/>
          <w:kern w:val="0"/>
          <w:sz w:val="32"/>
          <w:szCs w:val="32"/>
          <w:shd w:val="clear" w:fill="FFFFFF"/>
          <w:lang w:val="en-US" w:eastAsia="zh-CN" w:bidi="ar"/>
        </w:rPr>
        <w:t>16</w:t>
      </w:r>
      <w:r>
        <w:rPr>
          <w:rFonts w:hint="default" w:ascii="楷体_GB2312" w:hAnsi="Times New Roman" w:eastAsia="楷体_GB2312" w:cs="楷体_GB2312"/>
          <w:b/>
          <w:color w:val="000000"/>
          <w:kern w:val="0"/>
          <w:sz w:val="32"/>
          <w:szCs w:val="32"/>
          <w:shd w:val="clear" w:fill="FFFFFF"/>
          <w:lang w:val="en-US" w:eastAsia="zh-CN" w:bidi="ar"/>
        </w:rPr>
        <w:t>分，自评得分</w:t>
      </w:r>
      <w:r>
        <w:rPr>
          <w:rFonts w:hint="default" w:ascii="Times New Roman" w:hAnsi="Times New Roman" w:eastAsia="楷体_GB2312" w:cs="Times New Roman"/>
          <w:b/>
          <w:color w:val="000000"/>
          <w:kern w:val="0"/>
          <w:sz w:val="32"/>
          <w:szCs w:val="32"/>
          <w:shd w:val="clear" w:fill="FFFFFF"/>
          <w:lang w:val="en-US" w:eastAsia="zh-CN" w:bidi="ar"/>
        </w:rPr>
        <w:t>16</w:t>
      </w:r>
      <w:r>
        <w:rPr>
          <w:rFonts w:hint="default" w:ascii="楷体_GB2312" w:hAnsi="Times New Roman" w:eastAsia="楷体_GB2312" w:cs="楷体_GB2312"/>
          <w:b/>
          <w:color w:val="000000"/>
          <w:kern w:val="0"/>
          <w:sz w:val="32"/>
          <w:szCs w:val="32"/>
          <w:shd w:val="clear" w:fill="FFFFFF"/>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我单位在规定内做好驻村工作队专项工作经费个性化绩效评价指标具有特定的针对性，能够更好地反映其特定业务领域的表现，可以增强驻村工作队工作的积极性和工作热情。提高部门的整体绩效水平。</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减少返贫率</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通过项目实施，保障乡村振兴工作开展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以提高驻村工作队工作管理效率和质量。指标分值</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项目公示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按照公开要求，在门户网站中决算公开内容进行公示。指标分值</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提高服务能力：通过项目实施，进一步提升驻村工作的力度。推进各村建设，以及体现人民性、维护人民利益等方面。通过行使管理权，推动高质量发展、增进民生福祉等方面发挥着不可替代的作用。指标分值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pStyle w:val="9"/>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四、评价结论</w:t>
      </w:r>
    </w:p>
    <w:p>
      <w:pPr>
        <w:pStyle w:val="9"/>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default" w:ascii="仿宋_GB2312" w:eastAsia="仿宋_GB2312" w:cs="仿宋_GB2312"/>
          <w:b w:val="0"/>
          <w:kern w:val="0"/>
          <w:sz w:val="32"/>
          <w:szCs w:val="32"/>
        </w:rPr>
      </w:pPr>
      <w:r>
        <w:rPr>
          <w:rFonts w:hint="default" w:ascii="仿宋_GB2312" w:hAnsi="Times New Roman" w:eastAsia="仿宋_GB2312" w:cs="仿宋_GB2312"/>
          <w:b w:val="0"/>
          <w:kern w:val="0"/>
          <w:position w:val="3"/>
          <w:sz w:val="32"/>
          <w:szCs w:val="32"/>
          <w:lang w:val="en-US" w:eastAsia="zh-CN" w:bidi="ar"/>
        </w:rPr>
        <w:t>通过汇总、整理、分析驻村工作队专项工作经费项目绩效评价指标体系，绩效目标基本实现，自评得分为100分。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五、存在主要问题</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1、内部管理上较为粗糙。</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2、预算执行力度不够。</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3、预算编制的前瞻性不够,导致预算和实际支出存在调整。</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六、改进建议</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1、建议加强对</w:t>
      </w:r>
      <w:r>
        <w:rPr>
          <w:rFonts w:hint="eastAsia" w:ascii="仿宋" w:eastAsia="仿宋" w:cs="仿宋"/>
          <w:sz w:val="32"/>
          <w:szCs w:val="32"/>
        </w:rPr>
        <w:t>项目</w:t>
      </w:r>
      <w:r>
        <w:rPr>
          <w:rFonts w:hint="eastAsia" w:ascii="仿宋" w:eastAsia="仿宋" w:cs="仿宋"/>
          <w:kern w:val="2"/>
          <w:sz w:val="32"/>
          <w:szCs w:val="32"/>
          <w:lang w:val="en-US" w:eastAsia="zh-CN" w:bidi="ar-SA"/>
        </w:rPr>
        <w:t>工作的培训和指导，进一步优化项目专项</w:t>
      </w:r>
      <w:r>
        <w:rPr>
          <w:rFonts w:hint="eastAsia" w:ascii="仿宋" w:eastAsia="仿宋" w:cs="仿宋"/>
          <w:sz w:val="32"/>
          <w:szCs w:val="32"/>
        </w:rPr>
        <w:t>预算项目支出绩效</w:t>
      </w:r>
      <w:r>
        <w:rPr>
          <w:rFonts w:hint="eastAsia" w:ascii="仿宋" w:eastAsia="仿宋" w:cs="仿宋"/>
          <w:sz w:val="32"/>
          <w:szCs w:val="32"/>
          <w:lang w:val="en-US" w:eastAsia="zh-CN"/>
        </w:rPr>
        <w:t>，</w:t>
      </w:r>
      <w:r>
        <w:rPr>
          <w:rFonts w:hint="eastAsia" w:ascii="仿宋" w:eastAsia="仿宋" w:cs="仿宋"/>
          <w:kern w:val="2"/>
          <w:sz w:val="32"/>
          <w:szCs w:val="32"/>
          <w:lang w:val="en-US" w:eastAsia="zh-CN" w:bidi="ar-SA"/>
        </w:rPr>
        <w:t>做到合理性与可操作性的有机统一。</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ascii="Times New Roman" w:hAnsi="Times New Roman" w:eastAsia="仿宋_GB2312" w:cs="仿宋_GB2312"/>
          <w:color w:val="000000"/>
          <w:kern w:val="0"/>
          <w:sz w:val="32"/>
          <w:szCs w:val="32"/>
          <w:shd w:val="clear" w:color="auto" w:fill="FFFFFF"/>
        </w:rPr>
      </w:pPr>
      <w:r>
        <w:rPr>
          <w:rFonts w:hint="eastAsia" w:ascii="仿宋"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ascii="Times New Roman" w:hAnsi="Times New Roman" w:eastAsia="仿宋_GB2312" w:cs="仿宋_GB2312"/>
          <w:color w:val="000000"/>
          <w:kern w:val="0"/>
          <w:sz w:val="32"/>
          <w:szCs w:val="32"/>
          <w:shd w:val="clear" w:color="auto" w:fill="FFFFFF"/>
          <w:lang w:val="en-US" w:eastAsia="zh-CN"/>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Times New Roman" w:hAnsi="Times New Roman" w:eastAsia="仿宋_GB2312" w:cs="仿宋_GB2312"/>
          <w:color w:val="000000"/>
          <w:kern w:val="0"/>
          <w:sz w:val="32"/>
          <w:szCs w:val="32"/>
          <w:shd w:val="clear" w:color="auto" w:fill="FFFFFF"/>
        </w:rPr>
      </w:pPr>
      <w:r>
        <w:rPr>
          <w:rFonts w:ascii="仿宋_GB2312" w:eastAsia="仿宋_GB2312" w:cs="仿宋_GB2312"/>
          <w:color w:val="000000"/>
          <w:kern w:val="0"/>
          <w:sz w:val="32"/>
          <w:szCs w:val="32"/>
          <w:shd w:val="clear" w:color="auto" w:fill="FFFFFF"/>
          <w:lang w:val="en-US" w:eastAsia="zh-CN"/>
        </w:rPr>
        <w:t>附表：</w:t>
      </w:r>
      <w:r>
        <w:rPr>
          <w:rFonts w:ascii="Times New Roman" w:hAnsi="Times New Roman" w:eastAsia="仿宋_GB2312" w:cs="仿宋_GB2312"/>
          <w:color w:val="000000"/>
          <w:kern w:val="0"/>
          <w:sz w:val="32"/>
          <w:szCs w:val="32"/>
          <w:shd w:val="clear" w:color="auto" w:fill="FFFFFF"/>
          <w:lang w:val="en-US" w:eastAsia="zh-CN"/>
        </w:rPr>
        <w:t>1.</w:t>
      </w:r>
      <w:r>
        <w:rPr>
          <w:rFonts w:ascii="仿宋_GB2312" w:eastAsia="仿宋_GB2312" w:cs="仿宋_GB2312"/>
          <w:color w:val="000000"/>
          <w:kern w:val="0"/>
          <w:sz w:val="32"/>
          <w:szCs w:val="32"/>
          <w:shd w:val="clear" w:color="auto" w:fill="FFFFFF"/>
          <w:lang w:val="en-US" w:eastAsia="zh-CN"/>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t>2.</w:t>
      </w:r>
      <w:r>
        <w:rPr>
          <w:rFonts w:ascii="仿宋_GB2312" w:eastAsia="仿宋_GB2312" w:cs="仿宋_GB2312"/>
          <w:color w:val="000000"/>
          <w:kern w:val="0"/>
          <w:sz w:val="32"/>
          <w:szCs w:val="32"/>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 xml:space="preserve"> 黑水县龙坝乡人民政府</w:t>
      </w:r>
    </w:p>
    <w:p>
      <w:pPr>
        <w:pStyle w:val="13"/>
        <w:jc w:val="right"/>
        <w:rPr>
          <w:rFonts w:hint="eastAsia" w:ascii="仿宋_GB2312" w:eastAsia="仿宋_GB2312" w:cs="仿宋_GB2312"/>
          <w:bCs/>
          <w:sz w:val="32"/>
          <w:szCs w:val="32"/>
          <w:lang w:val="en-US" w:eastAsia="zh-CN"/>
        </w:rPr>
      </w:pPr>
      <w:r>
        <w:rPr>
          <w:rFonts w:hint="eastAsia" w:ascii="方正小标宋简体" w:eastAsia="方正小标宋简体" w:cs="方正小标宋简体"/>
          <w:bCs/>
          <w:sz w:val="44"/>
          <w:szCs w:val="44"/>
          <w:lang w:val="en-US" w:eastAsia="zh-CN"/>
        </w:rPr>
        <w:t xml:space="preserve">                        </w:t>
      </w:r>
      <w:r>
        <w:rPr>
          <w:rFonts w:hint="eastAsia" w:ascii="仿宋_GB2312" w:eastAsia="仿宋_GB2312" w:cs="仿宋_GB2312"/>
          <w:bCs/>
          <w:sz w:val="32"/>
          <w:szCs w:val="32"/>
          <w:lang w:val="en-US" w:eastAsia="zh-CN"/>
        </w:rPr>
        <w:t>202</w:t>
      </w:r>
      <w:r>
        <w:rPr>
          <w:rFonts w:hint="eastAsia" w:ascii="仿宋_GB2312" w:cs="仿宋_GB2312"/>
          <w:bCs/>
          <w:sz w:val="32"/>
          <w:szCs w:val="32"/>
          <w:lang w:val="en-US" w:eastAsia="zh-CN"/>
        </w:rPr>
        <w:t>4</w:t>
      </w:r>
      <w:r>
        <w:rPr>
          <w:rFonts w:hint="eastAsia" w:ascii="仿宋_GB2312" w:eastAsia="仿宋_GB2312" w:cs="仿宋_GB2312"/>
          <w:bCs/>
          <w:sz w:val="32"/>
          <w:szCs w:val="32"/>
          <w:lang w:val="en-US" w:eastAsia="zh-CN"/>
        </w:rPr>
        <w:t>年</w:t>
      </w:r>
      <w:r>
        <w:rPr>
          <w:rFonts w:hint="eastAsia" w:ascii="仿宋_GB2312" w:cs="仿宋_GB2312"/>
          <w:bCs/>
          <w:sz w:val="32"/>
          <w:szCs w:val="32"/>
          <w:lang w:val="en-US" w:eastAsia="zh-CN"/>
        </w:rPr>
        <w:t xml:space="preserve"> </w:t>
      </w:r>
      <w:r>
        <w:rPr>
          <w:rFonts w:hint="eastAsia" w:ascii="仿宋_GB2312" w:eastAsia="仿宋_GB2312" w:cs="仿宋_GB2312"/>
          <w:bCs/>
          <w:sz w:val="32"/>
          <w:szCs w:val="32"/>
          <w:lang w:val="en-US" w:eastAsia="zh-CN"/>
        </w:rPr>
        <w:t>月</w:t>
      </w:r>
      <w:r>
        <w:rPr>
          <w:rFonts w:hint="eastAsia" w:ascii="仿宋_GB2312" w:cs="仿宋_GB2312"/>
          <w:bCs/>
          <w:sz w:val="32"/>
          <w:szCs w:val="32"/>
          <w:lang w:val="en-US" w:eastAsia="zh-CN"/>
        </w:rPr>
        <w:t xml:space="preserve"> 26</w:t>
      </w:r>
      <w:r>
        <w:rPr>
          <w:rFonts w:hint="eastAsia" w:ascii="仿宋_GB2312" w:eastAsia="仿宋_GB2312" w:cs="仿宋_GB2312"/>
          <w:bCs/>
          <w:sz w:val="32"/>
          <w:szCs w:val="32"/>
          <w:lang w:val="en-US" w:eastAsia="zh-CN"/>
        </w:rPr>
        <w:t>日</w:t>
      </w:r>
    </w:p>
    <w:p>
      <w:pPr>
        <w:pStyle w:val="10"/>
        <w:ind w:left="0" w:leftChars="0" w:firstLine="0" w:firstLineChars="0"/>
        <w:rPr>
          <w:rFonts w:hint="eastAsia" w:asci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eastAsia="黑体" w:cs="黑体"/>
          <w:kern w:val="0"/>
          <w:sz w:val="32"/>
          <w:szCs w:val="32"/>
          <w:shd w:val="clear" w:color="auto" w:fill="FFFFFF"/>
        </w:rPr>
      </w:pPr>
      <w:r>
        <w:rPr>
          <w:rFonts w:ascii="仿宋_GB2312" w:eastAsia="仿宋_GB2312" w:cs="仿宋_GB2312"/>
          <w:kern w:val="0"/>
          <w:sz w:val="32"/>
          <w:szCs w:val="32"/>
          <w:lang w:val="en-US" w:eastAsia="zh-CN"/>
        </w:rPr>
        <w:t>附表1</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 xml:space="preserve"> </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序号</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自评得分（百分制）</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kern w:val="2"/>
                <w:sz w:val="24"/>
                <w:szCs w:val="24"/>
              </w:rPr>
            </w:pPr>
            <w:r>
              <w:rPr>
                <w:rFonts w:hint="eastAsia" w:ascii="宋体" w:eastAsia="宋体" w:cs="宋体"/>
                <w:kern w:val="2"/>
                <w:sz w:val="24"/>
                <w:szCs w:val="24"/>
                <w:lang w:val="en-US" w:eastAsia="zh-CN"/>
              </w:rPr>
              <w:t>1</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龙坝乡人民政府</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100</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eastAsia="宋体" w:cs="宋体"/>
          <w:kern w:val="2"/>
          <w:sz w:val="21"/>
          <w:szCs w:val="21"/>
        </w:rPr>
      </w:pPr>
      <w:r>
        <w:rPr>
          <w:rFonts w:hint="eastAsia" w:ascii="宋体" w:eastAsia="宋体" w:cs="宋体"/>
          <w:kern w:val="2"/>
          <w:sz w:val="21"/>
          <w:szCs w:val="21"/>
          <w:lang w:val="en-US" w:eastAsia="zh-CN"/>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eastAsia="宋体" w:cs="宋体"/>
          <w:kern w:val="2"/>
          <w:sz w:val="21"/>
          <w:szCs w:val="21"/>
        </w:rPr>
      </w:pPr>
      <w:r>
        <w:rPr>
          <w:rFonts w:hint="eastAsia" w:ascii="宋体" w:eastAsia="宋体" w:cs="宋体"/>
          <w:kern w:val="2"/>
          <w:sz w:val="21"/>
          <w:szCs w:val="21"/>
          <w:lang w:val="en-US" w:eastAsia="zh-CN"/>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ascii="仿宋_GB2312" w:eastAsia="仿宋_GB2312" w:cs="仿宋_GB2312"/>
          <w:kern w:val="0"/>
          <w:sz w:val="32"/>
          <w:szCs w:val="32"/>
        </w:rPr>
      </w:pPr>
      <w:r>
        <w:rPr>
          <w:rFonts w:ascii="Times New Roman" w:hAnsi="Times New Roman" w:eastAsia="仿宋_GB2312" w:cs="仿宋_GB2312"/>
          <w:kern w:val="2"/>
          <w:sz w:val="32"/>
          <w:szCs w:val="32"/>
          <w:lang w:val="en-US" w:eastAsia="zh-CN"/>
        </w:rPr>
        <w:br w:type="page"/>
      </w:r>
      <w:r>
        <w:rPr>
          <w:rFonts w:ascii="仿宋_GB2312" w:eastAsia="仿宋_GB2312" w:cs="仿宋_GB2312"/>
          <w:kern w:val="0"/>
          <w:sz w:val="32"/>
          <w:szCs w:val="32"/>
          <w:lang w:val="en-US" w:eastAsia="zh-CN"/>
        </w:rPr>
        <w:t>附表2</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eastAsia="黑体" w:cs="黑体"/>
                <w:color w:val="000000"/>
                <w:kern w:val="2"/>
                <w:sz w:val="30"/>
                <w:szCs w:val="30"/>
              </w:rPr>
            </w:pPr>
            <w:r>
              <w:rPr>
                <w:rFonts w:ascii="方正小标宋简体" w:eastAsia="方正小标宋简体" w:cs="方正小标宋简体"/>
                <w:color w:val="000000"/>
                <w:kern w:val="0"/>
                <w:sz w:val="40"/>
                <w:szCs w:val="40"/>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eastAsia="宋体" w:cs="宋体"/>
                <w:color w:val="000000"/>
                <w:kern w:val="0"/>
                <w:sz w:val="24"/>
                <w:szCs w:val="24"/>
                <w:lang w:val="en-US" w:eastAsia="zh-CN"/>
              </w:rPr>
              <w:t>龙坝乡驻村工作队经费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黑水县龙坝乡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Times New Roman" w:hAnsi="Times New Roman" w:eastAsia="仿宋_GB2312" w:cs="仿宋_GB2312"/>
                <w:kern w:val="2"/>
                <w:sz w:val="32"/>
                <w:szCs w:val="32"/>
              </w:rPr>
            </w:pPr>
            <w:r>
              <w:rPr>
                <w:rFonts w:hint="eastAsia" w:ascii="宋体" w:eastAsia="宋体" w:cs="宋体"/>
                <w:color w:val="000000"/>
                <w:kern w:val="0"/>
                <w:sz w:val="24"/>
                <w:szCs w:val="24"/>
                <w:lang w:val="en-US" w:eastAsia="zh-CN"/>
              </w:rPr>
              <w:t>经常性项目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绩效分配方式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£项目法</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据实据效</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Arial" w:hAnsi="Arial" w:eastAsia="宋体" w:cs="Arial"/>
                <w:color w:val="000000"/>
                <w:kern w:val="0"/>
                <w:sz w:val="24"/>
                <w:szCs w:val="24"/>
                <w:lang w:val="en-US" w:eastAsia="zh-CN"/>
              </w:rPr>
              <w:t>√</w:t>
            </w:r>
            <w:r>
              <w:rPr>
                <w:rFonts w:hint="eastAsia" w:ascii="宋体" w:eastAsia="宋体" w:cs="宋体"/>
                <w:color w:val="000000"/>
                <w:kern w:val="0"/>
                <w:sz w:val="24"/>
                <w:szCs w:val="24"/>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 xml:space="preserve">加强乡驻村工作队经费保障，充分发挥乡驻村工作队员履职积极性，确保乡驻村工作能力水平和效果不断提升：2023年驻村工作队经费预算资金各村1.5万元，4个村合计6万元。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 xml:space="preserve">驻村工作队日常工作开展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rPr>
              <w:t>2023</w:t>
            </w:r>
            <w:r>
              <w:rPr>
                <w:rFonts w:hint="eastAsia" w:ascii="宋体" w:eastAsia="宋体" w:cs="宋体"/>
                <w:color w:val="000000"/>
                <w:kern w:val="0"/>
                <w:sz w:val="24"/>
                <w:szCs w:val="24"/>
                <w:lang w:val="en-US" w:eastAsia="zh-CN"/>
              </w:rPr>
              <w:t>年</w:t>
            </w:r>
            <w:r>
              <w:rPr>
                <w:rFonts w:hint="eastAsia" w:ascii="Times New Roman" w:hAnsi="Times New Roman" w:eastAsia="宋体" w:cs="宋体"/>
                <w:color w:val="000000"/>
                <w:kern w:val="0"/>
                <w:sz w:val="24"/>
                <w:szCs w:val="24"/>
                <w:lang w:val="en-US" w:eastAsia="zh-CN"/>
              </w:rPr>
              <w:t>1月至</w:t>
            </w:r>
            <w:r>
              <w:rPr>
                <w:rFonts w:ascii="Times New Roman" w:hAnsi="Times New Roman" w:eastAsia="宋体" w:cs="Times New Roman"/>
                <w:color w:val="000000"/>
                <w:kern w:val="0"/>
                <w:sz w:val="24"/>
                <w:szCs w:val="24"/>
                <w:lang w:val="en-US" w:eastAsia="zh-CN"/>
              </w:rPr>
              <w:t>2023</w:t>
            </w:r>
            <w:r>
              <w:rPr>
                <w:rFonts w:hint="eastAsia" w:ascii="Times New Roman" w:hAnsi="Times New Roman" w:eastAsia="宋体" w:cs="宋体"/>
                <w:color w:val="000000"/>
                <w:kern w:val="0"/>
                <w:sz w:val="24"/>
                <w:szCs w:val="24"/>
                <w:lang w:val="en-US" w:eastAsia="zh-CN"/>
              </w:rPr>
              <w:t>年</w:t>
            </w:r>
            <w:r>
              <w:rPr>
                <w:rFonts w:ascii="Times New Roman" w:hAnsi="Times New Roman" w:eastAsia="宋体" w:cs="Times New Roman"/>
                <w:color w:val="000000"/>
                <w:kern w:val="0"/>
                <w:sz w:val="24"/>
                <w:szCs w:val="24"/>
                <w:lang w:val="en-US" w:eastAsia="zh-CN"/>
              </w:rPr>
              <w:t>1</w:t>
            </w:r>
            <w:r>
              <w:rPr>
                <w:rFonts w:hint="eastAsia" w:ascii="Times New Roman" w:hAnsi="Times New Roman" w:eastAsia="宋体" w:cs="宋体"/>
                <w:color w:val="000000"/>
                <w:kern w:val="0"/>
                <w:sz w:val="24"/>
                <w:szCs w:val="24"/>
                <w:lang w:val="en-US" w:eastAsia="zh-CN"/>
              </w:rPr>
              <w:t>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（万元）</w:t>
            </w: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cs="Times New Roman"/>
                <w:color w:val="000000"/>
                <w:kern w:val="0"/>
                <w:sz w:val="24"/>
                <w:szCs w:val="24"/>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cs="Times New Roman"/>
                <w:color w:val="000000"/>
                <w:kern w:val="0"/>
                <w:sz w:val="24"/>
                <w:szCs w:val="24"/>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 xml:space="preserve">加强乡驻村工作队经费保障，充分发挥乡驻村工作队员履职积极性，确保乡驻村工作能力水平和效果不断提升：2023年驻村工作队经费预算资金各村1.5万元，4个村合计6万元。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一级指标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二级指标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三级指标</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指标性质</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指标值</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度量单位</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权重</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满意度</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w:t>
            </w:r>
          </w:p>
        </w:tc>
        <w:tc>
          <w:tcPr>
            <w:tcW w:w="1250" w:type="dxa"/>
            <w:tcBorders>
              <w:top w:val="single" w:color="000000" w:sz="4" w:space="0"/>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服务对象满意度指标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服务对象满意度</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95</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10</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成本指标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经济成本</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both"/>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总投入资金额</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cs="宋体"/>
                <w:color w:val="000000"/>
                <w:kern w:val="2"/>
                <w:sz w:val="24"/>
                <w:szCs w:val="24"/>
                <w:lang w:val="en-US" w:eastAsia="zh-CN"/>
              </w:rPr>
              <w:t>6</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万元</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5</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100</w:t>
            </w:r>
          </w:p>
        </w:tc>
      </w:tr>
    </w:tbl>
    <w:p>
      <w:pPr>
        <w:pStyle w:val="9"/>
        <w:keepNext w:val="0"/>
        <w:keepLines w:val="0"/>
        <w:widowControl w:val="0"/>
        <w:suppressLineNumbers w:val="0"/>
        <w:spacing w:before="0" w:beforeAutospacing="1" w:after="0" w:afterAutospacing="0" w:line="578" w:lineRule="exact"/>
        <w:ind w:left="0" w:right="0" w:firstLine="0"/>
        <w:jc w:val="both"/>
        <w:rPr>
          <w:rFonts w:hint="eastAsia" w:ascii="黑体" w:eastAsia="黑体" w:cs="黑体"/>
          <w:kern w:val="2"/>
          <w:sz w:val="24"/>
          <w:szCs w:val="24"/>
        </w:rPr>
      </w:pPr>
    </w:p>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script"/>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6F349F"/>
    <w:multiLevelType w:val="singleLevel"/>
    <w:tmpl w:val="C96F349F"/>
    <w:lvl w:ilvl="0" w:tentative="0">
      <w:start w:val="2"/>
      <w:numFmt w:val="chineseCounting"/>
      <w:suff w:val="nothing"/>
      <w:lvlText w:val="（%1）"/>
      <w:lvlJc w:val="left"/>
      <w:pPr>
        <w:tabs>
          <w:tab w:val="left" w:pos="0"/>
        </w:tabs>
        <w:ind w:left="0" w:firstLine="0"/>
      </w:pPr>
      <w:rPr>
        <w:rFonts w:hint="eastAsia"/>
      </w:rPr>
    </w:lvl>
  </w:abstractNum>
  <w:abstractNum w:abstractNumId="1">
    <w:nsid w:val="295F3A15"/>
    <w:multiLevelType w:val="multilevel"/>
    <w:tmpl w:val="295F3A15"/>
    <w:lvl w:ilvl="0" w:tentative="0">
      <w:start w:val="2"/>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YzhkOTAyNTNiN2RjZTVmYzdkNmJkZjc0ZTg5ZTc3YWIifQ=="/>
  </w:docVars>
  <w:rsids>
    <w:rsidRoot w:val="00000000"/>
    <w:rsid w:val="3E7C3A7B"/>
    <w:rsid w:val="4FC5C04A"/>
    <w:rsid w:val="6644484A"/>
    <w:rsid w:val="7E960E64"/>
    <w:rsid w:val="7F511E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rPr>
  </w:style>
  <w:style w:type="paragraph" w:styleId="5">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6">
    <w:name w:val="heading 3"/>
    <w:basedOn w:val="1"/>
    <w:next w:val="1"/>
    <w:qFormat/>
    <w:uiPriority w:val="0"/>
    <w:pPr>
      <w:keepNext/>
      <w:keepLines/>
      <w:widowControl w:val="0"/>
      <w:spacing w:before="260" w:beforeAutospacing="0" w:after="260" w:afterAutospacing="0" w:line="413"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after="120"/>
    </w:pPr>
  </w:style>
  <w:style w:type="paragraph" w:styleId="3">
    <w:name w:val="Body Text First Indent"/>
    <w:basedOn w:val="2"/>
    <w:qFormat/>
    <w:uiPriority w:val="0"/>
    <w:pPr>
      <w:ind w:firstLine="100" w:firstLineChars="100"/>
    </w:pPr>
  </w:style>
  <w:style w:type="paragraph" w:styleId="7">
    <w:name w:val="Body Text Indent"/>
    <w:basedOn w:val="1"/>
    <w:qFormat/>
    <w:uiPriority w:val="0"/>
    <w:pPr>
      <w:spacing w:line="500" w:lineRule="exact"/>
      <w:ind w:firstLine="240" w:firstLineChars="240"/>
    </w:pPr>
    <w:rPr>
      <w:rFonts w:ascii="仿宋_GB2312" w:hAnsi="仿宋_GB2312"/>
      <w:b/>
      <w:sz w:val="30"/>
      <w:szCs w:val="24"/>
    </w:r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Normal (Web)"/>
    <w:basedOn w:val="1"/>
    <w:qFormat/>
    <w:uiPriority w:val="0"/>
    <w:rPr>
      <w:sz w:val="24"/>
    </w:rPr>
  </w:style>
  <w:style w:type="paragraph" w:styleId="10">
    <w:name w:val="Body Text First Indent 2"/>
    <w:basedOn w:val="7"/>
    <w:qFormat/>
    <w:uiPriority w:val="0"/>
    <w:pPr>
      <w:keepNext w:val="0"/>
      <w:keepLines w:val="0"/>
      <w:widowControl w:val="0"/>
      <w:suppressLineNumbers w:val="0"/>
      <w:spacing w:before="0" w:beforeAutospacing="0" w:after="120" w:afterAutospacing="0"/>
      <w:ind w:left="200" w:leftChars="200" w:right="0" w:firstLine="200" w:firstLineChars="200"/>
      <w:jc w:val="both"/>
    </w:pPr>
    <w:rPr>
      <w:rFonts w:ascii="Times New Roman" w:hAnsi="Times New Roman" w:eastAsia="宋体" w:cs="Times New Roman"/>
      <w:kern w:val="2"/>
      <w:sz w:val="21"/>
      <w:szCs w:val="24"/>
      <w:lang w:val="en-US" w:eastAsia="zh-CN" w:bidi="ar-SA"/>
    </w:rPr>
  </w:style>
  <w:style w:type="paragraph" w:customStyle="1" w:styleId="13">
    <w:name w:val="图表目录1"/>
    <w:basedOn w:val="1"/>
    <w:next w:val="1"/>
    <w:qFormat/>
    <w:uiPriority w:val="0"/>
    <w:pPr>
      <w:ind w:left="4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Pages>
  <Words>4043</Words>
  <Characters>4148</Characters>
  <Lines>1</Lines>
  <Paragraphs>1</Paragraphs>
  <TotalTime>3</TotalTime>
  <ScaleCrop>false</ScaleCrop>
  <LinksUpToDate>false</LinksUpToDate>
  <CharactersWithSpaces>4246</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2023-08-24T15:37:00Z</dcterms:created>
  <dc:creator>两个人的烟火</dc:creator>
  <cp:lastModifiedBy>user</cp:lastModifiedBy>
  <dcterms:modified xsi:type="dcterms:W3CDTF">2024-10-28T17:05:49Z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F458B0F45099434FAC59F0EFC705C38F_13</vt:lpwstr>
  </property>
</Properties>
</file>