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黑水县龙坝乡人民政府</w:t>
      </w:r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202</w:t>
      </w:r>
      <w:r>
        <w:rPr>
          <w:rFonts w:hint="eastAsia" w:ascii="方正小标宋简体" w:eastAsia="方正小标宋简体" w:cs="黑体"/>
          <w:b w:val="0"/>
          <w:kern w:val="2"/>
          <w:sz w:val="40"/>
          <w:szCs w:val="40"/>
          <w:lang w:val="en-US" w:eastAsia="zh-CN" w:bidi="ar-SA"/>
        </w:rPr>
        <w:t>3</w:t>
      </w: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年</w:t>
      </w:r>
      <w:r>
        <w:rPr>
          <w:rFonts w:hint="eastAsia" w:ascii="方正小标宋简体" w:eastAsia="方正小标宋简体" w:cs="黑体"/>
          <w:b w:val="0"/>
          <w:kern w:val="2"/>
          <w:sz w:val="40"/>
          <w:szCs w:val="40"/>
          <w:lang w:val="en-US" w:eastAsia="zh-CN" w:bidi="ar-SA"/>
        </w:rPr>
        <w:t>一次性业务经费</w:t>
      </w: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项目绩效自评报告</w:t>
      </w:r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</w:p>
    <w:p>
      <w:pPr>
        <w:ind w:firstLine="722" w:firstLineChars="200"/>
        <w:rPr>
          <w:rFonts w:hint="eastAsia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一、项目概况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（一）设立背景及基本情况。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>本项目资金来源渠道符合相关文件政策的规定，财权和事权匹配，项目筹资风险可控。</w:t>
      </w:r>
      <w:r>
        <w:rPr>
          <w:rFonts w:hint="eastAsia" w:ascii="仿宋" w:hAnsi="仿宋" w:eastAsia="仿宋" w:cs="仿宋"/>
          <w:sz w:val="32"/>
          <w:szCs w:val="32"/>
        </w:rPr>
        <w:t>项目组织实施单位由项目所在乡负责。</w:t>
      </w:r>
      <w:r>
        <w:rPr>
          <w:rFonts w:hint="eastAsia" w:ascii="仿宋_GB2312" w:hAnsi="新宋体" w:eastAsia="仿宋_GB2312"/>
          <w:sz w:val="32"/>
          <w:szCs w:val="32"/>
        </w:rPr>
        <w:t>投入</w:t>
      </w:r>
      <w:r>
        <w:rPr>
          <w:rFonts w:ascii="仿宋_GB2312" w:hAnsi="新宋体" w:eastAsia="仿宋_GB2312"/>
          <w:sz w:val="32"/>
          <w:szCs w:val="32"/>
        </w:rPr>
        <w:t>产出</w:t>
      </w:r>
      <w:r>
        <w:rPr>
          <w:rFonts w:hint="eastAsia" w:ascii="仿宋_GB2312" w:hAnsi="新宋体" w:eastAsia="仿宋_GB2312"/>
          <w:sz w:val="32"/>
          <w:szCs w:val="32"/>
        </w:rPr>
        <w:t>及</w:t>
      </w:r>
      <w:r>
        <w:rPr>
          <w:rFonts w:ascii="仿宋_GB2312" w:hAnsi="新宋体" w:eastAsia="仿宋_GB2312"/>
          <w:sz w:val="32"/>
          <w:szCs w:val="32"/>
        </w:rPr>
        <w:t>效果较匹配</w:t>
      </w:r>
      <w:r>
        <w:rPr>
          <w:rFonts w:hint="eastAsia" w:ascii="仿宋_GB2312" w:hAnsi="新宋体" w:eastAsia="仿宋_GB2312"/>
          <w:sz w:val="32"/>
          <w:szCs w:val="32"/>
        </w:rPr>
        <w:t>，</w:t>
      </w:r>
      <w:r>
        <w:rPr>
          <w:rFonts w:ascii="仿宋_GB2312" w:hAnsi="新宋体" w:eastAsia="仿宋_GB2312"/>
          <w:sz w:val="32"/>
          <w:szCs w:val="32"/>
        </w:rPr>
        <w:t>成本测算依据较充分，测算相对合理，应补充完善成本控制措施。</w:t>
      </w:r>
      <w:r>
        <w:rPr>
          <w:rFonts w:hint="eastAsia" w:ascii="仿宋" w:hAnsi="仿宋" w:eastAsia="仿宋" w:cs="仿宋"/>
          <w:sz w:val="32"/>
          <w:szCs w:val="32"/>
        </w:rPr>
        <w:t>项目实施时，真实、及时公告公示项目建设和资金使用等情况，接受社会和群众监督，确保项目在阳光下管理，资金在阳光下运行。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该项目资金</w:t>
      </w:r>
      <w:r>
        <w:rPr>
          <w:rFonts w:hint="eastAsia" w:ascii="仿宋_GB2312" w:hAnsi="宋体" w:eastAsia="仿宋_GB2312"/>
          <w:b w:val="0"/>
          <w:bCs w:val="0"/>
          <w:sz w:val="32"/>
          <w:szCs w:val="32"/>
          <w:lang w:eastAsia="zh-CN"/>
        </w:rPr>
        <w:t>经申请后已获批准。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实施目的及支持方向。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春节氛围营造经费；公务用车以外的垃圾清运车辆、森林防火车辆等经费；办公运转（包括：办公运转经费、日常维修维护等）经费；其他除开必须要求减压以外的缺口经费纳入包干使用范围。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 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（三）预算安排及分配管理。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2023年年初预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算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万元，调整后预算数7万元，预算执行数7万元。</w:t>
      </w:r>
    </w:p>
    <w:p>
      <w:pPr>
        <w:numPr>
          <w:ilvl w:val="0"/>
          <w:numId w:val="0"/>
        </w:numPr>
        <w:spacing w:line="560" w:lineRule="exact"/>
        <w:ind w:leftChars="200"/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（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四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）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项目绩效目标设置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。</w:t>
      </w:r>
    </w:p>
    <w:p>
      <w:pPr>
        <w:numPr>
          <w:ilvl w:val="0"/>
          <w:numId w:val="0"/>
        </w:numPr>
        <w:spacing w:line="560" w:lineRule="exact"/>
        <w:ind w:leftChars="200" w:firstLine="320" w:firstLineChars="1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我乡</w:t>
      </w:r>
      <w:r>
        <w:rPr>
          <w:rFonts w:hint="eastAsia" w:ascii="仿宋_GB2312" w:hAnsi="宋体" w:eastAsia="仿宋_GB2312" w:cs="Times New Roman"/>
          <w:sz w:val="32"/>
          <w:szCs w:val="32"/>
        </w:rPr>
        <w:t>承担专项资金绩效管理的主体责任，主要负责提出</w:t>
      </w:r>
    </w:p>
    <w:p>
      <w:pPr>
        <w:numPr>
          <w:ilvl w:val="0"/>
          <w:numId w:val="0"/>
        </w:numPr>
        <w:spacing w:line="560" w:lineRule="exact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专项资金分配方案，制定项目管理制度，组织项目评审和实施，开展项目验收、绩效评价和监督检查等工作。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78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二、评价实施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 w:firstLine="640"/>
        <w:jc w:val="both"/>
        <w:rPr>
          <w:rFonts w:hint="default" w:ascii="Times New Roman" w:hAnsi="Times New Roman" w:eastAsia="仿宋_GB2312" w:cs="仿宋_GB2312"/>
          <w:kern w:val="2"/>
          <w:sz w:val="32"/>
          <w:szCs w:val="32"/>
        </w:rPr>
      </w:pPr>
      <w:r>
        <w:rPr>
          <w:rFonts w:hint="default" w:ascii="楷体_GB2312" w:hAnsi="宋体" w:eastAsia="楷体_GB2312" w:cs="楷体_GB2312"/>
          <w:b/>
          <w:kern w:val="2"/>
          <w:sz w:val="32"/>
          <w:szCs w:val="32"/>
          <w:lang w:val="en-US" w:eastAsia="zh-CN" w:bidi="ar"/>
        </w:rPr>
        <w:t>（一）评价目的。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通过绩效评价，及时发现项目实施中存在的薄弱环节，总结推广好的经验和做法，进一步规范项目管理。</w:t>
      </w:r>
    </w:p>
    <w:p>
      <w:pPr>
        <w:numPr>
          <w:ilvl w:val="0"/>
          <w:numId w:val="2"/>
        </w:numPr>
        <w:adjustRightInd w:val="0"/>
        <w:snapToGrid w:val="0"/>
        <w:spacing w:beforeLines="0" w:afterLines="0"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预设问题及评价重点。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1.长效机制建立情况。项目实施单位是否已建立项目实施管理制度等。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2.项目实施程序严密性。建设项目的招投标资料是否完整、真实，有无弄虚作假套取财政资金等问题。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古、挪用、截留等违纪违规等问题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4.信息的公开透明度。项目资金管理单位的公开公示情况。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6.项目实施单位绩效自评情况。项目实施单位是否严格按照预算绩效管理规定开展绩效自评。</w:t>
      </w:r>
    </w:p>
    <w:p>
      <w:pPr>
        <w:numPr>
          <w:ilvl w:val="0"/>
          <w:numId w:val="0"/>
        </w:numPr>
        <w:adjustRightInd w:val="0"/>
        <w:snapToGrid w:val="0"/>
        <w:spacing w:beforeLines="0" w:afterLines="0" w:line="578" w:lineRule="exact"/>
        <w:ind w:left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（三）评价选点。</w:t>
      </w:r>
    </w:p>
    <w:p>
      <w:pPr>
        <w:numPr>
          <w:ilvl w:val="0"/>
          <w:numId w:val="0"/>
        </w:numPr>
        <w:adjustRightInd w:val="0"/>
        <w:snapToGrid w:val="0"/>
        <w:spacing w:beforeLines="0" w:afterLines="0" w:line="578" w:lineRule="exact"/>
        <w:ind w:leftChars="200"/>
        <w:rPr>
          <w:rFonts w:hint="eastAsia"/>
          <w:sz w:val="32"/>
          <w:lang w:val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全乡</w:t>
      </w:r>
    </w:p>
    <w:p>
      <w:pPr>
        <w:adjustRightInd w:val="0"/>
        <w:snapToGrid w:val="0"/>
        <w:spacing w:beforeLines="0" w:afterLines="0"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（四）评价方法。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1.现场咨询。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2.实施单位自评，形成完整自评资料。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（五）评价组织。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评价组人员由相关业务股室和项目单位代表组成，评价小组以检查账目、资料、电话核实等形式开展了现场评价。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三、绩效分析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ab/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（一）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通用指标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绩效分析。指标分值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54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分，自评得分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52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分</w:t>
      </w:r>
    </w:p>
    <w:p>
      <w:pPr>
        <w:spacing w:beforeLines="0" w:afterLines="0" w:line="578" w:lineRule="exact"/>
        <w:ind w:left="420" w:left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1.项目决策。指标分值18分，自评得分15分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决策程序：项目设立、调整延续等方面符合资金管理基本规范和决策程序要求。指标分值6分，自评得分6分。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规划论证：项目规划论证符合中省要求，项目绩效目标设置科学合理，项目资金与项目总体规划、相关行业事业发展相匹配，聚焦重大任务、重点领域、重点环节和重点项目。指标分值6分，自评得分5分。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资金投向：项目资金是与项目总体规划、相关行业事业发展相匹配，聚焦重大任务、重点领域、重点环节和重点项目。体现“集中财力办大事”原则，避免“撒胡椒面”。指标分值6分，自评得分5分。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2.项目管理。指标分值18分，自评得分18分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制度办法：项目制度办法体系健全、要素完备。资金管理办法等管理制度体系健全完善，不存在管理制度缺失、管理办法过期情况。指标分值2分，自评得分2分。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分配管理：项目资金分配因素选取、权重设置、区域分布，项目管理、审批符合管理要求，管资金、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管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项目、政策管绩效，项目绩效监管按要求开展，对下指导有力有效。指标分值10分，自评得分10分。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绩效监管: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指标分值6分，自评得分6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楷体_GB2312" w:hAnsi="楷体_GB2312" w:eastAsia="楷体_GB2312"/>
          <w:color w:val="auto"/>
          <w:sz w:val="32"/>
        </w:rPr>
      </w:pPr>
      <w:r>
        <w:rPr>
          <w:rFonts w:hint="eastAsia" w:ascii="楷体_GB2312" w:hAnsi="楷体_GB2312" w:eastAsia="楷体_GB2312"/>
          <w:color w:val="auto"/>
          <w:sz w:val="32"/>
        </w:rPr>
        <w:t>3.项目实施。指标分值9分，自评得分9分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预算执行:项目预算资金170.96万元，支付170.96万元。指标分值6分，自评得分6分。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资金使用:项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指标分值3分，自评得分3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楷体_GB2312" w:hAnsi="楷体_GB2312" w:eastAsia="楷体_GB2312"/>
          <w:color w:val="auto"/>
          <w:sz w:val="32"/>
        </w:rPr>
      </w:pPr>
      <w:r>
        <w:rPr>
          <w:rFonts w:hint="eastAsia" w:ascii="楷体_GB2312" w:hAnsi="楷体_GB2312" w:eastAsia="楷体_GB2312"/>
          <w:color w:val="auto"/>
          <w:sz w:val="32"/>
        </w:rPr>
        <w:t>4.项目结果。指标分值9分，自评得分9分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目标完成：资金项目内容与具体实施内容相符的、申报目标是合理可行。项目运行成本、管理效率、履职效能、社会效应、可持续发展能力和服务对象满意度等方面均取得良好成果，预算绩效实现全覆盖。截止2023年底完成项目资金拨付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完成时效：资金项目按照目标任务已于2023年底完成。指标分值3分，自评得分3分。</w:t>
      </w:r>
    </w:p>
    <w:p>
      <w:pPr>
        <w:spacing w:beforeLines="0" w:afterLines="0" w:line="578" w:lineRule="exact"/>
        <w:ind w:firstLine="642" w:firstLineChars="200"/>
        <w:rPr>
          <w:rFonts w:hint="eastAsia" w:ascii="楷体_GB2312" w:hAnsi="楷体_GB2312" w:eastAsia="楷体_GB2312"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（二）</w:t>
      </w:r>
      <w:r>
        <w:rPr>
          <w:rFonts w:hint="eastAsia" w:ascii="楷体_GB2312" w:hAnsi="宋体" w:eastAsia="楷体_GB2312"/>
          <w:b/>
          <w:color w:val="auto"/>
          <w:sz w:val="32"/>
        </w:rPr>
        <w:t>专用指标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绩效分析。指标分值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30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30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项目验收：该项目已完成项目验收，出具项目验收报告。指标分值10分，自评得分10分。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目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功能实现：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项</w:t>
      </w:r>
      <w:bookmarkStart w:id="0" w:name="_GoBack"/>
      <w:bookmarkEnd w:id="0"/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目资金分配均衡公平，资金实际支持对象符合管理要求，符合支持对象范围，资金实际补贴标准符合资金管理办法规定的补助标准，及时按标准兑现，资金涉及服务对象满意度不低于90%，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项目用途合规性、程序合规性、标准合规性。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后续管护:建立明确的责任制度，确保每个环节都有专人负责。通过宣传和教育活动提高公众对项目管护的认识和参与度,以提高管理效率和质量。确保项目的长期效益和持续运行，提高项目的整体价值和社会的整体福利。指标分值10分，自评得分10分。</w:t>
      </w:r>
    </w:p>
    <w:p>
      <w:pPr>
        <w:numPr>
          <w:ilvl w:val="0"/>
          <w:numId w:val="2"/>
        </w:numPr>
        <w:spacing w:beforeLines="0" w:afterLines="0" w:line="578" w:lineRule="exact"/>
        <w:ind w:firstLine="642" w:firstLineChars="200"/>
        <w:rPr>
          <w:rFonts w:hint="default" w:eastAsia="楷体_GB2312"/>
          <w:b/>
          <w:color w:val="000000"/>
          <w:kern w:val="0"/>
          <w:sz w:val="32"/>
          <w:shd w:val="clear" w:color="auto" w:fill="FFFFFF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</w:rPr>
        <w:t>个性指标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绩效分析。指标分值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16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16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我单位在规定内做好</w:t>
      </w:r>
      <w:r>
        <w:rPr>
          <w:rFonts w:hint="eastAsia" w:ascii="仿宋_GB2312" w:hAnsi="仿宋_GB2312" w:eastAsia="仿宋_GB2312" w:cs="Times New Roman"/>
          <w:sz w:val="32"/>
          <w:lang w:val="en-US" w:eastAsia="zh-CN"/>
        </w:rPr>
        <w:t>龙坝</w:t>
      </w:r>
      <w:r>
        <w:rPr>
          <w:rFonts w:hint="eastAsia" w:ascii="仿宋_GB2312" w:hAnsi="仿宋_GB2312" w:eastAsia="仿宋_GB2312" w:cs="Times New Roman"/>
          <w:sz w:val="32"/>
          <w:lang w:eastAsia="zh-CN"/>
        </w:rPr>
        <w:t>乡2023年</w:t>
      </w:r>
      <w:r>
        <w:rPr>
          <w:rFonts w:hint="eastAsia" w:ascii="仿宋_GB2312" w:hAnsi="仿宋_GB2312" w:eastAsia="仿宋_GB2312" w:cs="Times New Roman"/>
          <w:sz w:val="32"/>
          <w:lang w:val="en-US" w:eastAsia="zh-CN"/>
        </w:rPr>
        <w:t>瓜苏村基础设施建设</w:t>
      </w:r>
      <w:r>
        <w:rPr>
          <w:rFonts w:hint="eastAsia" w:ascii="仿宋_GB2312" w:hAnsi="仿宋_GB2312" w:eastAsia="仿宋_GB2312" w:cs="Times New Roman"/>
          <w:sz w:val="32"/>
          <w:lang w:eastAsia="zh-CN"/>
        </w:rPr>
        <w:t>提升项目经费个性化绩效评价指标具有特定的针对性，能够更好地反映其特定业务领域的表现，提高部门的整体绩效水平。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水质达标率:通过项目实施,提高农村水质管理效率和质量。指标分值5分，自评得分5分。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项目公示:按照公开要求，在门户网站中决算公开内容进行公示。指标分值5分，自评得分5分。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项目作用期：通过项目实施，进一步提升安全饮水项目工作的力度。按照项目管理要求，保障项目使用年限。指标分值6分，自评得分6分。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黑体" w:hAnsi="宋体" w:eastAsia="黑体"/>
          <w:color w:val="auto"/>
          <w:sz w:val="32"/>
        </w:rPr>
      </w:pPr>
      <w:r>
        <w:rPr>
          <w:rFonts w:hint="eastAsia" w:ascii="黑体" w:hAnsi="宋体" w:eastAsia="黑体"/>
          <w:color w:val="auto"/>
          <w:sz w:val="32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</w:rPr>
        <w:t>、评价结论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通过汇总、整理、分析瓦钵梁子乡2023年农村安全饮水巩固提升项目绩效评价指标体系，绩效目标基本实现，自评得分为</w:t>
      </w:r>
      <w:r>
        <w:rPr>
          <w:rFonts w:hint="eastAsia" w:ascii="仿宋_GB2312" w:hAnsi="仿宋_GB2312" w:eastAsia="仿宋_GB2312"/>
          <w:sz w:val="32"/>
          <w:lang w:val="en-US" w:eastAsia="zh-CN"/>
        </w:rPr>
        <w:t>98</w:t>
      </w:r>
      <w:r>
        <w:rPr>
          <w:rFonts w:hint="eastAsia" w:ascii="仿宋_GB2312" w:hAnsi="仿宋_GB2312" w:eastAsia="仿宋_GB2312"/>
          <w:sz w:val="32"/>
          <w:lang w:eastAsia="zh-CN"/>
        </w:rPr>
        <w:t>分。</w:t>
      </w:r>
    </w:p>
    <w:p>
      <w:pPr>
        <w:pStyle w:val="8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40" w:firstLineChars="200"/>
        <w:jc w:val="left"/>
        <w:rPr>
          <w:rFonts w:hint="eastAsia" w:ascii="黑体" w:hAnsi="宋体" w:eastAsia="黑体" w:cs="黑体"/>
          <w:kern w:val="0"/>
          <w:position w:val="3"/>
          <w:sz w:val="32"/>
          <w:szCs w:val="32"/>
        </w:rPr>
      </w:pPr>
      <w:r>
        <w:rPr>
          <w:rFonts w:hint="eastAsia" w:ascii="黑体" w:hAnsi="宋体" w:eastAsia="黑体" w:cs="黑体"/>
          <w:kern w:val="0"/>
          <w:position w:val="3"/>
          <w:sz w:val="32"/>
          <w:szCs w:val="32"/>
          <w:lang w:val="en-US" w:eastAsia="zh-CN" w:bidi="ar"/>
        </w:rPr>
        <w:t>五、存在主要问题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1、内部管理上较为粗糙。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2、预算执行力度不够。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3、预算编制的前瞻性不够,导致预算和实际支出存在调整。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黑体" w:hAnsi="宋体" w:eastAsia="黑体" w:cs="黑体"/>
          <w:kern w:val="0"/>
          <w:position w:val="3"/>
          <w:sz w:val="32"/>
          <w:szCs w:val="32"/>
        </w:rPr>
      </w:pPr>
      <w:r>
        <w:rPr>
          <w:rFonts w:hint="eastAsia" w:ascii="黑体" w:hAnsi="宋体" w:eastAsia="黑体" w:cs="黑体"/>
          <w:kern w:val="0"/>
          <w:position w:val="3"/>
          <w:sz w:val="32"/>
          <w:szCs w:val="32"/>
          <w:lang w:val="en-US" w:eastAsia="zh-CN" w:bidi="ar"/>
        </w:rPr>
        <w:t>六、改进建议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1、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建议加强对</w:t>
      </w:r>
      <w:r>
        <w:rPr>
          <w:rFonts w:hint="eastAsia" w:ascii="仿宋" w:hAnsi="仿宋" w:eastAsia="仿宋" w:cs="仿宋"/>
          <w:sz w:val="32"/>
          <w:szCs w:val="32"/>
        </w:rPr>
        <w:t>项目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工作的培训和指导，进一步优化项目专项</w:t>
      </w:r>
      <w:r>
        <w:rPr>
          <w:rFonts w:hint="eastAsia" w:ascii="仿宋" w:hAnsi="仿宋" w:eastAsia="仿宋" w:cs="仿宋"/>
          <w:sz w:val="32"/>
          <w:szCs w:val="32"/>
        </w:rPr>
        <w:t>预算项目支出绩效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做到合理性与可操作性的有机统一。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2、细化预算编制工作，加强单位内部机构的预算管理意识，科学规划，提高财政资金使用效率，减少预算资金的调整、结转和结余的情形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 w:firstLine="640" w:firstLineChars="200"/>
        <w:jc w:val="both"/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</w:rPr>
      </w:pP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附表：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1.</w:t>
      </w: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项目资金分配涉及所有点位自评得分情况表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 w:firstLine="1600" w:firstLineChars="5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2.</w:t>
      </w: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专项预算项目绩效目标完成情况自评表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黑水县龙坝乡人民政府</w:t>
      </w:r>
    </w:p>
    <w:p>
      <w:pPr>
        <w:pStyle w:val="12"/>
        <w:jc w:val="right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 xml:space="preserve"> 26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日</w:t>
      </w:r>
    </w:p>
    <w:p>
      <w:pPr>
        <w:pStyle w:val="9"/>
        <w:ind w:left="0" w:leftChars="0" w:firstLine="0" w:firstLineChars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pStyle w:val="9"/>
        <w:ind w:left="0" w:leftChars="0" w:firstLine="0" w:firstLineChars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eastAsia" w:ascii="黑体" w:hAnsi="宋体" w:eastAsia="黑体" w:cs="黑体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br w:type="page"/>
      </w: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附表1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kern w:val="2"/>
          <w:sz w:val="40"/>
          <w:szCs w:val="40"/>
        </w:rPr>
      </w:pPr>
      <w:r>
        <w:rPr>
          <w:rFonts w:hint="default" w:ascii="方正小标宋_GBK" w:hAnsi="方正小标宋_GBK" w:eastAsia="方正小标宋_GBK" w:cs="方正小标宋_GBK"/>
          <w:kern w:val="2"/>
          <w:sz w:val="40"/>
          <w:szCs w:val="40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kern w:val="2"/>
          <w:sz w:val="40"/>
          <w:szCs w:val="40"/>
        </w:rPr>
      </w:pPr>
      <w:r>
        <w:rPr>
          <w:rFonts w:hint="default" w:ascii="方正小标宋_GBK" w:hAnsi="方正小标宋_GBK" w:eastAsia="方正小标宋_GBK" w:cs="方正小标宋_GBK"/>
          <w:kern w:val="2"/>
          <w:sz w:val="40"/>
          <w:szCs w:val="40"/>
          <w:lang w:val="en-US" w:eastAsia="zh-CN" w:bidi="ar"/>
        </w:rPr>
        <w:t>项目资金分配涉及所有点位自评得分情况表</w:t>
      </w:r>
    </w:p>
    <w:tbl>
      <w:tblPr>
        <w:tblStyle w:val="10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项目资金末端分配点位</w:t>
            </w:r>
          </w:p>
        </w:tc>
        <w:tc>
          <w:tcPr>
            <w:tcW w:w="2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自评得分（百分制）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4"/>
                <w:lang w:val="en-US" w:eastAsia="zh-CN" w:bidi="ar"/>
              </w:rPr>
              <w:t>龙坝乡人民政府</w:t>
            </w:r>
          </w:p>
        </w:tc>
        <w:tc>
          <w:tcPr>
            <w:tcW w:w="2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仿宋_GB2312" w:cs="宋体"/>
                <w:kern w:val="2"/>
                <w:sz w:val="24"/>
                <w:szCs w:val="24"/>
              </w:rPr>
            </w:pPr>
            <w:r>
              <w:rPr>
                <w:rFonts w:hint="default" w:ascii="宋体" w:hAnsi="宋体" w:eastAsia="仿宋_GB2312" w:cs="宋体"/>
                <w:kern w:val="2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备注：1.项目资金末端分配点位包括市（州）本级、县（市、区）、省级部门下属单位及一次性单位等。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630" w:firstLineChars="300"/>
        <w:jc w:val="left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仿宋_GB2312" w:eastAsia="仿宋_GB2312" w:cs="仿宋_GB2312"/>
          <w:kern w:val="0"/>
          <w:sz w:val="32"/>
          <w:szCs w:val="32"/>
        </w:rPr>
      </w:pPr>
      <w:r>
        <w:rPr>
          <w:rFonts w:hint="default" w:ascii="Times New Roman" w:hAnsi="Times New Roman" w:eastAsia="仿宋_GB2312" w:cs="仿宋_GB2312"/>
          <w:kern w:val="2"/>
          <w:sz w:val="32"/>
          <w:szCs w:val="32"/>
          <w:lang w:val="en-US" w:eastAsia="zh-CN" w:bidi="ar"/>
        </w:rPr>
        <w:br w:type="page"/>
      </w: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附表2</w:t>
      </w:r>
    </w:p>
    <w:tbl>
      <w:tblPr>
        <w:tblStyle w:val="10"/>
        <w:tblW w:w="10233" w:type="dxa"/>
        <w:jc w:val="center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龙坝乡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一次性业务经费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黑水县龙坝乡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经常性项目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4"/>
                <w:szCs w:val="24"/>
                <w:lang w:val="en-US" w:eastAsia="zh-CN" w:bidi="ar"/>
              </w:rPr>
              <w:t>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因素法与项目法相结合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春节氛围营造经费；公务用车以外的垃圾清运车辆、森林防火车辆等经费；办公运转（包括：办公运转经费、日常维修维护等）经费；其他除开必须要求减压以外的缺口经费纳入包干使用范围。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龙坝乡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无。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2023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1月至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2023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2月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 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年度目标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2022年春节氛围营造经费；公务用车以外的垃圾清运车辆、森林防火车辆等经费；办公运转（包括：办公运转经费、日常维修维护等）经费；其他除开必须要求减压以外的缺口经费纳入包干使用范围。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实际完成指标值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保障日常公用经费支出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有利于日常办公运转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满足干部职工日常办公需求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工作经费预算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保障日常公用经费支出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有利于日常办公运转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满足干部职工日常办公需求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</w:tbl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等线">
    <w:altName w:val="仿宋_GB2312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multi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C96F349F"/>
    <w:multiLevelType w:val="singleLevel"/>
    <w:tmpl w:val="C96F349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kOTAyNTNiN2RjZTVmYzdkNmJkZjc0ZTg5ZTc3YWIifQ=="/>
  </w:docVars>
  <w:rsids>
    <w:rsidRoot w:val="2BD02EFB"/>
    <w:rsid w:val="0E16063C"/>
    <w:rsid w:val="0F62578A"/>
    <w:rsid w:val="13EA4793"/>
    <w:rsid w:val="159119A5"/>
    <w:rsid w:val="17203061"/>
    <w:rsid w:val="18AC26C9"/>
    <w:rsid w:val="1F0D1040"/>
    <w:rsid w:val="1F4B4D4C"/>
    <w:rsid w:val="201F0A1E"/>
    <w:rsid w:val="25987D07"/>
    <w:rsid w:val="26CF216E"/>
    <w:rsid w:val="28EE7D9C"/>
    <w:rsid w:val="28F155C8"/>
    <w:rsid w:val="2BD02EFB"/>
    <w:rsid w:val="2D1155F0"/>
    <w:rsid w:val="307B1A70"/>
    <w:rsid w:val="31480F71"/>
    <w:rsid w:val="412F731A"/>
    <w:rsid w:val="4A221AAC"/>
    <w:rsid w:val="4BCA41C3"/>
    <w:rsid w:val="51FC6DA4"/>
    <w:rsid w:val="553D2C50"/>
    <w:rsid w:val="5C961BA3"/>
    <w:rsid w:val="612113E8"/>
    <w:rsid w:val="798E5FEA"/>
    <w:rsid w:val="7C0208C0"/>
    <w:rsid w:val="7D307A98"/>
    <w:rsid w:val="7FE98919"/>
    <w:rsid w:val="FFD9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semiHidden/>
    <w:qFormat/>
    <w:uiPriority w:val="0"/>
    <w:pPr>
      <w:ind w:leftChars="200" w:hanging="200" w:hangingChars="200"/>
    </w:pPr>
  </w:style>
  <w:style w:type="paragraph" w:styleId="4">
    <w:name w:val="Body Text"/>
    <w:basedOn w:val="1"/>
    <w:next w:val="5"/>
    <w:unhideWhenUsed/>
    <w:qFormat/>
    <w:uiPriority w:val="99"/>
    <w:pPr>
      <w:spacing w:before="100" w:beforeAutospacing="1" w:after="120"/>
    </w:pPr>
  </w:style>
  <w:style w:type="paragraph" w:styleId="5">
    <w:name w:val="Body Text First Indent"/>
    <w:basedOn w:val="4"/>
    <w:qFormat/>
    <w:uiPriority w:val="0"/>
    <w:pPr>
      <w:ind w:firstLine="420" w:firstLineChars="100"/>
    </w:pPr>
  </w:style>
  <w:style w:type="paragraph" w:styleId="6">
    <w:name w:val="Body Text Indent"/>
    <w:basedOn w:val="1"/>
    <w:qFormat/>
    <w:uiPriority w:val="0"/>
    <w:pPr>
      <w:spacing w:line="500" w:lineRule="exact"/>
      <w:ind w:firstLine="720" w:firstLineChars="240"/>
    </w:pPr>
    <w:rPr>
      <w:rFonts w:ascii="仿宋_GB2312"/>
      <w:b/>
      <w:sz w:val="30"/>
      <w:szCs w:val="24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 2"/>
    <w:basedOn w:val="6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120" w:afterAutospacing="0"/>
      <w:ind w:left="420" w:leftChars="200" w:right="0" w:firstLine="420" w:firstLineChars="200"/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图表目录1"/>
    <w:basedOn w:val="1"/>
    <w:next w:val="1"/>
    <w:qFormat/>
    <w:uiPriority w:val="0"/>
    <w:pPr>
      <w:ind w:left="200" w:leftChars="200" w:hanging="200" w:hangingChars="200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1438</Words>
  <Characters>1459</Characters>
  <Lines>1</Lines>
  <Paragraphs>1</Paragraphs>
  <TotalTime>30</TotalTime>
  <ScaleCrop>false</ScaleCrop>
  <LinksUpToDate>false</LinksUpToDate>
  <CharactersWithSpaces>1534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2023-08-24T15:37:00Z</dcterms:created>
  <dc:creator>两个人的烟火</dc:creator>
  <cp:lastModifiedBy>user</cp:lastModifiedBy>
  <dcterms:modified xsi:type="dcterms:W3CDTF">2024-10-28T16:43:24Z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F458B0F45099434FAC59F0EFC705C38F_13</vt:lpwstr>
  </property>
</Properties>
</file>