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黑水县龙坝乡人民政府</w:t>
      </w:r>
    </w:p>
    <w:p>
      <w:pPr>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2023年人大经费项目绩效自评报告</w:t>
      </w:r>
    </w:p>
    <w:p>
      <w:pPr>
        <w:jc w:val="center"/>
        <w:rPr>
          <w:rFonts w:hint="eastAsia" w:ascii="方正小标宋简体" w:eastAsia="方正小标宋简体" w:cs="黑体"/>
          <w:b w:val="0"/>
          <w:kern w:val="2"/>
          <w:sz w:val="40"/>
          <w:szCs w:val="40"/>
          <w:lang w:val="en-US" w:eastAsia="zh-CN" w:bidi="ar-SA"/>
        </w:rPr>
      </w:pPr>
    </w:p>
    <w:p>
      <w:pPr>
        <w:ind w:firstLine="722" w:firstLineChars="200"/>
        <w:rPr>
          <w:rFonts w:hint="eastAsia"/>
        </w:rPr>
      </w:pPr>
      <w:r>
        <w:rPr>
          <w:rFonts w:hint="eastAsia" w:ascii="仿宋" w:eastAsia="仿宋" w:cs="仿宋"/>
          <w:b/>
          <w:bCs/>
          <w:sz w:val="36"/>
          <w:szCs w:val="36"/>
        </w:rPr>
        <w:t>一、项目概况</w:t>
      </w:r>
    </w:p>
    <w:p>
      <w:pPr>
        <w:ind w:left="0" w:firstLine="642" w:firstLineChars="200"/>
        <w:rPr>
          <w:rFonts w:hint="eastAsia" w:ascii="仿宋" w:eastAsia="仿宋" w:cs="仿宋"/>
          <w:sz w:val="32"/>
          <w:szCs w:val="32"/>
        </w:rPr>
      </w:pPr>
      <w:r>
        <w:rPr>
          <w:rFonts w:hint="eastAsia" w:ascii="仿宋" w:eastAsia="仿宋" w:cs="仿宋"/>
          <w:b/>
          <w:bCs/>
          <w:sz w:val="32"/>
          <w:szCs w:val="32"/>
          <w:lang w:eastAsia="zh-CN"/>
        </w:rPr>
        <w:t>（一）设立背景及基本情况。</w:t>
      </w:r>
    </w:p>
    <w:p>
      <w:pPr>
        <w:adjustRightInd w:val="0"/>
        <w:snapToGrid w:val="0"/>
        <w:spacing w:line="520" w:lineRule="exact"/>
        <w:ind w:firstLine="640" w:firstLineChars="200"/>
        <w:rPr>
          <w:rFonts w:hint="eastAsia" w:ascii="仿宋" w:eastAsia="仿宋" w:cs="仿宋"/>
          <w:sz w:val="32"/>
          <w:szCs w:val="32"/>
        </w:rPr>
      </w:pPr>
      <w:r>
        <w:rPr>
          <w:rFonts w:hint="eastAsia" w:ascii="仿宋_GB2312" w:eastAsia="仿宋_GB2312"/>
          <w:sz w:val="32"/>
          <w:szCs w:val="32"/>
        </w:rPr>
        <w:t>本项目资金来源渠道符合相关文件政策的规定，财权和事权匹配，项目筹资风险可控。</w:t>
      </w:r>
      <w:r>
        <w:rPr>
          <w:rFonts w:hint="eastAsia" w:ascii="仿宋" w:eastAsia="仿宋" w:cs="仿宋"/>
          <w:sz w:val="32"/>
          <w:szCs w:val="32"/>
        </w:rPr>
        <w:t>项目组织实施单位由项目所在乡负责。</w:t>
      </w:r>
      <w:r>
        <w:rPr>
          <w:rFonts w:hint="eastAsia" w:ascii="仿宋_GB2312" w:eastAsia="仿宋_GB2312"/>
          <w:sz w:val="32"/>
          <w:szCs w:val="32"/>
        </w:rPr>
        <w:t>投入</w:t>
      </w:r>
      <w:r>
        <w:rPr>
          <w:rFonts w:ascii="仿宋_GB2312" w:eastAsia="仿宋_GB2312"/>
          <w:sz w:val="32"/>
          <w:szCs w:val="32"/>
        </w:rPr>
        <w:t>产出</w:t>
      </w:r>
      <w:r>
        <w:rPr>
          <w:rFonts w:hint="eastAsia" w:ascii="仿宋_GB2312" w:eastAsia="仿宋_GB2312"/>
          <w:sz w:val="32"/>
          <w:szCs w:val="32"/>
        </w:rPr>
        <w:t>及</w:t>
      </w:r>
      <w:r>
        <w:rPr>
          <w:rFonts w:ascii="仿宋_GB2312" w:eastAsia="仿宋_GB2312"/>
          <w:sz w:val="32"/>
          <w:szCs w:val="32"/>
        </w:rPr>
        <w:t>效果较匹配</w:t>
      </w:r>
      <w:r>
        <w:rPr>
          <w:rFonts w:hint="eastAsia" w:ascii="仿宋_GB2312" w:eastAsia="仿宋_GB2312"/>
          <w:sz w:val="32"/>
          <w:szCs w:val="32"/>
        </w:rPr>
        <w:t>，</w:t>
      </w:r>
      <w:r>
        <w:rPr>
          <w:rFonts w:ascii="仿宋_GB2312" w:eastAsia="仿宋_GB2312"/>
          <w:sz w:val="32"/>
          <w:szCs w:val="32"/>
        </w:rPr>
        <w:t>成本测算依据较充分，测算相对合理，应补充完善成本控制措施。</w:t>
      </w:r>
      <w:r>
        <w:rPr>
          <w:rFonts w:hint="eastAsia" w:ascii="仿宋" w:eastAsia="仿宋" w:cs="仿宋"/>
          <w:sz w:val="32"/>
          <w:szCs w:val="32"/>
        </w:rPr>
        <w:t>项目实施时，真实、及时公告公示项目建设和资金使用等情况，接受社会和群众监督，确保项目在阳光下管理，资金在阳光下运行。</w:t>
      </w:r>
      <w:r>
        <w:rPr>
          <w:rFonts w:hint="eastAsia" w:ascii="仿宋_GB2312" w:eastAsia="仿宋_GB2312"/>
          <w:sz w:val="32"/>
          <w:szCs w:val="32"/>
          <w:lang w:eastAsia="zh-CN"/>
        </w:rPr>
        <w:t>该项目资金</w:t>
      </w:r>
      <w:r>
        <w:rPr>
          <w:rFonts w:hint="eastAsia" w:ascii="仿宋_GB2312" w:eastAsia="仿宋_GB2312"/>
          <w:b w:val="0"/>
          <w:bCs w:val="0"/>
          <w:sz w:val="32"/>
          <w:szCs w:val="32"/>
          <w:lang w:eastAsia="zh-CN"/>
        </w:rPr>
        <w:t>经申请后已获批准。</w:t>
      </w:r>
    </w:p>
    <w:p>
      <w:pPr>
        <w:numPr>
          <w:ilvl w:val="0"/>
          <w:numId w:val="1"/>
        </w:numPr>
        <w:adjustRightInd w:val="0"/>
        <w:snapToGrid w:val="0"/>
        <w:spacing w:line="520" w:lineRule="exact"/>
        <w:ind w:left="0" w:firstLine="642" w:firstLineChars="200"/>
        <w:rPr>
          <w:rFonts w:hint="eastAsia" w:ascii="仿宋" w:eastAsia="仿宋" w:cs="仿宋"/>
          <w:b/>
          <w:bCs/>
          <w:sz w:val="32"/>
          <w:szCs w:val="32"/>
          <w:lang w:eastAsia="zh-CN"/>
        </w:rPr>
      </w:pPr>
      <w:r>
        <w:rPr>
          <w:rFonts w:hint="eastAsia" w:ascii="仿宋" w:eastAsia="仿宋" w:cs="仿宋"/>
          <w:b/>
          <w:bCs/>
          <w:sz w:val="32"/>
          <w:szCs w:val="32"/>
          <w:lang w:eastAsia="zh-CN"/>
        </w:rPr>
        <w:t>实施目的及支持方向。</w:t>
      </w:r>
    </w:p>
    <w:p>
      <w:pPr>
        <w:adjustRightInd w:val="0"/>
        <w:snapToGrid w:val="0"/>
        <w:spacing w:line="520" w:lineRule="exact"/>
        <w:ind w:firstLine="640" w:firstLineChars="200"/>
        <w:rPr>
          <w:rFonts w:hint="eastAsia" w:ascii="仿宋" w:eastAsia="仿宋" w:cs="仿宋"/>
          <w:b/>
          <w:bCs/>
          <w:sz w:val="32"/>
          <w:szCs w:val="32"/>
          <w:lang w:val="en-US" w:eastAsia="zh-CN"/>
        </w:rPr>
      </w:pPr>
      <w:r>
        <w:rPr>
          <w:rFonts w:hint="eastAsia" w:ascii="仿宋" w:eastAsia="仿宋" w:cs="仿宋"/>
          <w:sz w:val="32"/>
          <w:szCs w:val="32"/>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r>
        <w:rPr>
          <w:rFonts w:hint="eastAsia" w:ascii="仿宋" w:eastAsia="仿宋" w:cs="仿宋"/>
          <w:b/>
          <w:bCs/>
          <w:sz w:val="32"/>
          <w:szCs w:val="32"/>
          <w:lang w:val="en-US" w:eastAsia="zh-CN"/>
        </w:rPr>
        <w:t xml:space="preserve">     </w:t>
      </w:r>
    </w:p>
    <w:p>
      <w:pPr>
        <w:ind w:left="0" w:firstLine="642" w:firstLineChars="200"/>
        <w:rPr>
          <w:rFonts w:hint="eastAsia" w:ascii="仿宋" w:eastAsia="仿宋" w:cs="仿宋"/>
          <w:b/>
          <w:bCs/>
          <w:sz w:val="32"/>
          <w:szCs w:val="32"/>
        </w:rPr>
      </w:pPr>
      <w:r>
        <w:rPr>
          <w:rFonts w:hint="eastAsia" w:ascii="仿宋" w:eastAsia="仿宋" w:cs="仿宋"/>
          <w:b/>
          <w:bCs/>
          <w:sz w:val="32"/>
          <w:szCs w:val="32"/>
          <w:lang w:val="en-US" w:eastAsia="zh-CN"/>
        </w:rPr>
        <w:t>（三）预算安排及分配管理。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ascii="仿宋_GB2312" w:eastAsia="仿宋_GB2312" w:cs="仿宋_GB2312"/>
          <w:bCs/>
          <w:sz w:val="32"/>
          <w:szCs w:val="32"/>
          <w:highlight w:val="none"/>
          <w:lang w:val="en-US" w:eastAsia="zh-CN"/>
        </w:rPr>
      </w:pPr>
      <w:r>
        <w:rPr>
          <w:rFonts w:hint="eastAsia" w:ascii="仿宋_GB2312" w:eastAsia="仿宋_GB2312" w:cs="仿宋_GB2312"/>
          <w:bCs/>
          <w:sz w:val="32"/>
          <w:szCs w:val="32"/>
          <w:highlight w:val="none"/>
          <w:lang w:val="en-US" w:eastAsia="zh-CN"/>
        </w:rPr>
        <w:t>2023年年初预算</w:t>
      </w:r>
      <w:r>
        <w:rPr>
          <w:rFonts w:hint="eastAsia" w:ascii="仿宋_GB2312" w:hAnsi="仿宋_GB2312" w:cs="仿宋_GB2312"/>
          <w:bCs/>
          <w:sz w:val="32"/>
          <w:szCs w:val="32"/>
          <w:highlight w:val="none"/>
          <w:lang w:val="en-US" w:eastAsia="zh-CN"/>
        </w:rPr>
        <w:t>0元，调整后预算数8.1万元，预算执行数8.1万元。</w:t>
      </w:r>
    </w:p>
    <w:p>
      <w:pPr>
        <w:spacing w:line="560" w:lineRule="exact"/>
        <w:ind w:left="420" w:leftChars="200"/>
        <w:rPr>
          <w:rFonts w:hint="eastAsia" w:ascii="仿宋" w:eastAsia="仿宋" w:cs="仿宋"/>
          <w:b/>
          <w:bCs/>
          <w:kern w:val="2"/>
          <w:sz w:val="32"/>
          <w:szCs w:val="32"/>
          <w:lang w:val="zh-CN" w:eastAsia="zh-CN" w:bidi="ar-SA"/>
        </w:rPr>
      </w:pP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四</w:t>
      </w: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项目绩效目标设置</w:t>
      </w:r>
      <w:r>
        <w:rPr>
          <w:rFonts w:hint="eastAsia" w:ascii="仿宋" w:eastAsia="仿宋" w:cs="仿宋"/>
          <w:b/>
          <w:bCs/>
          <w:kern w:val="2"/>
          <w:sz w:val="32"/>
          <w:szCs w:val="32"/>
          <w:lang w:val="zh-CN" w:eastAsia="zh-CN" w:bidi="ar-SA"/>
        </w:rPr>
        <w:t>。</w:t>
      </w:r>
    </w:p>
    <w:p>
      <w:pPr>
        <w:spacing w:line="560" w:lineRule="exact"/>
        <w:ind w:left="420" w:leftChars="200" w:firstLine="320" w:firstLineChars="100"/>
        <w:rPr>
          <w:rFonts w:hint="eastAsia" w:ascii="仿宋_GB2312" w:eastAsia="仿宋_GB2312" w:cs="Times New Roman"/>
          <w:sz w:val="32"/>
          <w:szCs w:val="32"/>
        </w:rPr>
      </w:pPr>
      <w:r>
        <w:rPr>
          <w:rFonts w:hint="eastAsia" w:ascii="仿宋_GB2312" w:eastAsia="仿宋_GB2312" w:cs="Times New Roman"/>
          <w:sz w:val="32"/>
          <w:szCs w:val="32"/>
          <w:lang w:val="en-US" w:eastAsia="zh-CN"/>
        </w:rPr>
        <w:t>我乡</w:t>
      </w:r>
      <w:r>
        <w:rPr>
          <w:rFonts w:hint="eastAsia" w:ascii="仿宋_GB2312" w:eastAsia="仿宋_GB2312" w:cs="Times New Roman"/>
          <w:sz w:val="32"/>
          <w:szCs w:val="32"/>
        </w:rPr>
        <w:t>承担专项资金绩效管理的主体责任，主要负责提出</w:t>
      </w:r>
    </w:p>
    <w:p>
      <w:pPr>
        <w:spacing w:line="560" w:lineRule="exact"/>
        <w:rPr>
          <w:rFonts w:hint="eastAsia" w:ascii="仿宋" w:eastAsia="仿宋" w:cs="仿宋"/>
          <w:b/>
          <w:bCs/>
          <w:kern w:val="2"/>
          <w:sz w:val="32"/>
          <w:szCs w:val="32"/>
          <w:lang w:val="en-US" w:eastAsia="zh-CN" w:bidi="ar-SA"/>
        </w:rPr>
      </w:pPr>
      <w:r>
        <w:rPr>
          <w:rFonts w:hint="eastAsia" w:ascii="仿宋_GB2312" w:eastAsia="仿宋_GB2312" w:cs="Times New Roman"/>
          <w:sz w:val="32"/>
          <w:szCs w:val="32"/>
        </w:rPr>
        <w:t>专项资金分配方案，制定项目管理制度，组织项目评审和实施，开展项目验收、绩效评价和监督检查等工作。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黑体" w:eastAsia="黑体" w:cs="黑体"/>
          <w:kern w:val="2"/>
          <w:sz w:val="32"/>
          <w:szCs w:val="32"/>
        </w:rPr>
      </w:pPr>
      <w:r>
        <w:rPr>
          <w:rFonts w:hint="eastAsia" w:ascii="黑体" w:eastAsia="黑体" w:cs="黑体"/>
          <w:kern w:val="2"/>
          <w:sz w:val="32"/>
          <w:szCs w:val="32"/>
          <w:lang w:val="en-US" w:eastAsia="zh-CN"/>
        </w:rPr>
        <w:t>二、评价实施</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（一）评价目的。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ascii="Times New Roman" w:hAnsi="Times New Roman" w:eastAsia="仿宋_GB2312" w:cs="Times New Roman"/>
          <w:kern w:val="0"/>
          <w:sz w:val="32"/>
          <w:szCs w:val="32"/>
          <w:lang w:val="en-US" w:eastAsia="zh-CN"/>
        </w:rPr>
        <w:t xml:space="preserve"> 2024</w:t>
      </w:r>
      <w:r>
        <w:rPr>
          <w:rFonts w:ascii="仿宋_GB2312" w:eastAsia="仿宋_GB2312" w:cs="仿宋_GB2312"/>
          <w:kern w:val="0"/>
          <w:sz w:val="32"/>
          <w:szCs w:val="32"/>
          <w:lang w:val="en-US" w:eastAsia="zh-CN"/>
        </w:rPr>
        <w:t>年州级部门绩效自评工作的通知》（阿州财监绩〔</w:t>
      </w:r>
      <w:r>
        <w:rPr>
          <w:rFonts w:ascii="Times New Roman" w:hAnsi="Times New Roman" w:eastAsia="仿宋_GB2312" w:cs="Times New Roman"/>
          <w:kern w:val="0"/>
          <w:sz w:val="32"/>
          <w:szCs w:val="32"/>
          <w:lang w:val="en-US" w:eastAsia="zh-CN"/>
        </w:rPr>
        <w:t>2024</w:t>
      </w:r>
      <w:r>
        <w:rPr>
          <w:rFonts w:ascii="仿宋_GB2312" w:eastAsia="仿宋_GB2312" w:cs="仿宋_GB2312"/>
          <w:kern w:val="0"/>
          <w:sz w:val="32"/>
          <w:szCs w:val="32"/>
          <w:lang w:val="en-US" w:eastAsia="zh-CN"/>
        </w:rPr>
        <w:t>〕</w:t>
      </w:r>
      <w:r>
        <w:rPr>
          <w:rFonts w:ascii="Times New Roman" w:hAnsi="Times New Roman" w:eastAsia="仿宋_GB2312" w:cs="Times New Roman"/>
          <w:kern w:val="0"/>
          <w:sz w:val="32"/>
          <w:szCs w:val="32"/>
          <w:lang w:val="en-US" w:eastAsia="zh-CN"/>
        </w:rPr>
        <w:t>19</w:t>
      </w:r>
      <w:r>
        <w:rPr>
          <w:rFonts w:ascii="仿宋_GB2312" w:eastAsia="仿宋_GB2312" w:cs="仿宋_GB2312"/>
          <w:kern w:val="0"/>
          <w:sz w:val="32"/>
          <w:szCs w:val="32"/>
          <w:lang w:val="en-US" w:eastAsia="zh-CN"/>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加强项目支出绩效管理水平、提升预算管理水平、提升项目管理水平。</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（二）预设问题及评价重点。</w:t>
      </w:r>
      <w:r>
        <w:rPr>
          <w:rFonts w:ascii="Times New Roman" w:hAnsi="Times New Roman" w:eastAsia="仿宋_GB2312" w:cs="仿宋_GB2312"/>
          <w:kern w:val="2"/>
          <w:sz w:val="32"/>
          <w:szCs w:val="32"/>
          <w:lang w:val="en-US" w:eastAsia="zh-CN"/>
        </w:rPr>
        <w:t xml:space="preserve"> </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6.项目实施单位绩效自评情况。项目实施单位是否严格按照预算绩效管理规定开展绩效自评。</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（三）评价选点。</w:t>
      </w:r>
    </w:p>
    <w:p>
      <w:pPr>
        <w:adjustRightInd w:val="0"/>
        <w:snapToGrid w:val="0"/>
        <w:spacing w:line="520" w:lineRule="exact"/>
        <w:ind w:firstLine="640" w:firstLineChars="200"/>
        <w:rPr>
          <w:rFonts w:hint="eastAsia" w:ascii="仿宋" w:eastAsia="仿宋" w:cs="仿宋"/>
          <w:sz w:val="32"/>
          <w:szCs w:val="32"/>
        </w:rPr>
      </w:pPr>
      <w:r>
        <w:rPr>
          <w:rFonts w:ascii="仿宋" w:eastAsia="仿宋" w:cs="仿宋"/>
          <w:sz w:val="32"/>
          <w:szCs w:val="32"/>
        </w:rPr>
        <w:t>龙坝</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（四）评价方法。</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仿宋_GB2312" w:eastAsia="仿宋_GB2312" w:cs="仿宋_GB2312"/>
          <w:kern w:val="0"/>
          <w:sz w:val="32"/>
          <w:szCs w:val="32"/>
          <w:lang w:val="en-US" w:eastAsia="zh-CN"/>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双重交叉分析法。通过对项目建设前后的比较，根据成效等方面去寻找和分析政策产生的影响。</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5.随机访谈法。针对部分项目负责人及实施主体进行了询问和访谈，如项目实施情况的必要性、可行性和满意度等进行随机访谈。</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（五）评价组织。</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hAnsi="仿宋_GB2312"/>
          <w:color w:val="auto"/>
          <w:sz w:val="32"/>
          <w:szCs w:val="32"/>
          <w:highlight w:val="none"/>
          <w:u w:val="none"/>
          <w:lang w:val="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r>
        <w:rPr>
          <w:rFonts w:hint="eastAsia" w:ascii="仿宋_GB2312" w:hAnsi="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highlight w:val="none"/>
        </w:rPr>
      </w:pPr>
      <w:r>
        <w:rPr>
          <w:rFonts w:hint="eastAsia" w:ascii="仿宋" w:eastAsia="仿宋" w:cs="仿宋"/>
          <w:sz w:val="32"/>
          <w:szCs w:val="32"/>
          <w:highlight w:val="none"/>
        </w:rPr>
        <w:t>（一）通用指标</w:t>
      </w:r>
      <w:r>
        <w:rPr>
          <w:rFonts w:hint="eastAsia" w:ascii="仿宋" w:eastAsia="仿宋" w:cs="仿宋"/>
          <w:bCs/>
          <w:sz w:val="32"/>
          <w:szCs w:val="32"/>
          <w:highlight w:val="none"/>
        </w:rPr>
        <w:t>绩效分析。指标分值54分，自评得分54分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1.项目决策。指标分值18分，自评得分18分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决策程序：项目设立、调整延续等方面符合资金管理基本规范和决策程序要求。指标分值6分，自评得分6分。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规划论证：项目规划论证符合中</w:t>
      </w:r>
      <w:r>
        <w:rPr>
          <w:rFonts w:hint="default" w:ascii="仿宋" w:eastAsia="仿宋" w:cs="仿宋"/>
          <w:sz w:val="32"/>
          <w:szCs w:val="32"/>
        </w:rPr>
        <w:t>央、</w:t>
      </w:r>
      <w:r>
        <w:rPr>
          <w:rFonts w:hint="eastAsia" w:ascii="仿宋" w:eastAsia="仿宋" w:cs="仿宋"/>
          <w:sz w:val="32"/>
          <w:szCs w:val="32"/>
        </w:rPr>
        <w:t>省</w:t>
      </w:r>
      <w:r>
        <w:rPr>
          <w:rFonts w:hint="default" w:ascii="仿宋" w:eastAsia="仿宋" w:cs="仿宋"/>
          <w:sz w:val="32"/>
          <w:szCs w:val="32"/>
        </w:rPr>
        <w:t>委</w:t>
      </w:r>
      <w:bookmarkStart w:id="0" w:name="_GoBack"/>
      <w:bookmarkEnd w:id="0"/>
      <w:r>
        <w:rPr>
          <w:rFonts w:hint="eastAsia" w:ascii="仿宋" w:eastAsia="仿宋" w:cs="仿宋"/>
          <w:sz w:val="32"/>
          <w:szCs w:val="32"/>
        </w:rPr>
        <w:t>要求，项目绩效目标设置科学合理，项目资金与项目总体规划、相关行业事业发展相匹配，聚焦重大任务、重点领域、重点环节和重点项目。指标分值6分，自评得分6分。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资金投向：项目资金是与项目总体规划、相关行业事业发展相匹配，聚焦重大任务、重点领域、重点环节和重点项目。体现“集中财力办大事”原则，避免“撒胡椒面”。指标分值6分，自评得分6分。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2.项目管理。指标分值18分，自评得分18分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制度办法：项目制度办法体系健全、要素完备。资金管理办法等管理制度体系健全完善，不存在管理制度缺失、管理办法过期情况。指标分值2分，自评得分2分。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分配管理：项目资金分配因素选取、权重设置、区域分布，项目管理、审批符合管理要求，管资金、</w:t>
      </w:r>
      <w:r>
        <w:rPr>
          <w:rFonts w:hint="default" w:ascii="仿宋" w:eastAsia="仿宋" w:cs="仿宋"/>
          <w:sz w:val="32"/>
          <w:szCs w:val="32"/>
        </w:rPr>
        <w:t>管</w:t>
      </w:r>
      <w:r>
        <w:rPr>
          <w:rFonts w:hint="eastAsia" w:ascii="仿宋" w:eastAsia="仿宋" w:cs="仿宋"/>
          <w:sz w:val="32"/>
          <w:szCs w:val="32"/>
        </w:rPr>
        <w:t>项目、政策管绩效，项目绩效监管按要求开展，对下指导有力有效。指标分值10分，自评得分10分。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3.项目实施。指标分值9分，自评得分9分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预算执行:项目预算资金8.1万元，支付8.1万元。指标分值6分，自评得分6分。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资金使用:项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4.项目结果。指标分值9分，自评得分9分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完成时效：资金项目按照目标任务已于2023年底完成。指标分值3分，自评得分3分。</w:t>
      </w:r>
    </w:p>
    <w:p>
      <w:pPr>
        <w:keepNext w:val="0"/>
        <w:keepLines w:val="0"/>
        <w:pageBreakBefore w:val="0"/>
        <w:widowControl w:val="0"/>
        <w:kinsoku/>
        <w:wordWrap/>
        <w:overflowPunct/>
        <w:topLinePunct w:val="0"/>
        <w:autoSpaceDE/>
        <w:autoSpaceDN/>
        <w:adjustRightInd/>
        <w:snapToGrid/>
        <w:spacing w:line="578" w:lineRule="exact"/>
        <w:ind w:left="0" w:firstLine="642" w:firstLineChars="200"/>
        <w:rPr>
          <w:rFonts w:hint="eastAsia" w:ascii="仿宋" w:eastAsia="仿宋" w:cs="仿宋"/>
          <w:sz w:val="32"/>
          <w:szCs w:val="32"/>
        </w:rPr>
      </w:pPr>
      <w:r>
        <w:rPr>
          <w:rFonts w:ascii="楷体_GB2312" w:eastAsia="楷体_GB2312" w:cs="楷体_GB2312"/>
          <w:b/>
          <w:sz w:val="32"/>
          <w:szCs w:val="32"/>
          <w:highlight w:val="none"/>
        </w:rPr>
        <w:t>（二）专用指标</w:t>
      </w:r>
      <w:r>
        <w:rPr>
          <w:rFonts w:ascii="楷体_GB2312" w:eastAsia="楷体_GB2312" w:cs="楷体_GB2312"/>
          <w:b/>
          <w:bCs/>
          <w:sz w:val="32"/>
          <w:szCs w:val="32"/>
          <w:highlight w:val="none"/>
        </w:rPr>
        <w:t>绩效分析。</w:t>
      </w:r>
      <w:r>
        <w:rPr>
          <w:rFonts w:hint="eastAsia" w:ascii="仿宋" w:eastAsia="仿宋" w:cs="仿宋"/>
          <w:bCs/>
          <w:sz w:val="32"/>
          <w:szCs w:val="32"/>
          <w:highlight w:val="none"/>
        </w:rPr>
        <w:t>指标分值30分，自评得分30分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项目验收：该项目已完成项目验收，出具项目验收报告。指标分值10分，自评得分10分。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w:t>
      </w:r>
      <w:r>
        <w:rPr>
          <w:rFonts w:hint="default" w:ascii="仿宋" w:eastAsia="仿宋" w:cs="仿宋"/>
          <w:sz w:val="32"/>
          <w:szCs w:val="32"/>
        </w:rPr>
        <w:t>目</w:t>
      </w:r>
      <w:r>
        <w:rPr>
          <w:rFonts w:hint="eastAsia" w:ascii="仿宋" w:eastAsia="仿宋" w:cs="仿宋"/>
          <w:sz w:val="32"/>
          <w:szCs w:val="32"/>
        </w:rPr>
        <w:t>功能实现：</w:t>
      </w:r>
      <w:r>
        <w:rPr>
          <w:rFonts w:hint="default" w:ascii="仿宋" w:eastAsia="仿宋" w:cs="仿宋"/>
          <w:sz w:val="32"/>
          <w:szCs w:val="32"/>
        </w:rPr>
        <w:t>项</w:t>
      </w:r>
      <w:r>
        <w:rPr>
          <w:rFonts w:hint="eastAsia" w:ascii="仿宋" w:eastAsia="仿宋" w:cs="仿宋"/>
          <w:sz w:val="32"/>
          <w:szCs w:val="32"/>
        </w:rPr>
        <w:t>目资金分配均衡公平，资金实际支持对象符合管理要求，符合支持对象范围，资金实际补贴标准符合资金管理办法规定的补助标准，及时按标准兑现，资金涉及服务对象满意度不低于90%，项目用途合规性、程序合规性、标准合规性。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bCs/>
          <w:sz w:val="32"/>
          <w:szCs w:val="32"/>
          <w:highlight w:val="none"/>
        </w:rPr>
      </w:pPr>
      <w:r>
        <w:rPr>
          <w:rFonts w:hint="eastAsia" w:ascii="仿宋" w:eastAsia="仿宋" w:cs="仿宋"/>
          <w:sz w:val="32"/>
          <w:szCs w:val="32"/>
          <w:highlight w:val="none"/>
        </w:rPr>
        <w:t>个性指标</w:t>
      </w:r>
      <w:r>
        <w:rPr>
          <w:rFonts w:hint="eastAsia" w:ascii="仿宋" w:eastAsia="仿宋" w:cs="仿宋"/>
          <w:bCs/>
          <w:sz w:val="32"/>
          <w:szCs w:val="32"/>
          <w:highlight w:val="none"/>
        </w:rPr>
        <w:t>绩效分析。指标分值16分，自评得分16分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我单位在规定时间内做好人大经费个性化绩效评价指标具有特定的针对性，能够更好地反映人大工作其特定业务领域的表现，可以增强人大工作的积极性和工作热情。提高部门的整体绩效水平。</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人大工作知晓率:通过宣传和教育活动提高公众对人大工作的认识和参与度,以提高人大工作管理效率和质量。指标分值5分，自评得分5分。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项目公示:按照公开要求，在门户网站中决算公开内容进行公示。指标分值5分，自评得分5分。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监管力度：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指标分值6分，自评得分6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p>
    <w:p>
      <w:pPr>
        <w:keepNext w:val="0"/>
        <w:keepLines w:val="0"/>
        <w:pageBreakBefore w:val="0"/>
        <w:widowControl w:val="0"/>
        <w:kinsoku/>
        <w:wordWrap/>
        <w:overflowPunct/>
        <w:topLinePunct w:val="0"/>
        <w:autoSpaceDE/>
        <w:autoSpaceDN/>
        <w:adjustRightInd/>
        <w:snapToGrid/>
        <w:spacing w:line="578" w:lineRule="exact"/>
        <w:ind w:left="640"/>
        <w:rPr>
          <w:rFonts w:ascii="楷体_GB2312" w:eastAsia="楷体_GB2312" w:cs="楷体_GB2312"/>
          <w:b/>
          <w:color w:val="000000"/>
          <w:kern w:val="0"/>
          <w:sz w:val="32"/>
          <w:szCs w:val="32"/>
          <w:shd w:val="clear" w:color="auto" w:fill="FFFFFF"/>
          <w:lang w:val="en-US" w:eastAsia="zh-CN"/>
        </w:rPr>
      </w:pPr>
      <w:r>
        <w:rPr>
          <w:rFonts w:ascii="楷体_GB2312" w:eastAsia="楷体_GB2312" w:cs="楷体_GB2312"/>
          <w:b/>
          <w:kern w:val="2"/>
          <w:sz w:val="32"/>
          <w:szCs w:val="32"/>
          <w:lang w:val="en-US" w:eastAsia="zh-CN"/>
        </w:rPr>
        <w:t>（三）个性指标</w:t>
      </w:r>
      <w:r>
        <w:rPr>
          <w:rFonts w:ascii="楷体_GB2312" w:eastAsia="楷体_GB2312" w:cs="楷体_GB2312"/>
          <w:b/>
          <w:color w:val="000000"/>
          <w:kern w:val="0"/>
          <w:sz w:val="32"/>
          <w:szCs w:val="32"/>
          <w:shd w:val="clear" w:color="auto" w:fill="FFFFFF"/>
          <w:lang w:val="en-US" w:eastAsia="zh-CN"/>
        </w:rPr>
        <w:t>绩效分析</w:t>
      </w:r>
    </w:p>
    <w:p>
      <w:pPr>
        <w:keepNext w:val="0"/>
        <w:keepLines w:val="0"/>
        <w:pageBreakBefore w:val="0"/>
        <w:widowControl w:val="0"/>
        <w:kinsoku/>
        <w:wordWrap/>
        <w:overflowPunct/>
        <w:topLinePunct w:val="0"/>
        <w:autoSpaceDE/>
        <w:autoSpaceDN/>
        <w:adjustRightInd/>
        <w:snapToGrid/>
        <w:spacing w:line="578" w:lineRule="exact"/>
        <w:ind w:left="640"/>
        <w:rPr>
          <w:rFonts w:hint="eastAsia" w:ascii="仿宋" w:eastAsia="仿宋" w:cs="仿宋"/>
          <w:bCs/>
          <w:sz w:val="32"/>
          <w:szCs w:val="32"/>
        </w:rPr>
      </w:pPr>
      <w:r>
        <w:rPr>
          <w:rFonts w:hint="eastAsia" w:ascii="仿宋" w:eastAsia="仿宋" w:cs="仿宋"/>
          <w:bCs/>
          <w:sz w:val="32"/>
          <w:szCs w:val="32"/>
          <w:highlight w:val="none"/>
        </w:rPr>
        <w:t>指标分值16分，自评得分16分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我单位在规定时间内做好人大经费个性化绩效评价指标具有特定的针对性，能够更好地反映人大工作其特定业务领域的表现，可以增强人大工作的积极性和工作热情。提高部门的整体绩效水平。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人大工作知晓率:通过宣传和教育活动提高公众对人大工作的认识和参与度,以提高人大工作管理效率和质量。</w:t>
      </w:r>
      <w:r>
        <w:rPr>
          <w:rFonts w:hint="eastAsia" w:ascii="仿宋" w:eastAsia="仿宋" w:cs="仿宋"/>
          <w:sz w:val="32"/>
          <w:szCs w:val="32"/>
          <w:lang w:eastAsia="zh-CN"/>
        </w:rPr>
        <w:t>指标分值</w:t>
      </w:r>
      <w:r>
        <w:rPr>
          <w:rFonts w:hint="eastAsia" w:ascii="仿宋" w:eastAsia="仿宋" w:cs="仿宋"/>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项目公示:按照公开要求，在门户网站中决算公开内容进行公示。</w:t>
      </w:r>
      <w:r>
        <w:rPr>
          <w:rFonts w:hint="eastAsia" w:ascii="仿宋" w:eastAsia="仿宋" w:cs="仿宋"/>
          <w:sz w:val="32"/>
          <w:szCs w:val="32"/>
          <w:lang w:eastAsia="zh-CN"/>
        </w:rPr>
        <w:t>指标分值</w:t>
      </w:r>
      <w:r>
        <w:rPr>
          <w:rFonts w:hint="eastAsia" w:ascii="仿宋" w:eastAsia="仿宋" w:cs="仿宋"/>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项目监管力度：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w:t>
      </w:r>
      <w:r>
        <w:rPr>
          <w:rFonts w:hint="eastAsia" w:ascii="仿宋" w:eastAsia="仿宋" w:cs="仿宋"/>
          <w:sz w:val="32"/>
          <w:szCs w:val="32"/>
          <w:lang w:eastAsia="zh-CN"/>
        </w:rPr>
        <w:t>指标分值</w:t>
      </w:r>
      <w:r>
        <w:rPr>
          <w:rFonts w:hint="eastAsia" w:ascii="仿宋" w:eastAsia="仿宋" w:cs="仿宋"/>
          <w:sz w:val="32"/>
          <w:szCs w:val="32"/>
          <w:lang w:val="en-US" w:eastAsia="zh-CN"/>
        </w:rPr>
        <w:t>6分，自评得分6分。</w:t>
      </w:r>
    </w:p>
    <w:p>
      <w:pPr>
        <w:pStyle w:val="9"/>
        <w:keepNext w:val="0"/>
        <w:keepLines w:val="0"/>
        <w:widowControl/>
        <w:suppressLineNumbers w:val="0"/>
        <w:spacing w:before="0" w:beforeAutospacing="0" w:after="0" w:afterAutospacing="0" w:line="600" w:lineRule="exact"/>
        <w:ind w:left="0" w:right="0" w:firstLine="640" w:firstLineChars="200"/>
        <w:jc w:val="left"/>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四、评价结论</w:t>
      </w:r>
    </w:p>
    <w:p>
      <w:pPr>
        <w:adjustRightInd w:val="0"/>
        <w:snapToGrid w:val="0"/>
        <w:spacing w:line="520" w:lineRule="exact"/>
        <w:ind w:firstLine="640" w:firstLineChars="200"/>
        <w:rPr>
          <w:rFonts w:hint="eastAsia" w:ascii="仿宋" w:eastAsia="仿宋" w:cs="仿宋"/>
          <w:sz w:val="32"/>
          <w:szCs w:val="32"/>
        </w:rPr>
      </w:pPr>
      <w:r>
        <w:rPr>
          <w:rFonts w:hint="eastAsia" w:ascii="仿宋" w:eastAsia="仿宋" w:cs="仿宋"/>
          <w:sz w:val="32"/>
          <w:szCs w:val="32"/>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r>
        <w:rPr>
          <w:rFonts w:hint="eastAsia" w:ascii="仿宋_GB2312" w:eastAsia="仿宋_GB2312" w:cs="仿宋_GB2312"/>
          <w:b w:val="0"/>
          <w:bCs w:val="0"/>
          <w:kern w:val="0"/>
          <w:position w:val="0"/>
          <w:sz w:val="32"/>
          <w:szCs w:val="32"/>
          <w:highlight w:val="none"/>
          <w:lang w:val="en-US" w:eastAsia="zh-CN" w:bidi="ar-SA"/>
        </w:rPr>
        <w:t>通过汇总、整理、分析</w:t>
      </w:r>
      <w:r>
        <w:rPr>
          <w:rFonts w:ascii="仿宋_GB2312" w:eastAsia="仿宋_GB2312" w:cs="仿宋_GB2312"/>
          <w:b w:val="0"/>
          <w:bCs w:val="0"/>
          <w:kern w:val="0"/>
          <w:position w:val="0"/>
          <w:sz w:val="32"/>
          <w:szCs w:val="32"/>
          <w:highlight w:val="none"/>
          <w:lang w:val="en-US" w:eastAsia="zh-CN" w:bidi="ar-SA"/>
        </w:rPr>
        <w:t>人大建设</w:t>
      </w:r>
      <w:r>
        <w:rPr>
          <w:rFonts w:hint="eastAsia" w:ascii="仿宋_GB2312" w:eastAsia="仿宋_GB2312" w:cs="仿宋_GB2312"/>
          <w:b w:val="0"/>
          <w:bCs w:val="0"/>
          <w:kern w:val="0"/>
          <w:position w:val="0"/>
          <w:sz w:val="32"/>
          <w:szCs w:val="32"/>
          <w:highlight w:val="none"/>
          <w:lang w:val="en-US" w:eastAsia="zh-CN" w:bidi="ar-SA"/>
        </w:rPr>
        <w:t>项目绩效评价指标体系，绩效目标基本实现，自评得分为100分。</w:t>
      </w:r>
    </w:p>
    <w:p>
      <w:pPr>
        <w:pStyle w:val="9"/>
        <w:keepNext w:val="0"/>
        <w:keepLines w:val="0"/>
        <w:widowControl/>
        <w:suppressLineNumbers w:val="0"/>
        <w:spacing w:before="0" w:beforeAutospacing="0" w:after="0" w:afterAutospacing="0" w:line="600" w:lineRule="exact"/>
        <w:ind w:left="0" w:right="0" w:firstLine="640" w:firstLineChars="200"/>
        <w:jc w:val="left"/>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五、存在主要问题</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1、内部管理上较为粗糙。</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2、预算执行力度不够。</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3、预算编制的前瞻性不够,导致预算和实际支出存在调整。</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六、改进建议</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1、建议加强对</w:t>
      </w:r>
      <w:r>
        <w:rPr>
          <w:rFonts w:hint="eastAsia" w:ascii="仿宋" w:eastAsia="仿宋" w:cs="仿宋"/>
          <w:sz w:val="32"/>
          <w:szCs w:val="32"/>
        </w:rPr>
        <w:t>项目</w:t>
      </w:r>
      <w:r>
        <w:rPr>
          <w:rFonts w:hint="eastAsia" w:ascii="仿宋" w:eastAsia="仿宋" w:cs="仿宋"/>
          <w:kern w:val="2"/>
          <w:sz w:val="32"/>
          <w:szCs w:val="32"/>
          <w:lang w:val="en-US" w:eastAsia="zh-CN" w:bidi="ar-SA"/>
        </w:rPr>
        <w:t>工作的培训和指导，进一步优化项目专项</w:t>
      </w:r>
      <w:r>
        <w:rPr>
          <w:rFonts w:hint="eastAsia" w:ascii="仿宋" w:eastAsia="仿宋" w:cs="仿宋"/>
          <w:sz w:val="32"/>
          <w:szCs w:val="32"/>
        </w:rPr>
        <w:t>预算项目支出绩效</w:t>
      </w:r>
      <w:r>
        <w:rPr>
          <w:rFonts w:hint="eastAsia" w:ascii="仿宋" w:eastAsia="仿宋" w:cs="仿宋"/>
          <w:sz w:val="32"/>
          <w:szCs w:val="32"/>
          <w:lang w:val="en-US" w:eastAsia="zh-CN"/>
        </w:rPr>
        <w:t>，</w:t>
      </w:r>
      <w:r>
        <w:rPr>
          <w:rFonts w:hint="eastAsia" w:ascii="仿宋" w:eastAsia="仿宋" w:cs="仿宋"/>
          <w:kern w:val="2"/>
          <w:sz w:val="32"/>
          <w:szCs w:val="32"/>
          <w:lang w:val="en-US" w:eastAsia="zh-CN" w:bidi="ar-SA"/>
        </w:rPr>
        <w:t>做到合理性与可操作性的有机统一。</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ascii="Times New Roman" w:hAnsi="Times New Roman" w:eastAsia="仿宋_GB2312" w:cs="仿宋_GB2312"/>
          <w:color w:val="000000"/>
          <w:kern w:val="0"/>
          <w:sz w:val="32"/>
          <w:szCs w:val="32"/>
          <w:shd w:val="clear" w:color="auto" w:fill="FFFFFF"/>
        </w:rPr>
      </w:pPr>
      <w:r>
        <w:rPr>
          <w:rFonts w:hint="eastAsia" w:ascii="仿宋" w:eastAsia="仿宋" w:cs="仿宋"/>
          <w:kern w:val="2"/>
          <w:sz w:val="32"/>
          <w:szCs w:val="32"/>
          <w:lang w:val="en-US" w:eastAsia="zh-CN" w:bidi="ar-SA"/>
        </w:rPr>
        <w:t>2、细化预算编制工作，加强单位内部机构的预算管理意识，科学规划，提高财政资金使用效率，减少预算资金的调整、结转和结余的情形。</w:t>
      </w:r>
      <w:r>
        <w:rPr>
          <w:rFonts w:ascii="Times New Roman" w:hAnsi="Times New Roman" w:eastAsia="仿宋_GB2312" w:cs="仿宋_GB2312"/>
          <w:color w:val="000000"/>
          <w:kern w:val="0"/>
          <w:sz w:val="32"/>
          <w:szCs w:val="32"/>
          <w:shd w:val="clear" w:color="auto" w:fill="FFFFFF"/>
          <w:lang w:val="en-US" w:eastAsia="zh-CN"/>
        </w:rPr>
        <w:t xml:space="preserve"> </w:t>
      </w: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Times New Roman" w:hAnsi="Times New Roman" w:eastAsia="仿宋_GB2312" w:cs="仿宋_GB2312"/>
          <w:color w:val="000000"/>
          <w:kern w:val="0"/>
          <w:sz w:val="32"/>
          <w:szCs w:val="32"/>
          <w:shd w:val="clear" w:color="auto" w:fill="FFFFFF"/>
        </w:rPr>
      </w:pPr>
      <w:r>
        <w:rPr>
          <w:rFonts w:ascii="仿宋_GB2312" w:eastAsia="仿宋_GB2312" w:cs="仿宋_GB2312"/>
          <w:color w:val="000000"/>
          <w:kern w:val="0"/>
          <w:sz w:val="32"/>
          <w:szCs w:val="32"/>
          <w:shd w:val="clear" w:color="auto" w:fill="FFFFFF"/>
          <w:lang w:val="en-US" w:eastAsia="zh-CN"/>
        </w:rPr>
        <w:t>附表：</w:t>
      </w:r>
      <w:r>
        <w:rPr>
          <w:rFonts w:ascii="Times New Roman" w:hAnsi="Times New Roman" w:eastAsia="仿宋_GB2312" w:cs="仿宋_GB2312"/>
          <w:color w:val="000000"/>
          <w:kern w:val="0"/>
          <w:sz w:val="32"/>
          <w:szCs w:val="32"/>
          <w:shd w:val="clear" w:color="auto" w:fill="FFFFFF"/>
          <w:lang w:val="en-US" w:eastAsia="zh-CN"/>
        </w:rPr>
        <w:t>1.</w:t>
      </w:r>
      <w:r>
        <w:rPr>
          <w:rFonts w:ascii="仿宋_GB2312" w:eastAsia="仿宋_GB2312" w:cs="仿宋_GB2312"/>
          <w:color w:val="000000"/>
          <w:kern w:val="0"/>
          <w:sz w:val="32"/>
          <w:szCs w:val="32"/>
          <w:shd w:val="clear" w:color="auto" w:fill="FFFFFF"/>
          <w:lang w:val="en-US" w:eastAsia="zh-CN"/>
        </w:rPr>
        <w:t>项目资金分配涉及所有点位自评得分情况表</w:t>
      </w:r>
    </w:p>
    <w:p>
      <w:pPr>
        <w:keepNext w:val="0"/>
        <w:keepLines w:val="0"/>
        <w:widowControl w:val="0"/>
        <w:suppressLineNumbers w:val="0"/>
        <w:snapToGrid w:val="0"/>
        <w:spacing w:before="0" w:beforeAutospacing="0" w:after="0" w:afterAutospacing="0" w:line="578" w:lineRule="exact"/>
        <w:ind w:left="0" w:right="0" w:firstLine="1600" w:firstLineChars="500"/>
        <w:jc w:val="both"/>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仿宋_GB2312"/>
          <w:color w:val="000000"/>
          <w:kern w:val="0"/>
          <w:sz w:val="32"/>
          <w:szCs w:val="32"/>
          <w:shd w:val="clear" w:color="auto" w:fill="FFFFFF"/>
          <w:lang w:val="en-US" w:eastAsia="zh-CN"/>
        </w:rPr>
        <w:t>2.</w:t>
      </w:r>
      <w:r>
        <w:rPr>
          <w:rFonts w:ascii="仿宋_GB2312" w:eastAsia="仿宋_GB2312" w:cs="仿宋_GB2312"/>
          <w:color w:val="000000"/>
          <w:kern w:val="0"/>
          <w:sz w:val="32"/>
          <w:szCs w:val="32"/>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 xml:space="preserve"> 黑水县龙坝乡人民政府</w:t>
      </w:r>
    </w:p>
    <w:p>
      <w:pPr>
        <w:pStyle w:val="13"/>
        <w:jc w:val="right"/>
        <w:rPr>
          <w:rFonts w:hint="eastAsia" w:ascii="仿宋_GB2312" w:eastAsia="仿宋_GB2312" w:cs="仿宋_GB2312"/>
          <w:bCs/>
          <w:sz w:val="32"/>
          <w:szCs w:val="32"/>
          <w:lang w:val="en-US" w:eastAsia="zh-CN"/>
        </w:rPr>
      </w:pPr>
      <w:r>
        <w:rPr>
          <w:rFonts w:hint="eastAsia" w:ascii="方正小标宋简体" w:eastAsia="方正小标宋简体" w:cs="方正小标宋简体"/>
          <w:bCs/>
          <w:sz w:val="44"/>
          <w:szCs w:val="44"/>
          <w:lang w:val="en-US" w:eastAsia="zh-CN"/>
        </w:rPr>
        <w:t xml:space="preserve">                        </w:t>
      </w:r>
      <w:r>
        <w:rPr>
          <w:rFonts w:hint="eastAsia" w:ascii="仿宋_GB2312" w:eastAsia="仿宋_GB2312" w:cs="仿宋_GB2312"/>
          <w:bCs/>
          <w:sz w:val="32"/>
          <w:szCs w:val="32"/>
          <w:lang w:val="en-US" w:eastAsia="zh-CN"/>
        </w:rPr>
        <w:t>202</w:t>
      </w:r>
      <w:r>
        <w:rPr>
          <w:rFonts w:hint="eastAsia" w:ascii="仿宋_GB2312" w:cs="仿宋_GB2312"/>
          <w:bCs/>
          <w:sz w:val="32"/>
          <w:szCs w:val="32"/>
          <w:lang w:val="en-US" w:eastAsia="zh-CN"/>
        </w:rPr>
        <w:t>4</w:t>
      </w:r>
      <w:r>
        <w:rPr>
          <w:rFonts w:hint="eastAsia" w:ascii="仿宋_GB2312" w:eastAsia="仿宋_GB2312" w:cs="仿宋_GB2312"/>
          <w:bCs/>
          <w:sz w:val="32"/>
          <w:szCs w:val="32"/>
          <w:lang w:val="en-US" w:eastAsia="zh-CN"/>
        </w:rPr>
        <w:t>年</w:t>
      </w:r>
      <w:r>
        <w:rPr>
          <w:rFonts w:hint="eastAsia" w:ascii="仿宋_GB2312" w:cs="仿宋_GB2312"/>
          <w:bCs/>
          <w:sz w:val="32"/>
          <w:szCs w:val="32"/>
          <w:lang w:val="en-US" w:eastAsia="zh-CN"/>
        </w:rPr>
        <w:t xml:space="preserve"> 9</w:t>
      </w:r>
      <w:r>
        <w:rPr>
          <w:rFonts w:hint="eastAsia" w:ascii="仿宋_GB2312" w:eastAsia="仿宋_GB2312" w:cs="仿宋_GB2312"/>
          <w:bCs/>
          <w:sz w:val="32"/>
          <w:szCs w:val="32"/>
          <w:lang w:val="en-US" w:eastAsia="zh-CN"/>
        </w:rPr>
        <w:t>月</w:t>
      </w:r>
      <w:r>
        <w:rPr>
          <w:rFonts w:hint="eastAsia" w:ascii="仿宋_GB2312" w:cs="仿宋_GB2312"/>
          <w:bCs/>
          <w:sz w:val="32"/>
          <w:szCs w:val="32"/>
          <w:lang w:val="en-US" w:eastAsia="zh-CN"/>
        </w:rPr>
        <w:t xml:space="preserve"> 25</w:t>
      </w:r>
      <w:r>
        <w:rPr>
          <w:rFonts w:hint="eastAsia" w:ascii="仿宋_GB2312" w:eastAsia="仿宋_GB2312" w:cs="仿宋_GB2312"/>
          <w:bCs/>
          <w:sz w:val="32"/>
          <w:szCs w:val="32"/>
          <w:lang w:val="en-US" w:eastAsia="zh-CN"/>
        </w:rPr>
        <w:t>日</w:t>
      </w:r>
    </w:p>
    <w:p>
      <w:pPr>
        <w:pStyle w:val="10"/>
        <w:ind w:left="0" w:leftChars="0" w:firstLine="0" w:firstLineChars="0"/>
        <w:rPr>
          <w:rFonts w:hint="eastAsia" w:ascii="黑体" w:eastAsia="黑体" w:cs="黑体"/>
          <w:kern w:val="2"/>
          <w:sz w:val="32"/>
          <w:szCs w:val="32"/>
          <w:lang w:val="en-US" w:eastAsia="zh-CN" w:bidi="ar-SA"/>
        </w:rPr>
      </w:pPr>
    </w:p>
    <w:p>
      <w:pPr>
        <w:pStyle w:val="10"/>
        <w:ind w:left="0" w:leftChars="0" w:firstLine="0" w:firstLineChars="0"/>
        <w:rPr>
          <w:rFonts w:hint="eastAsia" w:ascii="黑体" w:eastAsia="黑体" w:cs="黑体"/>
          <w:kern w:val="2"/>
          <w:sz w:val="32"/>
          <w:szCs w:val="32"/>
          <w:lang w:val="en-US" w:eastAsia="zh-CN" w:bidi="ar-SA"/>
        </w:rPr>
      </w:pPr>
    </w:p>
    <w:p>
      <w:pPr>
        <w:keepNext w:val="0"/>
        <w:keepLines w:val="0"/>
        <w:widowControl w:val="0"/>
        <w:suppressLineNumbers w:val="0"/>
        <w:snapToGrid w:val="0"/>
        <w:spacing w:before="0" w:beforeAutospacing="0" w:after="0" w:afterAutospacing="0" w:line="578" w:lineRule="exact"/>
        <w:ind w:left="0" w:right="0"/>
        <w:jc w:val="both"/>
        <w:rPr>
          <w:rFonts w:hint="eastAsia" w:ascii="黑体" w:eastAsia="黑体" w:cs="黑体"/>
          <w:kern w:val="0"/>
          <w:sz w:val="32"/>
          <w:szCs w:val="32"/>
          <w:shd w:val="clear" w:color="auto" w:fill="FFFFFF"/>
        </w:rPr>
      </w:pPr>
      <w:r>
        <w:rPr>
          <w:rFonts w:ascii="Times New Roman" w:hAnsi="Times New Roman" w:eastAsia="仿宋_GB2312" w:cs="仿宋_GB2312"/>
          <w:color w:val="000000"/>
          <w:kern w:val="0"/>
          <w:sz w:val="32"/>
          <w:szCs w:val="32"/>
          <w:shd w:val="clear" w:color="auto" w:fill="FFFFFF"/>
          <w:lang w:val="en-US" w:eastAsia="zh-CN"/>
        </w:rPr>
        <w:br w:type="page"/>
      </w:r>
      <w:r>
        <w:rPr>
          <w:rFonts w:ascii="仿宋_GB2312" w:eastAsia="仿宋_GB2312" w:cs="仿宋_GB2312"/>
          <w:kern w:val="0"/>
          <w:sz w:val="32"/>
          <w:szCs w:val="32"/>
          <w:lang w:val="en-US" w:eastAsia="zh-CN"/>
        </w:rPr>
        <w:t>附表1</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 xml:space="preserve"> </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项目资金分配涉及所有点位自评得分情况表</w:t>
      </w:r>
    </w:p>
    <w:tbl>
      <w:tblPr>
        <w:tblStyle w:val="11"/>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序号</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项目资金末端分配点位</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自评得分（百分制）</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kern w:val="2"/>
                <w:sz w:val="24"/>
                <w:szCs w:val="24"/>
              </w:rPr>
            </w:pPr>
            <w:r>
              <w:rPr>
                <w:rFonts w:hint="eastAsia" w:ascii="宋体" w:eastAsia="宋体" w:cs="宋体"/>
                <w:kern w:val="2"/>
                <w:sz w:val="24"/>
                <w:szCs w:val="24"/>
                <w:lang w:val="en-US" w:eastAsia="zh-CN"/>
              </w:rPr>
              <w:t>1</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lang w:val="en-US"/>
              </w:rPr>
            </w:pPr>
            <w:r>
              <w:rPr>
                <w:rFonts w:hint="eastAsia" w:ascii="宋体" w:hAnsi="宋体" w:eastAsia="仿宋_GB2312" w:cs="宋体"/>
                <w:kern w:val="2"/>
                <w:sz w:val="24"/>
                <w:szCs w:val="24"/>
                <w:lang w:val="en-US" w:eastAsia="zh-CN"/>
              </w:rPr>
              <w:t>龙坝乡人民政府</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lang w:val="en-US"/>
              </w:rPr>
            </w:pPr>
            <w:r>
              <w:rPr>
                <w:rFonts w:ascii="宋体" w:hAnsi="宋体" w:eastAsia="仿宋_GB2312" w:cs="宋体"/>
                <w:kern w:val="2"/>
                <w:sz w:val="24"/>
                <w:szCs w:val="24"/>
                <w:lang w:val="en-US" w:eastAsia="zh-CN"/>
              </w:rPr>
              <w:t>100</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rPr>
            </w:pPr>
          </w:p>
        </w:tc>
      </w:tr>
    </w:tbl>
    <w:p>
      <w:pPr>
        <w:keepNext w:val="0"/>
        <w:keepLines w:val="0"/>
        <w:widowControl w:val="0"/>
        <w:suppressLineNumbers w:val="0"/>
        <w:spacing w:before="0" w:beforeAutospacing="0" w:after="0" w:afterAutospacing="0" w:line="400" w:lineRule="exact"/>
        <w:ind w:left="0" w:right="0"/>
        <w:jc w:val="left"/>
        <w:rPr>
          <w:rFonts w:hint="eastAsia" w:ascii="宋体" w:eastAsia="宋体" w:cs="宋体"/>
          <w:kern w:val="2"/>
          <w:sz w:val="21"/>
          <w:szCs w:val="21"/>
        </w:rPr>
      </w:pPr>
      <w:r>
        <w:rPr>
          <w:rFonts w:hint="eastAsia" w:ascii="宋体" w:eastAsia="宋体" w:cs="宋体"/>
          <w:kern w:val="2"/>
          <w:sz w:val="21"/>
          <w:szCs w:val="21"/>
          <w:lang w:val="en-US" w:eastAsia="zh-CN"/>
        </w:rPr>
        <w:t>备注：1.项目资金末端分配点位包括市（州）本级、县（市、区）、省级部门下属单位及一次性单位等。</w:t>
      </w:r>
    </w:p>
    <w:p>
      <w:pPr>
        <w:keepNext w:val="0"/>
        <w:keepLines w:val="0"/>
        <w:widowControl w:val="0"/>
        <w:suppressLineNumbers w:val="0"/>
        <w:spacing w:before="0" w:beforeAutospacing="0" w:after="0" w:afterAutospacing="0" w:line="400" w:lineRule="exact"/>
        <w:ind w:left="0" w:right="0" w:firstLine="630" w:firstLineChars="300"/>
        <w:jc w:val="left"/>
        <w:rPr>
          <w:rFonts w:hint="eastAsia" w:ascii="宋体" w:eastAsia="宋体" w:cs="宋体"/>
          <w:kern w:val="2"/>
          <w:sz w:val="21"/>
          <w:szCs w:val="21"/>
        </w:rPr>
      </w:pPr>
      <w:r>
        <w:rPr>
          <w:rFonts w:hint="eastAsia" w:ascii="宋体" w:eastAsia="宋体" w:cs="宋体"/>
          <w:kern w:val="2"/>
          <w:sz w:val="21"/>
          <w:szCs w:val="21"/>
          <w:lang w:val="en-US" w:eastAsia="zh-CN"/>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widowControl w:val="0"/>
        <w:suppressLineNumbers w:val="0"/>
        <w:spacing w:before="0" w:beforeAutospacing="0" w:after="0" w:afterAutospacing="0"/>
        <w:ind w:left="0" w:right="0"/>
        <w:jc w:val="both"/>
        <w:rPr>
          <w:rFonts w:ascii="仿宋_GB2312" w:eastAsia="仿宋_GB2312" w:cs="仿宋_GB2312"/>
          <w:kern w:val="0"/>
          <w:sz w:val="32"/>
          <w:szCs w:val="32"/>
        </w:rPr>
      </w:pPr>
      <w:r>
        <w:rPr>
          <w:rFonts w:ascii="Times New Roman" w:hAnsi="Times New Roman" w:eastAsia="仿宋_GB2312" w:cs="仿宋_GB2312"/>
          <w:kern w:val="2"/>
          <w:sz w:val="32"/>
          <w:szCs w:val="32"/>
          <w:lang w:val="en-US" w:eastAsia="zh-CN"/>
        </w:rPr>
        <w:br w:type="page"/>
      </w:r>
      <w:r>
        <w:rPr>
          <w:rFonts w:ascii="仿宋_GB2312" w:eastAsia="仿宋_GB2312" w:cs="仿宋_GB2312"/>
          <w:kern w:val="0"/>
          <w:sz w:val="32"/>
          <w:szCs w:val="32"/>
          <w:lang w:val="en-US" w:eastAsia="zh-CN"/>
        </w:rPr>
        <w:t>附表2</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600" w:lineRule="exact"/>
              <w:ind w:left="0" w:right="0"/>
              <w:jc w:val="center"/>
              <w:textAlignment w:val="center"/>
              <w:rPr>
                <w:rFonts w:hint="eastAsia" w:ascii="黑体" w:eastAsia="黑体" w:cs="黑体"/>
                <w:color w:val="000000"/>
                <w:kern w:val="2"/>
                <w:sz w:val="30"/>
                <w:szCs w:val="30"/>
              </w:rPr>
            </w:pPr>
            <w:r>
              <w:rPr>
                <w:rFonts w:ascii="方正小标宋简体" w:eastAsia="方正小标宋简体" w:cs="方正小标宋简体"/>
                <w:color w:val="000000"/>
                <w:kern w:val="0"/>
                <w:sz w:val="40"/>
                <w:szCs w:val="40"/>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项目名称</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eastAsia="宋体" w:cs="宋体"/>
                <w:color w:val="000000"/>
                <w:kern w:val="0"/>
                <w:sz w:val="24"/>
                <w:szCs w:val="24"/>
                <w:lang w:val="en-US" w:eastAsia="zh-CN"/>
              </w:rPr>
              <w:t>龙坝乡</w:t>
            </w:r>
            <w:r>
              <w:rPr>
                <w:rFonts w:hint="eastAsia" w:ascii="宋体" w:cs="宋体"/>
                <w:color w:val="000000"/>
                <w:kern w:val="0"/>
                <w:sz w:val="24"/>
                <w:szCs w:val="24"/>
                <w:lang w:val="en-US" w:eastAsia="zh-CN"/>
              </w:rPr>
              <w:t>人大</w:t>
            </w:r>
            <w:r>
              <w:rPr>
                <w:rFonts w:hint="eastAsia" w:ascii="宋体" w:eastAsia="宋体" w:cs="宋体"/>
                <w:color w:val="000000"/>
                <w:kern w:val="0"/>
                <w:sz w:val="24"/>
                <w:szCs w:val="24"/>
                <w:lang w:val="en-US" w:eastAsia="zh-CN"/>
              </w:rPr>
              <w:t>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预算单位</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黑水县龙坝乡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项目类型</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Times New Roman" w:hAnsi="Times New Roman" w:eastAsia="仿宋_GB2312" w:cs="仿宋_GB2312"/>
                <w:kern w:val="2"/>
                <w:sz w:val="32"/>
                <w:szCs w:val="32"/>
              </w:rPr>
            </w:pPr>
            <w:r>
              <w:rPr>
                <w:rFonts w:hint="eastAsia" w:ascii="宋体" w:eastAsia="宋体" w:cs="宋体"/>
                <w:color w:val="000000"/>
                <w:kern w:val="0"/>
                <w:sz w:val="24"/>
                <w:szCs w:val="24"/>
                <w:lang w:val="en-US" w:eastAsia="zh-CN"/>
              </w:rPr>
              <w:t>经常性项目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 概况</w:t>
            </w: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中长期规划（名称、文号，仅指</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常年项目）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资金管理办法（名称、文号）</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绩效分配方式</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因素法</w:t>
            </w:r>
          </w:p>
        </w:tc>
        <w:tc>
          <w:tcPr>
            <w:tcW w:w="203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£项目法</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据实据效</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Arial" w:hAnsi="Arial" w:eastAsia="宋体" w:cs="Arial"/>
                <w:color w:val="000000"/>
                <w:kern w:val="0"/>
                <w:sz w:val="24"/>
                <w:szCs w:val="24"/>
                <w:lang w:val="en-US" w:eastAsia="zh-CN"/>
              </w:rPr>
              <w:t>√</w:t>
            </w:r>
            <w:r>
              <w:rPr>
                <w:rFonts w:hint="eastAsia" w:ascii="宋体" w:eastAsia="宋体" w:cs="宋体"/>
                <w:color w:val="000000"/>
                <w:kern w:val="0"/>
                <w:sz w:val="24"/>
                <w:szCs w:val="24"/>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立项依据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使用范围</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cs="宋体"/>
                <w:color w:val="000000"/>
                <w:kern w:val="0"/>
                <w:sz w:val="24"/>
                <w:szCs w:val="24"/>
                <w:lang w:val="en-US" w:eastAsia="zh-CN"/>
              </w:rPr>
              <w:t>用于乡人大日常工作开展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申报（补助）条件</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项目起止年限</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Times New Roman" w:hAnsi="Times New Roman" w:eastAsia="宋体" w:cs="宋体"/>
                <w:color w:val="000000"/>
                <w:kern w:val="0"/>
                <w:sz w:val="24"/>
                <w:szCs w:val="24"/>
                <w:lang w:val="en-US" w:eastAsia="zh-CN"/>
              </w:rPr>
              <w:t>2023</w:t>
            </w:r>
            <w:r>
              <w:rPr>
                <w:rFonts w:hint="eastAsia" w:ascii="宋体" w:eastAsia="宋体" w:cs="宋体"/>
                <w:color w:val="000000"/>
                <w:kern w:val="0"/>
                <w:sz w:val="24"/>
                <w:szCs w:val="24"/>
                <w:lang w:val="en-US" w:eastAsia="zh-CN"/>
              </w:rPr>
              <w:t>年</w:t>
            </w:r>
            <w:r>
              <w:rPr>
                <w:rFonts w:hint="eastAsia" w:ascii="Times New Roman" w:hAnsi="Times New Roman" w:eastAsia="宋体" w:cs="宋体"/>
                <w:color w:val="000000"/>
                <w:kern w:val="0"/>
                <w:sz w:val="24"/>
                <w:szCs w:val="24"/>
                <w:lang w:val="en-US" w:eastAsia="zh-CN"/>
              </w:rPr>
              <w:t>1月至</w:t>
            </w:r>
            <w:r>
              <w:rPr>
                <w:rFonts w:ascii="Times New Roman" w:hAnsi="Times New Roman" w:eastAsia="宋体" w:cs="Times New Roman"/>
                <w:color w:val="000000"/>
                <w:kern w:val="0"/>
                <w:sz w:val="24"/>
                <w:szCs w:val="24"/>
                <w:lang w:val="en-US" w:eastAsia="zh-CN"/>
              </w:rPr>
              <w:t>2023</w:t>
            </w:r>
            <w:r>
              <w:rPr>
                <w:rFonts w:hint="eastAsia" w:ascii="Times New Roman" w:hAnsi="Times New Roman" w:eastAsia="宋体" w:cs="宋体"/>
                <w:color w:val="000000"/>
                <w:kern w:val="0"/>
                <w:sz w:val="24"/>
                <w:szCs w:val="24"/>
                <w:lang w:val="en-US" w:eastAsia="zh-CN"/>
              </w:rPr>
              <w:t>年</w:t>
            </w:r>
            <w:r>
              <w:rPr>
                <w:rFonts w:ascii="Times New Roman" w:hAnsi="Times New Roman" w:eastAsia="宋体" w:cs="Times New Roman"/>
                <w:color w:val="000000"/>
                <w:kern w:val="0"/>
                <w:sz w:val="24"/>
                <w:szCs w:val="24"/>
                <w:lang w:val="en-US" w:eastAsia="zh-CN"/>
              </w:rPr>
              <w:t>1</w:t>
            </w:r>
            <w:r>
              <w:rPr>
                <w:rFonts w:hint="eastAsia" w:ascii="Times New Roman" w:hAnsi="Times New Roman" w:eastAsia="宋体" w:cs="宋体"/>
                <w:color w:val="000000"/>
                <w:kern w:val="0"/>
                <w:sz w:val="24"/>
                <w:szCs w:val="24"/>
                <w:lang w:val="en-US" w:eastAsia="zh-CN"/>
              </w:rPr>
              <w:t>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项目资金</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（万元）</w:t>
            </w: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年度资金总额：</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其中：财政拨款</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其他资金</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总体 目标</w:t>
            </w: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一级指标</w:t>
            </w:r>
          </w:p>
        </w:tc>
        <w:tc>
          <w:tcPr>
            <w:tcW w:w="125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二级指标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三级指标</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指标性质</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指标值</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度量单位</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权重</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2"/>
                <w:sz w:val="24"/>
                <w:szCs w:val="24"/>
              </w:rPr>
            </w:pPr>
            <w:r>
              <w:rPr>
                <w:rFonts w:hint="eastAsia" w:ascii="等线" w:eastAsia="等线" w:cs="等线"/>
                <w:i w:val="0"/>
                <w:color w:val="000000"/>
                <w:kern w:val="0"/>
                <w:sz w:val="18"/>
                <w:szCs w:val="18"/>
                <w:u w:val="none"/>
                <w:lang w:val="en-US" w:eastAsia="zh-CN"/>
              </w:rPr>
              <w:t>产出指标</w:t>
            </w:r>
          </w:p>
        </w:tc>
        <w:tc>
          <w:tcPr>
            <w:tcW w:w="1250" w:type="dxa"/>
            <w:tcBorders>
              <w:top w:val="nil"/>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数量</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ind w:left="0" w:right="0"/>
              <w:rPr>
                <w:rFonts w:hint="eastAsia" w:asci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100</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ascii="Times New Roman" w:hAnsi="Times New Roman" w:cs="Times New Roman"/>
                <w:sz w:val="20"/>
                <w:szCs w:val="20"/>
              </w:rPr>
            </w:pPr>
            <w:r>
              <w:rPr>
                <w:rFonts w:hint="eastAsia" w:ascii="等线" w:eastAsia="等线" w:cs="等线"/>
                <w:i w:val="0"/>
                <w:color w:val="000000"/>
                <w:kern w:val="0"/>
                <w:sz w:val="18"/>
                <w:szCs w:val="18"/>
                <w:u w:val="none"/>
                <w:lang w:val="en-US" w:eastAsia="zh-CN"/>
              </w:rPr>
              <w:t>效益指标</w:t>
            </w:r>
          </w:p>
        </w:tc>
        <w:tc>
          <w:tcPr>
            <w:tcW w:w="1250" w:type="dxa"/>
            <w:tcBorders>
              <w:top w:val="nil"/>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ascii="Times New Roman" w:hAnsi="Times New Roman" w:cs="Times New Roman"/>
                <w:sz w:val="20"/>
                <w:szCs w:val="20"/>
              </w:rPr>
            </w:pPr>
            <w:r>
              <w:rPr>
                <w:rFonts w:hint="eastAsia" w:ascii="等线" w:eastAsia="等线" w:cs="等线"/>
                <w:i w:val="0"/>
                <w:color w:val="000000"/>
                <w:kern w:val="0"/>
                <w:sz w:val="18"/>
                <w:szCs w:val="18"/>
                <w:u w:val="none"/>
                <w:lang w:val="en-US" w:eastAsia="zh-CN"/>
              </w:rPr>
              <w:t>经济效益指标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效益</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ind w:left="0" w:right="0"/>
              <w:rPr>
                <w:rFonts w:hint="eastAsia" w:asci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100</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40</w:t>
            </w:r>
          </w:p>
        </w:tc>
      </w:tr>
    </w:tbl>
    <w:p>
      <w:pPr>
        <w:pStyle w:val="9"/>
        <w:keepNext w:val="0"/>
        <w:keepLines w:val="0"/>
        <w:widowControl w:val="0"/>
        <w:suppressLineNumbers w:val="0"/>
        <w:spacing w:before="0" w:beforeAutospacing="1" w:after="0" w:afterAutospacing="0" w:line="578" w:lineRule="exact"/>
        <w:ind w:left="0" w:right="0" w:firstLine="0"/>
        <w:jc w:val="both"/>
        <w:rPr>
          <w:rFonts w:hint="eastAsia" w:ascii="黑体" w:eastAsia="黑体" w:cs="黑体"/>
          <w:kern w:val="2"/>
          <w:sz w:val="24"/>
          <w:szCs w:val="24"/>
        </w:rPr>
      </w:pPr>
    </w:p>
    <w:p>
      <w:pPr>
        <w:pStyle w:val="2"/>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00000000000000000"/>
    <w:charset w:val="86"/>
    <w:family w:val="script"/>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仿宋_GB2312"/>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6F349F"/>
    <w:multiLevelType w:val="singleLevel"/>
    <w:tmpl w:val="C96F349F"/>
    <w:lvl w:ilvl="0" w:tentative="0">
      <w:start w:val="2"/>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docVars>
    <w:docVar w:name="commondata" w:val="eyJoZGlkIjoiYzhkOTAyNTNiN2RjZTVmYzdkNmJkZjc0ZTg5ZTc3YWIifQ=="/>
  </w:docVars>
  <w:rsids>
    <w:rsidRoot w:val="00000000"/>
    <w:rsid w:val="1CEF41BD"/>
    <w:rsid w:val="3DEB5D88"/>
    <w:rsid w:val="4F504627"/>
    <w:rsid w:val="6EF4DBFF"/>
    <w:rsid w:val="73FEEF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widowControl w:val="0"/>
      <w:spacing w:before="340" w:after="330" w:line="578" w:lineRule="auto"/>
      <w:outlineLvl w:val="0"/>
    </w:pPr>
    <w:rPr>
      <w:b/>
      <w:bCs/>
      <w:kern w:val="44"/>
      <w:sz w:val="44"/>
    </w:rPr>
  </w:style>
  <w:style w:type="paragraph" w:styleId="5">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6">
    <w:name w:val="heading 3"/>
    <w:basedOn w:val="1"/>
    <w:next w:val="1"/>
    <w:qFormat/>
    <w:uiPriority w:val="0"/>
    <w:pPr>
      <w:keepNext/>
      <w:keepLines/>
      <w:widowControl w:val="0"/>
      <w:spacing w:before="260" w:beforeAutospacing="0" w:after="260" w:afterAutospacing="0" w:line="413" w:lineRule="auto"/>
      <w:outlineLvl w:val="2"/>
    </w:pPr>
    <w:rPr>
      <w:b/>
      <w:sz w:val="32"/>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00" w:beforeAutospacing="1" w:after="120"/>
    </w:pPr>
  </w:style>
  <w:style w:type="paragraph" w:styleId="3">
    <w:name w:val="Body Text First Indent"/>
    <w:basedOn w:val="2"/>
    <w:qFormat/>
    <w:uiPriority w:val="0"/>
    <w:pPr>
      <w:ind w:firstLine="100" w:firstLineChars="100"/>
    </w:pPr>
  </w:style>
  <w:style w:type="paragraph" w:styleId="7">
    <w:name w:val="Body Text Indent"/>
    <w:basedOn w:val="1"/>
    <w:qFormat/>
    <w:uiPriority w:val="0"/>
    <w:pPr>
      <w:spacing w:line="500" w:lineRule="exact"/>
      <w:ind w:firstLine="240" w:firstLineChars="240"/>
    </w:pPr>
    <w:rPr>
      <w:rFonts w:ascii="仿宋_GB2312" w:hAnsi="仿宋_GB2312"/>
      <w:b/>
      <w:sz w:val="30"/>
      <w:szCs w:val="24"/>
    </w:rPr>
  </w:style>
  <w:style w:type="paragraph" w:styleId="8">
    <w:name w:val="footer"/>
    <w:basedOn w:val="1"/>
    <w:qFormat/>
    <w:uiPriority w:val="0"/>
    <w:pPr>
      <w:tabs>
        <w:tab w:val="center" w:pos="4153"/>
        <w:tab w:val="right" w:pos="8306"/>
      </w:tabs>
      <w:snapToGrid w:val="0"/>
      <w:jc w:val="left"/>
    </w:pPr>
    <w:rPr>
      <w:sz w:val="18"/>
      <w:szCs w:val="18"/>
      <w:lang w:val="zh-CN" w:eastAsia="zh-CN"/>
    </w:rPr>
  </w:style>
  <w:style w:type="paragraph" w:styleId="9">
    <w:name w:val="Normal (Web)"/>
    <w:basedOn w:val="1"/>
    <w:qFormat/>
    <w:uiPriority w:val="0"/>
    <w:rPr>
      <w:sz w:val="24"/>
    </w:rPr>
  </w:style>
  <w:style w:type="paragraph" w:styleId="10">
    <w:name w:val="Body Text First Indent 2"/>
    <w:basedOn w:val="7"/>
    <w:qFormat/>
    <w:uiPriority w:val="0"/>
    <w:pPr>
      <w:keepNext w:val="0"/>
      <w:keepLines w:val="0"/>
      <w:widowControl w:val="0"/>
      <w:suppressLineNumbers w:val="0"/>
      <w:spacing w:before="0" w:beforeAutospacing="0" w:after="120" w:afterAutospacing="0"/>
      <w:ind w:left="200" w:leftChars="200" w:right="0" w:firstLine="200" w:firstLineChars="200"/>
      <w:jc w:val="both"/>
    </w:pPr>
    <w:rPr>
      <w:rFonts w:ascii="Times New Roman" w:hAnsi="Times New Roman" w:eastAsia="宋体" w:cs="Times New Roman"/>
      <w:kern w:val="2"/>
      <w:sz w:val="21"/>
      <w:szCs w:val="24"/>
      <w:lang w:val="en-US" w:eastAsia="zh-CN" w:bidi="ar-SA"/>
    </w:rPr>
  </w:style>
  <w:style w:type="paragraph" w:customStyle="1" w:styleId="13">
    <w:name w:val="图表目录1"/>
    <w:basedOn w:val="1"/>
    <w:next w:val="1"/>
    <w:qFormat/>
    <w:uiPriority w:val="0"/>
    <w:pPr>
      <w:ind w:left="400" w:leftChars="200" w:hanging="200" w:hanging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13</Pages>
  <Words>5413</Words>
  <Characters>5524</Characters>
  <Lines>341</Lines>
  <Paragraphs>167</Paragraphs>
  <TotalTime>17</TotalTime>
  <ScaleCrop>false</ScaleCrop>
  <LinksUpToDate>false</LinksUpToDate>
  <CharactersWithSpaces>5618</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2023-08-24T23:37:00Z</dcterms:created>
  <dc:creator>两个人的烟火</dc:creator>
  <cp:lastModifiedBy>user</cp:lastModifiedBy>
  <dcterms:modified xsi:type="dcterms:W3CDTF">2024-11-07T11:04:12Z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F458B0F45099434FAC59F0EFC705C38F_13</vt:lpwstr>
  </property>
</Properties>
</file>