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  <w:t>黑水县龙坝乡人民政府</w:t>
      </w:r>
    </w:p>
    <w:p>
      <w:pPr>
        <w:jc w:val="center"/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  <w:t>202</w:t>
      </w:r>
      <w:r>
        <w:rPr>
          <w:rFonts w:hint="eastAsia" w:ascii="方正小标宋简体" w:eastAsia="方正小标宋简体" w:cs="黑体"/>
          <w:b w:val="0"/>
          <w:kern w:val="2"/>
          <w:sz w:val="40"/>
          <w:szCs w:val="40"/>
          <w:lang w:val="en-US" w:eastAsia="zh-CN" w:bidi="ar-SA"/>
        </w:rPr>
        <w:t>3</w:t>
      </w:r>
      <w:r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  <w:t>年</w:t>
      </w:r>
      <w:r>
        <w:rPr>
          <w:rFonts w:hint="eastAsia" w:ascii="方正小标宋简体" w:eastAsia="方正小标宋简体" w:cs="黑体"/>
          <w:b w:val="0"/>
          <w:kern w:val="2"/>
          <w:sz w:val="40"/>
          <w:szCs w:val="40"/>
          <w:lang w:val="en-US" w:eastAsia="zh-CN" w:bidi="ar-SA"/>
        </w:rPr>
        <w:t>瓜苏村甜樱桃产业基地配套设施建设</w:t>
      </w:r>
      <w:r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  <w:t>项目绩效自评报告</w:t>
      </w:r>
    </w:p>
    <w:p>
      <w:pPr>
        <w:jc w:val="center"/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</w:pPr>
    </w:p>
    <w:p>
      <w:pPr>
        <w:ind w:firstLine="722" w:firstLineChars="200"/>
        <w:rPr>
          <w:rFonts w:hint="eastAsia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一、项目概况</w:t>
      </w:r>
    </w:p>
    <w:p>
      <w:pPr>
        <w:numPr>
          <w:ilvl w:val="0"/>
          <w:numId w:val="0"/>
        </w:numPr>
        <w:ind w:firstLine="642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（一）设立背景及基本情况。</w:t>
      </w:r>
    </w:p>
    <w:p>
      <w:pPr>
        <w:adjustRightInd w:val="0"/>
        <w:snapToGrid w:val="0"/>
        <w:spacing w:line="520" w:lineRule="exact"/>
        <w:ind w:firstLine="656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" w:hAnsi="仿宋" w:eastAsia="仿宋" w:cs="仿宋"/>
          <w:spacing w:val="4"/>
          <w:sz w:val="32"/>
          <w:szCs w:val="32"/>
          <w:lang w:eastAsia="zh-CN"/>
        </w:rPr>
        <w:t>我乡根据黑水县</w:t>
      </w:r>
      <w:r>
        <w:rPr>
          <w:rFonts w:hint="eastAsia" w:ascii="仿宋" w:hAnsi="仿宋" w:eastAsia="仿宋" w:cs="仿宋"/>
          <w:spacing w:val="4"/>
          <w:sz w:val="32"/>
          <w:szCs w:val="32"/>
          <w:lang w:val="en-US" w:eastAsia="zh-CN"/>
        </w:rPr>
        <w:t>2023年度财政衔接推进乡村振兴补助资金（巩固拓展脱贫攻坚成果和乡村振兴任务）年度项目实施计划安排，计划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实施龙坝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乡2023年瓜苏村甜樱桃产业基地配套设施建设项目。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642" w:firstLineChars="20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实施目的及支持方向。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为提升我乡瓜苏村产业发展，我乡拟定在瓜苏村实施“黑水县龙坝乡瓜苏村甜樱桃产业基地配套设施建设项目”。该项目位于瓜苏村，建设规模：（1）、150平方选果棚1间（不含设备）采用彩钢结构，使用年限15年，耐火等级四级；主要用于果品筛选、放置肥料等；（2）、3.5亩保温大棚共2间；大棚跨度15m；总高5m；侧高1.8m；结构形式：轻型钢结构，使用年限15年。（3）、三管入地建设60亩；化肥管采用DN32PE管；农药管采用DN10软管；清水管采用DN32PE管（4）、田间便道（10cm泥结碎石路面）500m，宽2.5m。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</w:t>
      </w:r>
    </w:p>
    <w:p>
      <w:pPr>
        <w:numPr>
          <w:ilvl w:val="0"/>
          <w:numId w:val="0"/>
        </w:numPr>
        <w:ind w:firstLine="642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（三）预算安排及分配管理。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2023年年初预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eastAsia="zh-CN"/>
        </w:rPr>
        <w:t>算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85.08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万元，调整后预算数85.08万元，预算执行数85.08万元。</w:t>
      </w:r>
    </w:p>
    <w:p>
      <w:pPr>
        <w:numPr>
          <w:ilvl w:val="0"/>
          <w:numId w:val="0"/>
        </w:numPr>
        <w:spacing w:line="560" w:lineRule="exact"/>
        <w:ind w:leftChars="200"/>
        <w:rPr>
          <w:rFonts w:hint="eastAsia" w:ascii="仿宋" w:hAnsi="仿宋" w:eastAsia="仿宋" w:cs="仿宋"/>
          <w:b/>
          <w:bCs/>
          <w:kern w:val="2"/>
          <w:sz w:val="32"/>
          <w:szCs w:val="32"/>
          <w:lang w:val="zh-CN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zh-CN" w:eastAsia="zh-CN" w:bidi="ar-SA"/>
        </w:rPr>
        <w:t>（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四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zh-CN" w:eastAsia="zh-CN" w:bidi="ar-SA"/>
        </w:rPr>
        <w:t>）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项目绩效目标设置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zh-CN" w:eastAsia="zh-CN" w:bidi="ar-SA"/>
        </w:rPr>
        <w:t>。</w:t>
      </w:r>
    </w:p>
    <w:p>
      <w:pPr>
        <w:numPr>
          <w:ilvl w:val="0"/>
          <w:numId w:val="0"/>
        </w:numPr>
        <w:spacing w:line="560" w:lineRule="exact"/>
        <w:ind w:leftChars="200" w:firstLine="320" w:firstLineChars="100"/>
        <w:rPr>
          <w:rFonts w:hint="eastAsia"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我乡</w:t>
      </w:r>
      <w:r>
        <w:rPr>
          <w:rFonts w:hint="eastAsia" w:ascii="仿宋_GB2312" w:hAnsi="宋体" w:eastAsia="仿宋_GB2312" w:cs="Times New Roman"/>
          <w:sz w:val="32"/>
          <w:szCs w:val="32"/>
        </w:rPr>
        <w:t>承担专项资金绩效管理的主体责任，主要负责提出</w:t>
      </w:r>
    </w:p>
    <w:p>
      <w:pPr>
        <w:numPr>
          <w:ilvl w:val="0"/>
          <w:numId w:val="0"/>
        </w:numPr>
        <w:spacing w:line="560" w:lineRule="exact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2023年瓜苏村甜樱桃产业基地配套设施建设项目</w:t>
      </w:r>
      <w:r>
        <w:rPr>
          <w:rFonts w:hint="eastAsia" w:ascii="仿宋_GB2312" w:hAnsi="宋体" w:eastAsia="仿宋_GB2312" w:cs="Times New Roman"/>
          <w:sz w:val="32"/>
          <w:szCs w:val="32"/>
        </w:rPr>
        <w:t>资金分配方案，制定项目管理制度，组织项目评审和实施，开展项目验收、绩效评价和监督检查等工作。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578" w:lineRule="exact"/>
        <w:ind w:left="0" w:right="0" w:firstLine="640" w:firstLineChars="200"/>
        <w:jc w:val="both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二、评价实施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78" w:lineRule="exact"/>
        <w:ind w:left="0" w:right="0" w:firstLine="640"/>
        <w:jc w:val="both"/>
        <w:rPr>
          <w:rFonts w:hint="default" w:ascii="Times New Roman" w:hAnsi="Times New Roman" w:eastAsia="仿宋_GB2312" w:cs="仿宋_GB2312"/>
          <w:kern w:val="2"/>
          <w:sz w:val="32"/>
          <w:szCs w:val="32"/>
        </w:rPr>
      </w:pPr>
      <w:r>
        <w:rPr>
          <w:rFonts w:hint="default" w:ascii="楷体_GB2312" w:hAnsi="宋体" w:eastAsia="楷体_GB2312" w:cs="楷体_GB2312"/>
          <w:b/>
          <w:kern w:val="2"/>
          <w:sz w:val="32"/>
          <w:szCs w:val="32"/>
          <w:lang w:val="en-US" w:eastAsia="zh-CN" w:bidi="ar"/>
        </w:rPr>
        <w:t>（一）评价目的。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通过绩效评价，及时发现项目实施中存在的薄弱环节，总结推广好的经验和做法，进一步规范项目管理。</w:t>
      </w:r>
    </w:p>
    <w:p>
      <w:pPr>
        <w:numPr>
          <w:ilvl w:val="0"/>
          <w:numId w:val="2"/>
        </w:numPr>
        <w:adjustRightInd w:val="0"/>
        <w:snapToGrid w:val="0"/>
        <w:spacing w:beforeLines="0" w:afterLines="0" w:line="578" w:lineRule="exact"/>
        <w:ind w:firstLine="642" w:firstLineChars="200"/>
        <w:rPr>
          <w:rFonts w:hint="eastAsia" w:ascii="楷体_GB2312" w:hAnsi="宋体" w:eastAsia="楷体_GB2312"/>
          <w:b/>
          <w:color w:val="auto"/>
          <w:sz w:val="32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lang w:val="zh-CN"/>
        </w:rPr>
        <w:t>预设问题及评价重点。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1.长效机制建立情况。项目实施单位是否已建立项目实施管理制度等。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2.项目实施程序严密性。建设项目的招投标资料是否完整、真实，有无弄虚作假套取财政资金等问题。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3.资金拨付和使用的合规性。是否按国库集中支付规定办理资金拨付手续；是否不按时拨付，造成滞留资金积压；资金是否专款专用，是否随意变更项目内容及地点；是否遵守《现金管理暂行条例》规定；是否有挤古、挪用、截留等违纪违规等问题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4.信息的公开透明度。项目资金管理单位的公开公示情况。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5.财务管理和会计核算规范性。财务核算是否符合《中华人民共和国会计法》《会计基础工作规范》等要求、是否符合基本建设财务管理和会计制度规定。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6.项目实施单位绩效自评情况。项目实施单位是否严格按照预算绩效管理规定开展绩效自评。</w:t>
      </w:r>
    </w:p>
    <w:p>
      <w:pPr>
        <w:numPr>
          <w:ilvl w:val="0"/>
          <w:numId w:val="0"/>
        </w:numPr>
        <w:adjustRightInd w:val="0"/>
        <w:snapToGrid w:val="0"/>
        <w:spacing w:beforeLines="0" w:afterLines="0" w:line="578" w:lineRule="exact"/>
        <w:ind w:leftChars="200"/>
        <w:rPr>
          <w:rFonts w:hint="eastAsia"/>
          <w:sz w:val="32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lang w:val="zh-CN"/>
        </w:rPr>
        <w:t>（三）评价选点。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全乡</w:t>
      </w:r>
    </w:p>
    <w:p>
      <w:pPr>
        <w:adjustRightInd w:val="0"/>
        <w:snapToGrid w:val="0"/>
        <w:spacing w:beforeLines="0" w:afterLines="0" w:line="578" w:lineRule="exact"/>
        <w:ind w:firstLine="642" w:firstLineChars="200"/>
        <w:rPr>
          <w:rFonts w:hint="eastAsia" w:ascii="楷体_GB2312" w:hAnsi="宋体" w:eastAsia="楷体_GB2312"/>
          <w:b/>
          <w:color w:val="auto"/>
          <w:sz w:val="32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lang w:val="zh-CN"/>
        </w:rPr>
        <w:t>（四）评价方法。</w:t>
      </w:r>
    </w:p>
    <w:p>
      <w:pPr>
        <w:adjustRightInd w:val="0"/>
        <w:snapToGrid w:val="0"/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1.现场咨询。</w:t>
      </w:r>
    </w:p>
    <w:p>
      <w:pPr>
        <w:adjustRightInd w:val="0"/>
        <w:snapToGrid w:val="0"/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2.实施单位自评，形成完整自评资料。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（五）评价组织。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评价组人员由相关业务股室和项目单位代表组成，评价小组以检查账目、资料、电话核实等形式开展了现场评价。</w:t>
      </w:r>
    </w:p>
    <w:p>
      <w:pPr>
        <w:adjustRightInd w:val="0"/>
        <w:snapToGrid w:val="0"/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三、绩效分析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ab/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（一）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通用指标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绩效分析。指标分值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54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分，自评得分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51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分</w:t>
      </w:r>
    </w:p>
    <w:p>
      <w:pPr>
        <w:spacing w:beforeLines="0" w:afterLines="0" w:line="578" w:lineRule="exact"/>
        <w:ind w:left="420" w:left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1.项目决策。指标分值18分，自评得分15分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决策程序：项目设立、调整延续等方面符合资金管理基本规范和决策程序要求。指标分值6分，自评得分5分。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规划论证：项目规划论证符合中</w:t>
      </w:r>
      <w:r>
        <w:rPr>
          <w:rFonts w:hint="default" w:ascii="仿宋_GB2312" w:hAnsi="仿宋_GB2312" w:eastAsia="仿宋_GB2312" w:cs="Times New Roman"/>
          <w:kern w:val="2"/>
          <w:sz w:val="32"/>
          <w:szCs w:val="24"/>
          <w:lang w:eastAsia="zh-CN" w:bidi="ar-SA"/>
        </w:rPr>
        <w:t>央、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省</w:t>
      </w:r>
      <w:r>
        <w:rPr>
          <w:rFonts w:hint="default" w:ascii="仿宋_GB2312" w:hAnsi="仿宋_GB2312" w:eastAsia="仿宋_GB2312" w:cs="Times New Roman"/>
          <w:kern w:val="2"/>
          <w:sz w:val="32"/>
          <w:szCs w:val="24"/>
          <w:lang w:eastAsia="zh-CN" w:bidi="ar-SA"/>
        </w:rPr>
        <w:t>委</w:t>
      </w:r>
      <w:bookmarkStart w:id="0" w:name="_GoBack"/>
      <w:bookmarkEnd w:id="0"/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要求，项目绩效目标设置科学合理，项目资金与项目总体规划、相关行业事业发展相匹配，聚焦重大任务、重点领域、重点环节和重点项目。指标分值6分，自评得分5分。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资金投向：项目资金是与项目总体规划、相关行业事业发展相匹配，聚焦重大任务、重点领域、重点环节和重点项目。体现“集中财力办大事”原则，避免“撒胡椒面”。指标分值6分，自评得分5分。</w:t>
      </w:r>
    </w:p>
    <w:p>
      <w:pPr>
        <w:numPr>
          <w:ilvl w:val="0"/>
          <w:numId w:val="0"/>
        </w:num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2.项目管理。指标分值18分，自评得分18分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制度办法：项目制度办法体系健全、要素完备。资金管理办法等管理制度体系健全完善，不存在管理制度缺失、管理办法过期情况。指标分值2分，自评得分2分。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分配管理：项目资金分配因素选取、权重设置、区域分布，项目管理、审批符合管理要求，管资金、</w:t>
      </w:r>
      <w:r>
        <w:rPr>
          <w:rFonts w:hint="default" w:ascii="仿宋_GB2312" w:hAnsi="仿宋_GB2312" w:eastAsia="仿宋_GB2312" w:cs="Times New Roman"/>
          <w:kern w:val="2"/>
          <w:sz w:val="32"/>
          <w:szCs w:val="24"/>
          <w:lang w:eastAsia="zh-CN" w:bidi="ar-SA"/>
        </w:rPr>
        <w:t>管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项目、政策管绩效，项目绩效监管按要求开展，对下指导有力有效。指标分值10分，自评得分10分。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绩效监管:明确要求“事前评估”、“事中监控”、“事后评价”，层层把控，对相关人员进行绩效业务培训，使人人“懂理念、会分析”。并严抓项目决策是否科学的“牛鼻子”，力求项目决策科学。让项目“目标科学、全面”才能“拎得清”，“跟踪及时、严格”才能“管得准”，避免偏离轨道造成的损耗成本、影响质量、效率低下。“花钱必问效，无效必问责”，该局将绩效理念融入预算编制、执行、监督全过程，抓好项目效益是否提升的“落脚点”，发挥绩效评价导向作用，通过奖优惩劣，确保被评价单位把每一笔钱都用在刀刃上、紧要处，力求项目效益提升。指标分值6分，自评得分6分。</w:t>
      </w:r>
    </w:p>
    <w:p>
      <w:pPr>
        <w:numPr>
          <w:ilvl w:val="0"/>
          <w:numId w:val="0"/>
        </w:numPr>
        <w:spacing w:beforeLines="0" w:afterLines="0" w:line="578" w:lineRule="exact"/>
        <w:ind w:firstLine="640" w:firstLineChars="200"/>
        <w:rPr>
          <w:rFonts w:hint="eastAsia" w:ascii="楷体_GB2312" w:hAnsi="楷体_GB2312" w:eastAsia="楷体_GB2312"/>
          <w:color w:val="auto"/>
          <w:sz w:val="32"/>
        </w:rPr>
      </w:pPr>
      <w:r>
        <w:rPr>
          <w:rFonts w:hint="eastAsia" w:ascii="楷体_GB2312" w:hAnsi="楷体_GB2312" w:eastAsia="楷体_GB2312"/>
          <w:color w:val="auto"/>
          <w:sz w:val="32"/>
        </w:rPr>
        <w:t>3.项目实施。指标分值9分，自评得分9分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预算执行:项目预算资金170.96万元，支付170.96万元。指标分值6分，自评得分6分。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资金使用:项目资金使用、拨付符合国家财经法规、财务管理制度及有关专项资金管理制度办法规定和审批程序，不存在超范围、超标准、超进度使用专项资金，不存在资金损失浪费、长期沉淀、截留、挤占、挪用、虚列支出等情况。指标分值3分，自评得分3分。</w:t>
      </w:r>
    </w:p>
    <w:p>
      <w:pPr>
        <w:numPr>
          <w:ilvl w:val="0"/>
          <w:numId w:val="0"/>
        </w:numPr>
        <w:spacing w:beforeLines="0" w:afterLines="0" w:line="578" w:lineRule="exact"/>
        <w:ind w:firstLine="640" w:firstLineChars="200"/>
        <w:rPr>
          <w:rFonts w:hint="eastAsia" w:ascii="楷体_GB2312" w:hAnsi="楷体_GB2312" w:eastAsia="楷体_GB2312"/>
          <w:color w:val="auto"/>
          <w:sz w:val="32"/>
        </w:rPr>
      </w:pPr>
      <w:r>
        <w:rPr>
          <w:rFonts w:hint="eastAsia" w:ascii="楷体_GB2312" w:hAnsi="楷体_GB2312" w:eastAsia="楷体_GB2312"/>
          <w:color w:val="auto"/>
          <w:sz w:val="32"/>
        </w:rPr>
        <w:t>4.项目结果。指标分值9分，自评得分9分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目标完成：资金项目内容与具体实施内容相符的、申报目标是合理可行。项目运行成本、管理效率、履职效能、社会效应、可持续发展能力和服务对象满意度等方面均取得良好成果，预算绩效实现全覆盖。截止2023年底完成项目资金拨付。指标分值6分，自评得分6分。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完成时效：资金项目按照目标任务已于2023年底完成。指标分值3分，自评得分3分。</w:t>
      </w:r>
    </w:p>
    <w:p>
      <w:pPr>
        <w:spacing w:beforeLines="0" w:afterLines="0" w:line="578" w:lineRule="exact"/>
        <w:ind w:firstLine="642" w:firstLineChars="200"/>
        <w:rPr>
          <w:rFonts w:hint="eastAsia" w:ascii="楷体_GB2312" w:hAnsi="楷体_GB2312" w:eastAsia="楷体_GB2312"/>
          <w:color w:val="auto"/>
          <w:sz w:val="32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lang w:val="zh-CN"/>
        </w:rPr>
        <w:t>（二）</w:t>
      </w:r>
      <w:r>
        <w:rPr>
          <w:rFonts w:hint="eastAsia" w:ascii="楷体_GB2312" w:hAnsi="宋体" w:eastAsia="楷体_GB2312"/>
          <w:b/>
          <w:color w:val="auto"/>
          <w:sz w:val="32"/>
        </w:rPr>
        <w:t>专用指标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绩效分析。指标分值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</w:rPr>
        <w:t>30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分，自评得分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</w:rPr>
        <w:t>30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分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项目验收：该项目已完成项目验收，出具项目验收报告。指标分值10分，自评得分10分。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项</w:t>
      </w:r>
      <w:r>
        <w:rPr>
          <w:rFonts w:hint="default" w:ascii="仿宋_GB2312" w:hAnsi="仿宋_GB2312" w:eastAsia="仿宋_GB2312" w:cs="Times New Roman"/>
          <w:kern w:val="2"/>
          <w:sz w:val="32"/>
          <w:szCs w:val="24"/>
          <w:lang w:eastAsia="zh-CN" w:bidi="ar-SA"/>
        </w:rPr>
        <w:t>目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功能实现：</w:t>
      </w:r>
      <w:r>
        <w:rPr>
          <w:rFonts w:hint="default" w:ascii="仿宋_GB2312" w:hAnsi="仿宋_GB2312" w:eastAsia="仿宋_GB2312" w:cs="Times New Roman"/>
          <w:kern w:val="2"/>
          <w:sz w:val="32"/>
          <w:szCs w:val="24"/>
          <w:lang w:eastAsia="zh-CN" w:bidi="ar-SA"/>
        </w:rPr>
        <w:t>项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目资金分配均衡公平，资金实际支持对象符合管理要求，符合支持对象范围，资金实际补贴标准符合资金管理办法规定的补助标准，及时按标准兑现，资金涉及服务对象满意度不低于90%，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项目用途合规性、程序合规性、标准合规性。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指标分值10分，自评得分10分。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后续管护:建立明确的责任制度，确保每个环节都有专人负责。通过宣传和教育活动提高公众对项目管护的认识和参与度,以提高管理效率和质量。确保项目的长期效益和持续运行，提高项目的整体价值和社会的整体福利。指标分值10分，自评得分10分。</w:t>
      </w:r>
    </w:p>
    <w:p>
      <w:pPr>
        <w:numPr>
          <w:ilvl w:val="0"/>
          <w:numId w:val="2"/>
        </w:numPr>
        <w:spacing w:beforeLines="0" w:afterLines="0" w:line="578" w:lineRule="exact"/>
        <w:ind w:firstLine="642" w:firstLineChars="200"/>
        <w:rPr>
          <w:rFonts w:hint="default" w:eastAsia="楷体_GB2312"/>
          <w:b/>
          <w:color w:val="000000"/>
          <w:kern w:val="0"/>
          <w:sz w:val="32"/>
          <w:shd w:val="clear" w:color="auto" w:fill="FFFFFF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</w:rPr>
        <w:t>个性指标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绩效分析。指标分值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</w:rPr>
        <w:t>16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分，自评得分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</w:rPr>
        <w:t>16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分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 w:cs="Times New Roman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sz w:val="32"/>
          <w:lang w:eastAsia="zh-CN"/>
        </w:rPr>
        <w:t>我单位在规定内做好</w:t>
      </w:r>
      <w:r>
        <w:rPr>
          <w:rFonts w:hint="eastAsia" w:ascii="仿宋_GB2312" w:hAnsi="仿宋_GB2312" w:eastAsia="仿宋_GB2312" w:cs="Times New Roman"/>
          <w:sz w:val="32"/>
          <w:lang w:val="en-US" w:eastAsia="zh-CN"/>
        </w:rPr>
        <w:t>龙坝</w:t>
      </w:r>
      <w:r>
        <w:rPr>
          <w:rFonts w:hint="eastAsia" w:ascii="仿宋_GB2312" w:hAnsi="仿宋_GB2312" w:eastAsia="仿宋_GB2312" w:cs="Times New Roman"/>
          <w:sz w:val="32"/>
          <w:lang w:eastAsia="zh-CN"/>
        </w:rPr>
        <w:t>乡2023年</w:t>
      </w:r>
      <w:r>
        <w:rPr>
          <w:rFonts w:hint="eastAsia" w:ascii="仿宋_GB2312" w:hAnsi="仿宋_GB2312" w:eastAsia="仿宋_GB2312" w:cs="Times New Roman"/>
          <w:sz w:val="32"/>
          <w:lang w:val="en-US" w:eastAsia="zh-CN"/>
        </w:rPr>
        <w:t>瓜苏村基础设施建设</w:t>
      </w:r>
      <w:r>
        <w:rPr>
          <w:rFonts w:hint="eastAsia" w:ascii="仿宋_GB2312" w:hAnsi="仿宋_GB2312" w:eastAsia="仿宋_GB2312" w:cs="Times New Roman"/>
          <w:sz w:val="32"/>
          <w:lang w:eastAsia="zh-CN"/>
        </w:rPr>
        <w:t>提升项目经费个性化绩效评价指标具有特定的针对性，能够更好地反映其特定业务领域的表现，提高部门的整体绩效水平。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 w:cs="Times New Roman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sz w:val="32"/>
          <w:lang w:eastAsia="zh-CN"/>
        </w:rPr>
        <w:t>水质达标率:通过项目实施,提高农村水质管理效率和质量。指标分值5分，自评得分5分。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 w:cs="Times New Roman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sz w:val="32"/>
          <w:lang w:eastAsia="zh-CN"/>
        </w:rPr>
        <w:t>项目公示:按照公开要求，在门户网站中决算公开内容进行公示。指标分值5分，自评得分5分。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 w:cs="Times New Roman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sz w:val="32"/>
          <w:lang w:eastAsia="zh-CN"/>
        </w:rPr>
        <w:t>项目作用期：通过项目实施，进一步提升安全饮水项目工作的力度。按照项目管理要求，保障项目使用年限。指标分值6分，自评得分6分。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黑体" w:hAnsi="宋体" w:eastAsia="黑体"/>
          <w:color w:val="auto"/>
          <w:sz w:val="32"/>
        </w:rPr>
      </w:pPr>
      <w:r>
        <w:rPr>
          <w:rFonts w:hint="eastAsia" w:ascii="黑体" w:hAnsi="宋体" w:eastAsia="黑体"/>
          <w:color w:val="auto"/>
          <w:sz w:val="32"/>
          <w:lang w:eastAsia="zh-CN"/>
        </w:rPr>
        <w:t>四</w:t>
      </w:r>
      <w:r>
        <w:rPr>
          <w:rFonts w:hint="eastAsia" w:ascii="黑体" w:hAnsi="宋体" w:eastAsia="黑体"/>
          <w:color w:val="auto"/>
          <w:sz w:val="32"/>
        </w:rPr>
        <w:t>、评价结论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/>
          <w:sz w:val="32"/>
          <w:lang w:eastAsia="zh-CN"/>
        </w:rPr>
      </w:pPr>
      <w:r>
        <w:rPr>
          <w:rFonts w:hint="eastAsia" w:ascii="仿宋_GB2312" w:hAnsi="仿宋_GB2312" w:eastAsia="仿宋_GB2312"/>
          <w:sz w:val="32"/>
          <w:lang w:eastAsia="zh-CN"/>
        </w:rPr>
        <w:t>通过汇总、整理、分析</w:t>
      </w:r>
      <w:r>
        <w:rPr>
          <w:rFonts w:hint="eastAsia" w:ascii="仿宋_GB2312" w:hAnsi="仿宋_GB2312" w:eastAsia="仿宋_GB2312"/>
          <w:sz w:val="32"/>
          <w:lang w:val="en-US" w:eastAsia="zh-CN"/>
        </w:rPr>
        <w:t>龙坝</w:t>
      </w:r>
      <w:r>
        <w:rPr>
          <w:rFonts w:hint="eastAsia" w:ascii="仿宋_GB2312" w:hAnsi="仿宋_GB2312" w:eastAsia="仿宋_GB2312"/>
          <w:sz w:val="32"/>
          <w:lang w:eastAsia="zh-CN"/>
        </w:rPr>
        <w:t>乡2023年农村安全饮水巩固提升项目绩效评价指标体系，绩效目标基本实现，自评得分为</w:t>
      </w:r>
      <w:r>
        <w:rPr>
          <w:rFonts w:hint="eastAsia" w:ascii="仿宋_GB2312" w:hAnsi="仿宋_GB2312" w:eastAsia="仿宋_GB2312"/>
          <w:sz w:val="32"/>
          <w:lang w:val="en-US" w:eastAsia="zh-CN"/>
        </w:rPr>
        <w:t>97</w:t>
      </w:r>
      <w:r>
        <w:rPr>
          <w:rFonts w:hint="eastAsia" w:ascii="仿宋_GB2312" w:hAnsi="仿宋_GB2312" w:eastAsia="仿宋_GB2312"/>
          <w:sz w:val="32"/>
          <w:lang w:eastAsia="zh-CN"/>
        </w:rPr>
        <w:t>分。</w:t>
      </w:r>
    </w:p>
    <w:p>
      <w:pPr>
        <w:pStyle w:val="7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 w:firstLine="640" w:firstLineChars="200"/>
        <w:jc w:val="left"/>
        <w:rPr>
          <w:rFonts w:hint="eastAsia" w:ascii="黑体" w:hAnsi="宋体" w:eastAsia="黑体" w:cs="黑体"/>
          <w:kern w:val="0"/>
          <w:position w:val="3"/>
          <w:sz w:val="32"/>
          <w:szCs w:val="32"/>
        </w:rPr>
      </w:pPr>
      <w:r>
        <w:rPr>
          <w:rFonts w:hint="eastAsia" w:ascii="黑体" w:hAnsi="宋体" w:eastAsia="黑体" w:cs="黑体"/>
          <w:kern w:val="0"/>
          <w:position w:val="3"/>
          <w:sz w:val="32"/>
          <w:szCs w:val="32"/>
          <w:lang w:val="en-US" w:eastAsia="zh-CN" w:bidi="ar"/>
        </w:rPr>
        <w:t>五、存在主要问题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1、内部管理上较为粗糙。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2、预算执行力度不够。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3、预算编制的前瞻性不够,导致预算和实际支出存在调整。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黑体" w:hAnsi="宋体" w:eastAsia="黑体" w:cs="黑体"/>
          <w:kern w:val="0"/>
          <w:position w:val="3"/>
          <w:sz w:val="32"/>
          <w:szCs w:val="32"/>
        </w:rPr>
      </w:pPr>
      <w:r>
        <w:rPr>
          <w:rFonts w:hint="eastAsia" w:ascii="黑体" w:hAnsi="宋体" w:eastAsia="黑体" w:cs="黑体"/>
          <w:kern w:val="0"/>
          <w:position w:val="3"/>
          <w:sz w:val="32"/>
          <w:szCs w:val="32"/>
          <w:lang w:val="en-US" w:eastAsia="zh-CN" w:bidi="ar"/>
        </w:rPr>
        <w:t>六、改进建议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eastAsia="仿宋" w:cs="仿宋"/>
          <w:kern w:val="2"/>
          <w:sz w:val="32"/>
          <w:szCs w:val="32"/>
          <w:lang w:val="en-US" w:eastAsia="zh-CN" w:bidi="ar-SA"/>
        </w:rPr>
        <w:t>1、</w:t>
      </w: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建议加强对</w:t>
      </w:r>
      <w:r>
        <w:rPr>
          <w:rFonts w:hint="eastAsia" w:ascii="仿宋" w:hAnsi="仿宋" w:eastAsia="仿宋" w:cs="仿宋"/>
          <w:sz w:val="32"/>
          <w:szCs w:val="32"/>
        </w:rPr>
        <w:t>项目</w:t>
      </w: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工作的培训和指导，进一步优化项目专项</w:t>
      </w:r>
      <w:r>
        <w:rPr>
          <w:rFonts w:hint="eastAsia" w:ascii="仿宋" w:hAnsi="仿宋" w:eastAsia="仿宋" w:cs="仿宋"/>
          <w:sz w:val="32"/>
          <w:szCs w:val="32"/>
        </w:rPr>
        <w:t>预算项目支出绩效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做到合理性与可操作性的有机统一。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</w:rPr>
      </w:pP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2、细化预算编制工作，加强单位内部机构的预算管理意识，科学规划，提高财政资金使用效率，减少预算资金的调整、结转和结余的情形</w:t>
      </w:r>
      <w:r>
        <w:rPr>
          <w:rFonts w:hint="eastAsia" w:ascii="仿宋" w:eastAsia="仿宋" w:cs="仿宋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 w:firstLine="640" w:firstLineChars="200"/>
        <w:jc w:val="both"/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</w:rPr>
      </w:pPr>
      <w:r>
        <w:rPr>
          <w:rFonts w:hint="default" w:ascii="仿宋_GB2312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附表：</w:t>
      </w:r>
      <w:r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1.</w:t>
      </w:r>
      <w:r>
        <w:rPr>
          <w:rFonts w:hint="default" w:ascii="仿宋_GB2312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项目资金分配涉及所有点位自评得分情况表</w:t>
      </w: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 w:firstLine="1600" w:firstLineChars="50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2.</w:t>
      </w:r>
      <w:r>
        <w:rPr>
          <w:rFonts w:hint="default" w:ascii="仿宋_GB2312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专项预算项目绩效目标完成情况自评表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黑水县龙坝乡人民政府</w:t>
      </w:r>
    </w:p>
    <w:p>
      <w:pPr>
        <w:pStyle w:val="12"/>
        <w:jc w:val="right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 xml:space="preserve"> 9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 xml:space="preserve"> 26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日</w:t>
      </w:r>
    </w:p>
    <w:p>
      <w:pPr>
        <w:pStyle w:val="9"/>
        <w:ind w:left="0" w:leftChars="0" w:firstLine="0" w:firstLineChars="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eastAsia" w:ascii="黑体" w:hAnsi="宋体" w:eastAsia="黑体" w:cs="黑体"/>
          <w:kern w:val="0"/>
          <w:sz w:val="32"/>
          <w:szCs w:val="32"/>
          <w:shd w:val="clear" w:fill="FFFFFF"/>
        </w:rPr>
      </w:pPr>
      <w:r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  <w:t>附表1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78" w:lineRule="exact"/>
        <w:ind w:left="0" w:right="0"/>
        <w:jc w:val="center"/>
        <w:rPr>
          <w:rFonts w:hint="default" w:ascii="方正小标宋_GBK" w:hAnsi="方正小标宋_GBK" w:eastAsia="方正小标宋_GBK" w:cs="方正小标宋_GBK"/>
          <w:kern w:val="2"/>
          <w:sz w:val="40"/>
          <w:szCs w:val="40"/>
        </w:rPr>
      </w:pPr>
      <w:r>
        <w:rPr>
          <w:rFonts w:hint="default" w:ascii="方正小标宋_GBK" w:hAnsi="方正小标宋_GBK" w:eastAsia="方正小标宋_GBK" w:cs="方正小标宋_GBK"/>
          <w:kern w:val="2"/>
          <w:sz w:val="40"/>
          <w:szCs w:val="40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78" w:lineRule="exact"/>
        <w:ind w:left="0" w:right="0"/>
        <w:jc w:val="center"/>
        <w:rPr>
          <w:rFonts w:hint="default" w:ascii="方正小标宋_GBK" w:hAnsi="方正小标宋_GBK" w:eastAsia="方正小标宋_GBK" w:cs="方正小标宋_GBK"/>
          <w:kern w:val="2"/>
          <w:sz w:val="40"/>
          <w:szCs w:val="40"/>
        </w:rPr>
      </w:pPr>
      <w:r>
        <w:rPr>
          <w:rFonts w:hint="default" w:ascii="方正小标宋_GBK" w:hAnsi="方正小标宋_GBK" w:eastAsia="方正小标宋_GBK" w:cs="方正小标宋_GBK"/>
          <w:kern w:val="2"/>
          <w:sz w:val="40"/>
          <w:szCs w:val="40"/>
          <w:lang w:val="en-US" w:eastAsia="zh-CN" w:bidi="ar"/>
        </w:rPr>
        <w:t>项目资金分配涉及所有点位自评得分情况表</w:t>
      </w:r>
    </w:p>
    <w:tbl>
      <w:tblPr>
        <w:tblStyle w:val="10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3843"/>
        <w:gridCol w:w="2861"/>
        <w:gridCol w:w="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3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项目资金末端分配点位</w:t>
            </w:r>
          </w:p>
        </w:tc>
        <w:tc>
          <w:tcPr>
            <w:tcW w:w="2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自评得分（百分制）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3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宋体" w:hAnsi="宋体" w:eastAsia="仿宋_GB2312" w:cs="宋体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仿宋_GB2312" w:cs="宋体"/>
                <w:kern w:val="2"/>
                <w:sz w:val="24"/>
                <w:szCs w:val="24"/>
                <w:lang w:val="en-US" w:eastAsia="zh-CN" w:bidi="ar"/>
              </w:rPr>
              <w:t>龙坝乡人民政府</w:t>
            </w:r>
          </w:p>
        </w:tc>
        <w:tc>
          <w:tcPr>
            <w:tcW w:w="2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宋体" w:hAnsi="宋体" w:eastAsia="仿宋_GB2312" w:cs="宋体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仿宋_GB2312" w:cs="宋体"/>
                <w:kern w:val="2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宋体" w:hAnsi="宋体" w:eastAsia="仿宋_GB2312" w:cs="宋体"/>
                <w:kern w:val="2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备注：1.项目资金末端分配点位包括市（州）本级、县（市、区）、省级部门下属单位及一次性单位等。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 w:firstLine="630" w:firstLineChars="300"/>
        <w:jc w:val="left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2.自评得分（百分制）从高到低划分为优、良、中、差四个档次，各个档次数量占比分别为20%、20%、55%、5%，且不同档次间得分分值应体现差异化，同档次得分分值相同的比例不超过该档次总数量的10%。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仿宋_GB2312" w:eastAsia="仿宋_GB2312" w:cs="仿宋_GB2312"/>
          <w:kern w:val="0"/>
          <w:sz w:val="32"/>
          <w:szCs w:val="32"/>
        </w:rPr>
      </w:pPr>
      <w:r>
        <w:rPr>
          <w:rFonts w:hint="default" w:ascii="Times New Roman" w:hAnsi="Times New Roman" w:eastAsia="仿宋_GB2312" w:cs="仿宋_GB2312"/>
          <w:kern w:val="2"/>
          <w:sz w:val="32"/>
          <w:szCs w:val="32"/>
          <w:lang w:val="en-US" w:eastAsia="zh-CN" w:bidi="ar"/>
        </w:rPr>
        <w:br w:type="page"/>
      </w:r>
      <w:r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  <w:t>附表2</w:t>
      </w:r>
    </w:p>
    <w:tbl>
      <w:tblPr>
        <w:tblStyle w:val="10"/>
        <w:tblW w:w="10233" w:type="dxa"/>
        <w:jc w:val="center"/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5"/>
        <w:gridCol w:w="898"/>
        <w:gridCol w:w="1250"/>
        <w:gridCol w:w="1312"/>
        <w:gridCol w:w="1127"/>
        <w:gridCol w:w="971"/>
        <w:gridCol w:w="1061"/>
        <w:gridCol w:w="938"/>
        <w:gridCol w:w="184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color w:val="000000"/>
                <w:kern w:val="0"/>
                <w:sz w:val="40"/>
                <w:szCs w:val="40"/>
                <w:lang w:val="en-US" w:eastAsia="zh-CN" w:bidi="ar"/>
              </w:rPr>
              <w:t>专项预算项目绩效目标完成情况自评表</w:t>
            </w:r>
          </w:p>
        </w:tc>
      </w:tr>
      <w:tr>
        <w:tblPrEx>
          <w:shd w:val="clear" w:color="auto" w:fill="auto"/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龙坝乡2023年瓜苏村甜樱桃产业基地配套设施建设项目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黑水县龙坝乡</w:t>
            </w:r>
          </w:p>
        </w:tc>
      </w:tr>
      <w:tr>
        <w:tblPrEx>
          <w:shd w:val="clear" w:color="auto" w:fill="auto"/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经常性项目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 概况</w:t>
            </w:r>
          </w:p>
        </w:tc>
        <w:tc>
          <w:tcPr>
            <w:tcW w:w="3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中长期规划（名称、文号，仅指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无</w:t>
            </w:r>
          </w:p>
        </w:tc>
      </w:tr>
      <w:tr>
        <w:tblPrEx>
          <w:shd w:val="clear" w:color="auto" w:fill="auto"/>
        </w:tblPrEx>
        <w:trPr>
          <w:trHeight w:val="23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无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Wingdings 2" w:hAnsi="Wingdings 2" w:eastAsia="Wingdings 2" w:cs="Wingdings 2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Wingdings 2" w:hAnsi="Wingdings 2" w:eastAsia="Wingdings 2" w:cs="Wingdings 2"/>
                <w:color w:val="000000"/>
                <w:kern w:val="0"/>
                <w:sz w:val="24"/>
                <w:szCs w:val="24"/>
                <w:lang w:val="en-US" w:eastAsia="zh-CN" w:bidi="ar"/>
              </w:rPr>
              <w:t>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Wingdings 2" w:hAnsi="Wingdings 2" w:eastAsia="Wingdings 2" w:cs="Wingdings 2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Wingdings 2" w:hAnsi="Wingdings 2" w:eastAsia="Wingdings 2" w:cs="Wingdings 2"/>
                <w:color w:val="000000"/>
                <w:kern w:val="0"/>
                <w:sz w:val="24"/>
                <w:szCs w:val="24"/>
                <w:lang w:val="en-US" w:eastAsia="zh-CN" w:bidi="ar"/>
              </w:rPr>
              <w:t>£项目法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Wingdings 2" w:hAnsi="Wingdings 2" w:eastAsia="Wingdings 2" w:cs="Wingdings 2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Wingdings 2" w:hAnsi="Wingdings 2" w:eastAsia="Wingdings 2" w:cs="Wingdings 2"/>
                <w:color w:val="000000"/>
                <w:kern w:val="0"/>
                <w:sz w:val="24"/>
                <w:szCs w:val="24"/>
                <w:lang w:val="en-US" w:eastAsia="zh-CN" w:bidi="ar"/>
              </w:rPr>
              <w:t>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据实据效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Wingdings 2" w:hAnsi="Wingdings 2" w:eastAsia="Wingdings 2" w:cs="Wingdings 2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4"/>
                <w:szCs w:val="24"/>
                <w:lang w:val="en-US" w:eastAsia="zh-CN" w:bidi="ar"/>
              </w:rPr>
              <w:t>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因素法与项目法相结合</w:t>
            </w:r>
          </w:p>
        </w:tc>
      </w:tr>
      <w:tr>
        <w:tblPrEx>
          <w:shd w:val="clear" w:color="auto" w:fill="auto"/>
        </w:tblPrEx>
        <w:trPr>
          <w:trHeight w:val="23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加强华润捐赠资金经费保障，充分发挥各村基础设施建设履职积极性，确保各村工作能力水平和效果不断提升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该项目资金主要用于黑水县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龙坝乡各村</w:t>
            </w:r>
          </w:p>
        </w:tc>
      </w:tr>
      <w:tr>
        <w:tblPrEx>
          <w:shd w:val="clear" w:color="auto" w:fill="auto"/>
        </w:tblPrEx>
        <w:trPr>
          <w:trHeight w:val="23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无。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2023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1月至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2023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2月</w:t>
            </w:r>
          </w:p>
        </w:tc>
      </w:tr>
      <w:tr>
        <w:tblPrEx>
          <w:shd w:val="clear" w:color="auto" w:fill="auto"/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项目资金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 其中：财政拨款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>
        <w:tblPrEx>
          <w:shd w:val="clear" w:color="auto" w:fill="auto"/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总体 目标</w:t>
            </w:r>
          </w:p>
        </w:tc>
        <w:tc>
          <w:tcPr>
            <w:tcW w:w="9398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年度目标</w:t>
            </w:r>
          </w:p>
        </w:tc>
      </w:tr>
      <w:tr>
        <w:tblPrEx>
          <w:shd w:val="clear" w:color="auto" w:fill="auto"/>
        </w:tblPrEx>
        <w:trPr>
          <w:trHeight w:val="23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98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加强华润捐赠资金经费保障，充分发挥各村基础设施建设履职积极性，确保各村工作能力水平和效果不断提升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绩效 指标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度量单位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权重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实际完成指标值</w:t>
            </w:r>
          </w:p>
        </w:tc>
      </w:tr>
      <w:tr>
        <w:tblPrEx>
          <w:shd w:val="clear" w:color="auto" w:fill="auto"/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8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新建或改善农业设施数量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8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受益人口数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309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shd w:val="clear" w:color="auto" w:fill="auto"/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8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项目完成及时率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8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项目验收合格率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shd w:val="clear" w:color="auto" w:fill="auto"/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8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农业设施建成后达标率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8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可持续影响指标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项目作用期（年）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shd w:val="clear" w:color="auto" w:fill="auto"/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8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受益人口满意度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新建或改善农业设施数量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shd w:val="clear" w:color="auto" w:fill="auto"/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受益人口数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309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</w:p>
        </w:tc>
      </w:tr>
    </w:tbl>
    <w:p>
      <w:pPr>
        <w:pStyle w:val="4"/>
        <w:rPr>
          <w:rFonts w:hint="eastAsia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小标宋_GBK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等线">
    <w:altName w:val="仿宋_GB2312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AR PL UKai CN">
    <w:panose1 w:val="02000503000000000000"/>
    <w:charset w:val="86"/>
    <w:family w:val="auto"/>
    <w:pitch w:val="default"/>
    <w:sig w:usb0="A00002FF" w:usb1="3ACFFDFF" w:usb2="00000036" w:usb3="00000000" w:csb0="2016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F1FE72"/>
    <w:multiLevelType w:val="multilevel"/>
    <w:tmpl w:val="C0F1FE72"/>
    <w:lvl w:ilvl="0" w:tentative="0">
      <w:start w:val="2"/>
      <w:numFmt w:val="chineseCounting"/>
      <w:suff w:val="nothing"/>
      <w:lvlText w:val="（%1）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1">
    <w:nsid w:val="C96F349F"/>
    <w:multiLevelType w:val="singleLevel"/>
    <w:tmpl w:val="C96F349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kOTAyNTNiN2RjZTVmYzdkNmJkZjc0ZTg5ZTc3YWIifQ=="/>
  </w:docVars>
  <w:rsids>
    <w:rsidRoot w:val="00172A27"/>
    <w:rsid w:val="0302767D"/>
    <w:rsid w:val="0E16063C"/>
    <w:rsid w:val="0F62578A"/>
    <w:rsid w:val="13EA4793"/>
    <w:rsid w:val="159119A5"/>
    <w:rsid w:val="18AC26C9"/>
    <w:rsid w:val="1F0D1040"/>
    <w:rsid w:val="1F4B4D4C"/>
    <w:rsid w:val="201F0A1E"/>
    <w:rsid w:val="242D2F69"/>
    <w:rsid w:val="25987D07"/>
    <w:rsid w:val="27671BA1"/>
    <w:rsid w:val="28F155C8"/>
    <w:rsid w:val="2BD02EFB"/>
    <w:rsid w:val="2D1155F0"/>
    <w:rsid w:val="335A1288"/>
    <w:rsid w:val="412F731A"/>
    <w:rsid w:val="4A221AAC"/>
    <w:rsid w:val="4ABA18BB"/>
    <w:rsid w:val="4BCA41C3"/>
    <w:rsid w:val="51FC6DA4"/>
    <w:rsid w:val="553D2C50"/>
    <w:rsid w:val="5C961BA3"/>
    <w:rsid w:val="668A6938"/>
    <w:rsid w:val="69B62A2C"/>
    <w:rsid w:val="6AED4CA6"/>
    <w:rsid w:val="7037476A"/>
    <w:rsid w:val="798E5FEA"/>
    <w:rsid w:val="7C0208C0"/>
    <w:rsid w:val="7D307A98"/>
    <w:rsid w:val="7FA356F2"/>
    <w:rsid w:val="EDBF8EC9"/>
    <w:rsid w:val="EF7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1">
    <w:name w:val="Default Paragraph Font"/>
    <w:qFormat/>
    <w:uiPriority w:val="0"/>
  </w:style>
  <w:style w:type="table" w:default="1" w:styleId="10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semiHidden/>
    <w:qFormat/>
    <w:uiPriority w:val="0"/>
    <w:pPr>
      <w:ind w:leftChars="200" w:hanging="200" w:hangingChars="200"/>
    </w:pPr>
  </w:style>
  <w:style w:type="paragraph" w:styleId="4">
    <w:name w:val="Body Text"/>
    <w:basedOn w:val="1"/>
    <w:unhideWhenUsed/>
    <w:qFormat/>
    <w:uiPriority w:val="99"/>
    <w:pPr>
      <w:spacing w:before="100" w:beforeAutospacing="1" w:after="120"/>
    </w:pPr>
  </w:style>
  <w:style w:type="paragraph" w:styleId="5">
    <w:name w:val="Body Text Indent"/>
    <w:basedOn w:val="1"/>
    <w:qFormat/>
    <w:uiPriority w:val="0"/>
    <w:pPr>
      <w:spacing w:line="500" w:lineRule="exact"/>
      <w:ind w:firstLine="720" w:firstLineChars="240"/>
    </w:pPr>
    <w:rPr>
      <w:rFonts w:ascii="仿宋_GB2312"/>
      <w:b/>
      <w:sz w:val="30"/>
      <w:szCs w:val="24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 w:eastAsia="zh-CN"/>
    </w:rPr>
  </w:style>
  <w:style w:type="paragraph" w:styleId="7">
    <w:name w:val="Normal (Web)"/>
    <w:basedOn w:val="1"/>
    <w:qFormat/>
    <w:uiPriority w:val="0"/>
    <w:rPr>
      <w:sz w:val="24"/>
    </w:rPr>
  </w:style>
  <w:style w:type="paragraph" w:styleId="8">
    <w:name w:val="Body Text First Indent"/>
    <w:basedOn w:val="4"/>
    <w:qFormat/>
    <w:uiPriority w:val="0"/>
    <w:pPr>
      <w:ind w:firstLine="420" w:firstLineChars="100"/>
    </w:pPr>
  </w:style>
  <w:style w:type="paragraph" w:styleId="9">
    <w:name w:val="Body Text First Indent 2"/>
    <w:basedOn w:val="5"/>
    <w:unhideWhenUsed/>
    <w:qFormat/>
    <w:uiPriority w:val="99"/>
    <w:pPr>
      <w:keepNext w:val="0"/>
      <w:keepLines w:val="0"/>
      <w:widowControl w:val="0"/>
      <w:suppressLineNumbers w:val="0"/>
      <w:spacing w:before="0" w:beforeAutospacing="0" w:after="120" w:afterAutospacing="0"/>
      <w:ind w:left="420" w:leftChars="200" w:right="0" w:firstLine="420" w:firstLineChars="200"/>
      <w:jc w:val="both"/>
    </w:pPr>
    <w:rPr>
      <w:rFonts w:hint="eastAsia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">
    <w:name w:val="图表目录1"/>
    <w:basedOn w:val="1"/>
    <w:next w:val="1"/>
    <w:qFormat/>
    <w:uiPriority w:val="0"/>
    <w:pPr>
      <w:ind w:left="200" w:leftChars="200" w:hanging="200" w:hangingChars="200"/>
    </w:pPr>
    <w:rPr>
      <w:rFonts w:ascii="Times New Roman" w:hAnsi="Times New Roman" w:eastAsia="仿宋_GB2312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1438</Words>
  <Characters>1459</Characters>
  <Lines>1</Lines>
  <Paragraphs>1</Paragraphs>
  <TotalTime>12</TotalTime>
  <ScaleCrop>false</ScaleCrop>
  <LinksUpToDate>false</LinksUpToDate>
  <CharactersWithSpaces>1534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2023-08-24T23:37:00Z</dcterms:created>
  <dc:creator>两个人的烟火</dc:creator>
  <cp:lastModifiedBy>user</cp:lastModifiedBy>
  <dcterms:modified xsi:type="dcterms:W3CDTF">2024-11-07T11:02:02Z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F458B0F45099434FAC59F0EFC705C38F_13</vt:lpwstr>
  </property>
</Properties>
</file>